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color w:val="2C5F8A"/>
          <w:sz w:val="44"/>
          <w:szCs w:val="44"/>
        </w:rPr>
        <w:t xml:space="preserve">Healthcare Claims Authentication POC</w:t>
      </w:r>
    </w:p>
    <w:p>
      <w:pPr>
        <w:spacing w:after="300"/>
      </w:pPr>
      <w:r>
        <w:rPr>
          <w:color w:val="444444"/>
          <w:sz w:val="28"/>
          <w:szCs w:val="28"/>
        </w:rPr>
        <w:t xml:space="preserve">Code, README, and Deployment / Test Instructions</w:t>
      </w:r>
    </w:p>
    <w:p>
      <w:pPr>
        <w:spacing w:after="300"/>
      </w:pPr>
      <w:r>
        <w:rPr>
          <w:i/>
          <w:iCs/>
          <w:color w:val="666666"/>
          <w:sz w:val="20"/>
          <w:szCs w:val="20"/>
        </w:rPr>
        <w:t xml:space="preserve">Final version — covers all five POC scripts</w:t>
      </w:r>
    </w:p>
    <w:p>
      <w:pPr>
        <w:pStyle w:val="Heading1"/>
        <w:spacing w:after="150" w:before="320"/>
      </w:pPr>
      <w:r>
        <w:t xml:space="preserve">1. Project Contents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50"/>
      </w:tblGrid>
      <w:tr>
        <w:trPr>
          <w:tblHeader/>
        </w:trPr>
        <w:tc>
          <w:tcPr>
            <w:tcW w:type="dxa" w:w="3600"/>
            <w:shd w:fill="2C5F8A" w:val="clea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File</w:t>
            </w:r>
          </w:p>
        </w:tc>
        <w:tc>
          <w:tcPr>
            <w:tcW w:type="dxa" w:w="5750"/>
            <w:shd w:fill="2C5F8A" w:val="clea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Purpose</w:t>
            </w:r>
          </w:p>
        </w:tc>
      </w:tr>
      <w:tr>
        <w:tc>
          <w:tcPr>
            <w:tcW w:type="dxa" w:w="3600"/>
          </w:tcPr>
          <w:p>
            <w:r>
              <w:rPr>
                <w:sz w:val="19"/>
                <w:szCs w:val="19"/>
              </w:rPr>
              <w:t xml:space="preserve">00_concepts_demo_failure_recovery.py</w:t>
            </w:r>
          </w:p>
        </w:tc>
        <w:tc>
          <w:tcPr>
            <w:tcW w:type="dxa" w:w="5750"/>
          </w:tcPr>
          <w:p>
            <w:r>
              <w:rPr>
                <w:sz w:val="19"/>
                <w:szCs w:val="19"/>
              </w:rPr>
              <w:t xml:space="preserve">Standalone LangGraph concepts demo (a small patient-record intake pipeline) — state, conditional edges, and checkpoint-based failure recovery. Not claims-specific; a good starting point if new to LangGraph.</w:t>
            </w:r>
          </w:p>
        </w:tc>
      </w:tr>
      <w:tr>
        <w:tc>
          <w:tcPr>
            <w:tcW w:type="dxa" w:w="3600"/>
          </w:tcPr>
          <w:p>
            <w:r>
              <w:rPr>
                <w:sz w:val="19"/>
                <w:szCs w:val="19"/>
              </w:rPr>
              <w:t xml:space="preserve">01_claims_auth_basic.py</w:t>
            </w:r>
          </w:p>
        </w:tc>
        <w:tc>
          <w:tcPr>
            <w:tcW w:type="dxa" w:w="5750"/>
          </w:tcPr>
          <w:p>
            <w:r>
              <w:rPr>
                <w:sz w:val="19"/>
                <w:szCs w:val="19"/>
              </w:rPr>
              <w:t xml:space="preserve">The claims authentication graph with a human-in-the-loop SIU review interrupt, using mock/rule-based fraud detection only. No external services required.</w:t>
            </w:r>
          </w:p>
        </w:tc>
      </w:tr>
      <w:tr>
        <w:tc>
          <w:tcPr>
            <w:tcW w:type="dxa" w:w="3600"/>
          </w:tcPr>
          <w:p>
            <w:r>
              <w:rPr>
                <w:sz w:val="19"/>
                <w:szCs w:val="19"/>
              </w:rPr>
              <w:t xml:space="preserve">02_claims_auth_with_cohere_pinecone_zapier.py</w:t>
            </w:r>
          </w:p>
        </w:tc>
        <w:tc>
          <w:tcPr>
            <w:tcW w:type="dxa" w:w="5750"/>
          </w:tcPr>
          <w:p>
            <w:r>
              <w:rPr>
                <w:sz w:val="19"/>
                <w:szCs w:val="19"/>
              </w:rPr>
              <w:t xml:space="preserve">Adds Cohere embeddings, Pinecone similarity search, and Zapier notification, behind a live/mock toggle.</w:t>
            </w:r>
          </w:p>
        </w:tc>
      </w:tr>
      <w:tr>
        <w:tc>
          <w:tcPr>
            <w:tcW w:type="dxa" w:w="3600"/>
          </w:tcPr>
          <w:p>
            <w:r>
              <w:rPr>
                <w:sz w:val="19"/>
                <w:szCs w:val="19"/>
              </w:rPr>
              <w:t xml:space="preserve">03_claims_auth_full_with_llm_guardrails_cache.py</w:t>
            </w:r>
          </w:p>
        </w:tc>
        <w:tc>
          <w:tcPr>
            <w:tcW w:type="dxa" w:w="5750"/>
          </w:tcPr>
          <w:p>
            <w:r>
              <w:rPr>
                <w:sz w:val="19"/>
                <w:szCs w:val="19"/>
              </w:rPr>
              <w:t xml:space="preserve">Adds an LLM reasoning call (Anthropic), an input guardrail, an output guardrail with fail-closed fallback, and a persistent embedding cache.</w:t>
            </w:r>
          </w:p>
        </w:tc>
      </w:tr>
      <w:tr>
        <w:tc>
          <w:tcPr>
            <w:tcW w:type="dxa" w:w="3600"/>
          </w:tcPr>
          <w:p>
            <w:r>
              <w:rPr>
                <w:sz w:val="19"/>
                <w:szCs w:val="19"/>
              </w:rPr>
              <w:t xml:space="preserve">04_claims_auth_hybrid_rag_confidence_circuitbreaker.py</w:t>
            </w:r>
          </w:p>
        </w:tc>
        <w:tc>
          <w:tcPr>
            <w:tcW w:type="dxa" w:w="5750"/>
          </w:tcPr>
          <w:p>
            <w:r>
              <w:rPr>
                <w:sz w:val="19"/>
                <w:szCs w:val="19"/>
              </w:rPr>
              <w:t xml:space="preserve">Final / primary deliverable. Adds hybrid retrieval (dense + real BM25 keyword search, fused), true RAG grounding (retrieved guideline text in the LLM prompt), a confidence-driven three-way decision gate (auto-approve / auto-reject / human review), and a circuit breaker distinct from the guardrails (tracks tool failures, escalates rather than retrying indefinitely).</w:t>
            </w:r>
          </w:p>
        </w:tc>
      </w:tr>
      <w:tr>
        <w:tc>
          <w:tcPr>
            <w:tcW w:type="dxa" w:w="3600"/>
          </w:tcPr>
          <w:p>
            <w:r>
              <w:rPr>
                <w:sz w:val="19"/>
                <w:szCs w:val="19"/>
              </w:rPr>
              <w:t xml:space="preserve">architecture_diagram.png</w:t>
            </w:r>
          </w:p>
        </w:tc>
        <w:tc>
          <w:tcPr>
            <w:tcW w:type="dxa" w:w="5750"/>
          </w:tcPr>
          <w:p>
            <w:r>
              <w:rPr>
                <w:sz w:val="19"/>
                <w:szCs w:val="19"/>
              </w:rPr>
              <w:t xml:space="preserve">Diagram for the 02 scope.</w:t>
            </w:r>
          </w:p>
        </w:tc>
      </w:tr>
      <w:tr>
        <w:tc>
          <w:tcPr>
            <w:tcW w:type="dxa" w:w="3600"/>
          </w:tcPr>
          <w:p>
            <w:r>
              <w:rPr>
                <w:sz w:val="19"/>
                <w:szCs w:val="19"/>
              </w:rPr>
              <w:t xml:space="preserve">architecture_diagram_full_with_llm.png</w:t>
            </w:r>
          </w:p>
        </w:tc>
        <w:tc>
          <w:tcPr>
            <w:tcW w:type="dxa" w:w="5750"/>
          </w:tcPr>
          <w:p>
            <w:r>
              <w:rPr>
                <w:sz w:val="19"/>
                <w:szCs w:val="19"/>
              </w:rPr>
              <w:t xml:space="preserve">Diagram for the 03 scope.</w:t>
            </w:r>
          </w:p>
        </w:tc>
      </w:tr>
      <w:tr>
        <w:tc>
          <w:tcPr>
            <w:tcW w:type="dxa" w:w="3600"/>
          </w:tcPr>
          <w:p>
            <w:r>
              <w:rPr>
                <w:sz w:val="19"/>
                <w:szCs w:val="19"/>
              </w:rPr>
              <w:t xml:space="preserve">requirements.txt</w:t>
            </w:r>
          </w:p>
        </w:tc>
        <w:tc>
          <w:tcPr>
            <w:tcW w:type="dxa" w:w="5750"/>
          </w:tcPr>
          <w:p>
            <w:r>
              <w:rPr>
                <w:sz w:val="19"/>
                <w:szCs w:val="19"/>
              </w:rPr>
              <w:t xml:space="preserve">Python dependencies, including the Anthropic SDK and rank_bm25.</w:t>
            </w:r>
          </w:p>
        </w:tc>
      </w:tr>
      <w:tr>
        <w:tc>
          <w:tcPr>
            <w:tcW w:type="dxa" w:w="3600"/>
          </w:tcPr>
          <w:p>
            <w:r>
              <w:rPr>
                <w:sz w:val="19"/>
                <w:szCs w:val="19"/>
              </w:rPr>
              <w:t xml:space="preserve">.env.example</w:t>
            </w:r>
          </w:p>
        </w:tc>
        <w:tc>
          <w:tcPr>
            <w:tcW w:type="dxa" w:w="5750"/>
          </w:tcPr>
          <w:p>
            <w:r>
              <w:rPr>
                <w:sz w:val="19"/>
                <w:szCs w:val="19"/>
              </w:rPr>
              <w:t xml:space="preserve">Template for API keys — only needed for live mode.</w:t>
            </w:r>
          </w:p>
        </w:tc>
      </w:tr>
      <w:tr>
        <w:tc>
          <w:tcPr>
            <w:tcW w:type="dxa" w:w="3600"/>
          </w:tcPr>
          <w:p>
            <w:r>
              <w:rPr>
                <w:sz w:val="19"/>
                <w:szCs w:val="19"/>
              </w:rPr>
              <w:t xml:space="preserve">README.md</w:t>
            </w:r>
          </w:p>
        </w:tc>
        <w:tc>
          <w:tcPr>
            <w:tcW w:type="dxa" w:w="5750"/>
          </w:tcPr>
          <w:p>
            <w:r>
              <w:rPr>
                <w:sz w:val="19"/>
                <w:szCs w:val="19"/>
              </w:rPr>
              <w:t xml:space="preserve">Plain-text version of this document, included alongside the code.</w:t>
            </w:r>
          </w:p>
        </w:tc>
      </w:tr>
    </w:tbl>
    <w:p>
      <w:pPr>
        <w:pStyle w:val="Heading1"/>
        <w:spacing w:after="150" w:before="320"/>
      </w:pPr>
      <w:r>
        <w:t xml:space="preserve">2. Prerequisites</w:t>
      </w:r>
    </w:p>
    <w:p>
      <w:pPr>
        <w:pStyle w:val="ListParagraph"/>
        <w:numPr>
          <w:ilvl w:val="0"/>
          <w:numId w:val="2"/>
        </w:numPr>
        <w:spacing w:after="70"/>
      </w:pPr>
      <w:r>
        <w:t xml:space="preserve">Python 3.10 or later (developed and tested on 3.12)</w:t>
      </w:r>
    </w:p>
    <w:p>
      <w:pPr>
        <w:pStyle w:val="ListParagraph"/>
        <w:numPr>
          <w:ilvl w:val="0"/>
          <w:numId w:val="2"/>
        </w:numPr>
        <w:spacing w:after="70"/>
      </w:pPr>
      <w:r>
        <w:t xml:space="preserve">pip</w:t>
      </w:r>
    </w:p>
    <w:p>
      <w:pPr>
        <w:pStyle w:val="ListParagraph"/>
        <w:numPr>
          <w:ilvl w:val="0"/>
          <w:numId w:val="2"/>
        </w:numPr>
        <w:spacing w:after="70"/>
      </w:pPr>
      <w:r>
        <w:t xml:space="preserve">No external accounts needed to run the POC as delivered — it runs in mock mode by default</w:t>
      </w:r>
    </w:p>
    <w:p>
      <w:pPr>
        <w:pStyle w:val="ListParagraph"/>
        <w:numPr>
          <w:ilvl w:val="0"/>
          <w:numId w:val="2"/>
        </w:numPr>
        <w:spacing w:after="70"/>
      </w:pPr>
      <w:r>
        <w:t xml:space="preserve">Optional, for live mode: a Cohere API key, a Pinecone API key + index, a Zapier webhook URL, and an Anthropic API key</w:t>
      </w:r>
    </w:p>
    <w:p>
      <w:pPr>
        <w:pStyle w:val="Heading1"/>
        <w:spacing w:after="150" w:before="320"/>
      </w:pPr>
      <w:r>
        <w:t xml:space="preserve">3. Installation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50"/>
      </w:tblGrid>
      <w:tr>
        <w:tc>
          <w:tcPr>
            <w:tcW w:type="dxa" w:w="9350"/>
            <w:shd w:fill="F2F2F2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python3 -m venv venv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source venv/bin/activate        # on Windows: venv\Scripts\activate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pip install -r requirements.txt</w:t>
            </w:r>
          </w:p>
        </w:tc>
      </w:tr>
    </w:tbl>
    <w:p>
      <w:pPr>
        <w:pStyle w:val="Heading1"/>
        <w:spacing w:after="150" w:before="320"/>
      </w:pPr>
      <w:r>
        <w:t xml:space="preserve">4. Running the POC (mock mode — default, no API keys needed)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50"/>
      </w:tblGrid>
      <w:tr>
        <w:tc>
          <w:tcPr>
            <w:tcW w:type="dxa" w:w="9350"/>
            <w:shd w:fill="F2F2F2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python3 00_concepts_demo_failure_recovery.py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python3 01_claims_auth_basic.py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python3 02_claims_auth_with_cohere_pinecone_zapier.py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python3 03_claims_auth_full_with_llm_guardrails_cache.py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python3 04_claims_auth_hybrid_rag_confidence_circuitbreaker.py</w:t>
            </w:r>
          </w:p>
        </w:tc>
      </w:tr>
    </w:tbl>
    <w:p>
      <w:pPr>
        <w:spacing w:after="160"/>
      </w:pPr>
      <w:r>
        <w:t xml:space="preserve">Each script is self-contained and prints a trace of which node executed, in order, plus the final decision for each sample claim it processes. Each also creates local SQLite file(s) — safe to delete between runs for a clean slate.</w:t>
      </w:r>
    </w:p>
    <w:p>
      <w:pPr>
        <w:pStyle w:val="Heading2"/>
        <w:spacing w:after="100" w:before="220"/>
      </w:pPr>
      <w:r>
        <w:t xml:space="preserve">4.1 What to look for — 00_concepts_demo_failure_recovery.py</w:t>
      </w:r>
    </w:p>
    <w:p>
      <w:pPr>
        <w:pStyle w:val="ListParagraph"/>
        <w:numPr>
          <w:ilvl w:val="0"/>
          <w:numId w:val="2"/>
        </w:numPr>
        <w:spacing w:after="70"/>
      </w:pPr>
      <w:r>
        <w:t xml:space="preserve">RUN 1 deliberately fails inside process_record; RUN 2 (same thread_id) resumes and shows only the failed node and everything downstream re-executing.</w:t>
      </w:r>
    </w:p>
    <w:p>
      <w:pPr>
        <w:pStyle w:val="Heading2"/>
        <w:spacing w:after="100" w:before="220"/>
      </w:pPr>
      <w:r>
        <w:t xml:space="preserve">4.2 What to look for — 01_claims_auth_basic.py</w:t>
      </w:r>
    </w:p>
    <w:p>
      <w:pPr>
        <w:pStyle w:val="ListParagraph"/>
        <w:numPr>
          <w:ilvl w:val="0"/>
          <w:numId w:val="2"/>
        </w:numPr>
        <w:spacing w:after="70"/>
      </w:pPr>
      <w:r>
        <w:t xml:space="preserve">Claim A (clean): auto-approved. Claim B (unrecognized patient ID): rejected. Claim C (high value): flagged, graph genuinely pauses before route_to_siu_review; a simulated SIU decision is injected and the graph resumes.</w:t>
      </w:r>
    </w:p>
    <w:p>
      <w:pPr>
        <w:pStyle w:val="Heading2"/>
        <w:spacing w:after="100" w:before="220"/>
      </w:pPr>
      <w:r>
        <w:t xml:space="preserve">4.3 What to look for — 02_claims_auth_with_cohere_pinecone_zapier.py</w:t>
      </w:r>
    </w:p>
    <w:p>
      <w:pPr>
        <w:pStyle w:val="ListParagraph"/>
        <w:numPr>
          <w:ilvl w:val="0"/>
          <w:numId w:val="2"/>
        </w:numPr>
        <w:spacing w:after="70"/>
      </w:pPr>
      <w:r>
        <w:t xml:space="preserve">Claim D (clean): approved. Claim E (matches a mock known-FWA case): flagged, Zapier notified, pauses for SIU review, DENIED injected, resumed.</w:t>
      </w:r>
    </w:p>
    <w:p>
      <w:pPr>
        <w:pStyle w:val="Heading2"/>
        <w:spacing w:after="100" w:before="220"/>
      </w:pPr>
      <w:r>
        <w:t xml:space="preserve">4.4 What to look for — 03_claims_auth_full_with_llm_guardrails_cache.py</w:t>
      </w:r>
    </w:p>
    <w:p>
      <w:pPr>
        <w:pStyle w:val="ListParagraph"/>
        <w:numPr>
          <w:ilvl w:val="0"/>
          <w:numId w:val="2"/>
        </w:numPr>
        <w:spacing w:after="70"/>
      </w:pPr>
      <w:r>
        <w:t xml:space="preserve">Claim F: cache MISS on first embedding. Claim G (same narrative, different claim): cache HIT, Cohere never called. Claim H: LLM flags it, output guardrail passes, pauses for SIU. Claim I (prompt-injection attempt): blocked by the INPUT guardrail — check_narrative_embedding and llm_fraud_reasoning never execute at all.</w:t>
      </w:r>
    </w:p>
    <w:p>
      <w:pPr>
        <w:pStyle w:val="Heading2"/>
        <w:spacing w:after="100" w:before="220"/>
      </w:pPr>
      <w:r>
        <w:t xml:space="preserve">4.5 What to look for — 04_claims_auth_hybrid_rag_confidence_circuitbreaker.py</w:t>
      </w:r>
    </w:p>
    <w:p>
      <w:pPr>
        <w:pStyle w:val="ListParagraph"/>
        <w:numPr>
          <w:ilvl w:val="0"/>
          <w:numId w:val="2"/>
        </w:numPr>
        <w:spacing w:after="70"/>
      </w:pPr>
      <w:r>
        <w:t xml:space="preserve">Claim J (clean): hybrid retrieval finds low genuine similarity; LLM, grounded in retrieved guidelines, recommends approve at high confidence → auto-approved.</w:t>
      </w:r>
    </w:p>
    <w:p>
      <w:pPr>
        <w:pStyle w:val="ListParagraph"/>
        <w:numPr>
          <w:ilvl w:val="0"/>
          <w:numId w:val="2"/>
        </w:numPr>
        <w:spacing w:after="70"/>
      </w:pPr>
      <w:r>
        <w:t xml:space="preserve">Claim K (Pinecone permanently failing): retries once, fails again, circuit breaker trips after MAX_TOOL_ERRORS — escalates to human review without ever reaching the LLM.</w:t>
      </w:r>
    </w:p>
    <w:p>
      <w:pPr>
        <w:pStyle w:val="ListParagraph"/>
        <w:numPr>
          <w:ilvl w:val="0"/>
          <w:numId w:val="2"/>
        </w:numPr>
        <w:spacing w:after="70"/>
      </w:pPr>
      <w:r>
        <w:t xml:space="preserve">Claim L (near-exact match to a known FWA case): dense similarity ≈1.0, LLM flags at very high confidence → confidence gate auto-rejects outright, no pause, no human gate.</w:t>
      </w:r>
    </w:p>
    <w:p>
      <w:pPr>
        <w:pStyle w:val="ListParagraph"/>
        <w:numPr>
          <w:ilvl w:val="0"/>
          <w:numId w:val="2"/>
        </w:numPr>
        <w:spacing w:after="70"/>
      </w:pPr>
      <w:r>
        <w:t xml:space="preserve">Claim M (ambiguous, partially-documented claim): dense similarity ≈0.80 — high enough to flag, not high enough to auto-reject — lands in the uncertain middle and is routed to a human SIU reviewer.</w:t>
      </w:r>
    </w:p>
    <w:p>
      <w:pPr>
        <w:pStyle w:val="Heading1"/>
        <w:spacing w:after="150" w:before="320"/>
      </w:pPr>
      <w:r>
        <w:t xml:space="preserve">5. Switching to Live APIs</w:t>
      </w:r>
    </w:p>
    <w:p>
      <w:pPr>
        <w:spacing w:after="160"/>
      </w:pPr>
      <w:r>
        <w:t xml:space="preserve">Live calls are not required to evaluate this POC's logic — mock mode exercises every node, every routing decision, and the human-in-the-loop pause exactly as live mode would. To run against real services:</w:t>
      </w:r>
    </w:p>
    <w:p>
      <w:pPr>
        <w:spacing w:after="80" w:before="120"/>
      </w:pPr>
      <w:r>
        <w:rPr>
          <w:b/>
          <w:bCs/>
        </w:rPr>
        <w:t xml:space="preserve">Step 1 — Configure credentials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50"/>
      </w:tblGrid>
      <w:tr>
        <w:tc>
          <w:tcPr>
            <w:tcW w:type="dxa" w:w="9350"/>
            <w:shd w:fill="F2F2F2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cp .env.example .env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# then fill in COHERE_API_KEY, PINECONE_API_KEY,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# PINECONE_INDEX_NAME, ZAPIER_WEBHOOK_URL, ANTHROPIC_API_KEY</w:t>
            </w:r>
          </w:p>
        </w:tc>
      </w:tr>
    </w:tbl>
    <w:p>
      <w:pPr>
        <w:spacing w:after="80" w:before="160"/>
      </w:pPr>
      <w:r>
        <w:rPr>
          <w:b/>
          <w:bCs/>
        </w:rPr>
        <w:t xml:space="preserve">Step 2 — Flip the flag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50"/>
      </w:tblGrid>
      <w:tr>
        <w:tc>
          <w:tcPr>
            <w:tcW w:type="dxa" w:w="9350"/>
            <w:shd w:fill="F2F2F2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# in the script you're running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USE_LIVE_APIS = True</w:t>
            </w:r>
          </w:p>
        </w:tc>
      </w:tr>
    </w:tbl>
    <w:p>
      <w:pPr>
        <w:spacing w:after="80" w:before="160"/>
      </w:pPr>
      <w:r>
        <w:rPr>
          <w:b/>
          <w:bCs/>
        </w:rPr>
        <w:t xml:space="preserve">Step 3 — Create the Pinecone index (dimension must match the embedding model)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50"/>
      </w:tblGrid>
      <w:tr>
        <w:tc>
          <w:tcPr>
            <w:tcW w:type="dxa" w:w="9350"/>
            <w:shd w:fill="F2F2F2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from pinecone import Pinecone, ServerlessSpec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pc = Pinecone(api_key="...")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pc.create_index(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name="claims-fraud-cases",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dimension=1024,   # matches Cohere embed-english-v3.0 output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metric="cosine",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spec=ServerlessSpec(cloud="aws", region="us-east-1"),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)</w:t>
            </w:r>
          </w:p>
        </w:tc>
      </w:tr>
    </w:tbl>
    <w:p>
      <w:pPr>
        <w:spacing w:after="160"/>
      </w:pPr>
      <w:r>
        <w:t xml:space="preserve">You will also need to upsert your real historical FWA-case embeddings into that index — the mock's sample vectors are standing in for that data.</w:t>
      </w:r>
    </w:p>
    <w:p>
      <w:pPr>
        <w:spacing w:after="80" w:before="160"/>
      </w:pPr>
      <w:r>
        <w:rPr>
          <w:b/>
          <w:bCs/>
        </w:rPr>
        <w:t xml:space="preserve">Step 4 — Create the Zapier webhook</w:t>
      </w:r>
    </w:p>
    <w:p>
      <w:pPr>
        <w:spacing w:after="160"/>
      </w:pPr>
      <w:r>
        <w:t xml:space="preserve">Create a Zap with a “Catch Hook” trigger step, copy its unique webhook URL into ZAPIER_WEBHOOK_URL.</w:t>
      </w:r>
    </w:p>
    <w:p>
      <w:pPr>
        <w:spacing w:after="80" w:before="160"/>
      </w:pPr>
      <w:r>
        <w:rPr>
          <w:b/>
          <w:bCs/>
        </w:rPr>
        <w:t xml:space="preserve">Step 5 — Anthropic (scripts 03 and 04)</w:t>
      </w:r>
    </w:p>
    <w:p>
      <w:pPr>
        <w:spacing w:after="160"/>
      </w:pPr>
      <w:r>
        <w:t xml:space="preserve">Set ANTHROPIC_API_KEY. LLM_MODEL is set to “claude-sonnet-5” near the top of each script — change it if you want a different model.</w:t>
      </w:r>
    </w:p>
    <w:p>
      <w:pPr>
        <w:spacing w:after="80" w:before="160"/>
      </w:pPr>
      <w:r>
        <w:rPr>
          <w:b/>
          <w:bCs/>
        </w:rPr>
        <w:t xml:space="preserve">Step 6 — BM25 (script 04)</w:t>
      </w:r>
    </w:p>
    <w:p>
      <w:pPr>
        <w:spacing w:after="160"/>
      </w:pPr>
      <w:r>
        <w:t xml:space="preserve">No setup needed even in live mode — rank_bm25 runs entirely locally. To run it against your real corpus, replace the _FWA_CASES and _GUIDELINES dictionaries near the top of the script with your real data.</w:t>
      </w:r>
    </w:p>
    <w:p>
      <w:pPr>
        <w:pStyle w:val="Heading1"/>
        <w:spacing w:after="150" w:before="320"/>
      </w:pPr>
      <w:r>
        <w:t xml:space="preserve">6. Testing Checklist</w:t>
      </w:r>
    </w:p>
    <w:p>
      <w:pPr>
        <w:spacing w:after="90"/>
      </w:pPr>
      <w:r>
        <w:t xml:space="preserve">☐  00_...py Run 1 fails inside process_record; Run 2 shows only the failed node re-executing</w:t>
      </w:r>
    </w:p>
    <w:p>
      <w:pPr>
        <w:spacing w:after="90"/>
      </w:pPr>
      <w:r>
        <w:t xml:space="preserve">☐  01_...py Claim A APPROVED; Claim B REJECTED before reaching fraud checks; Claim C pauses then resumes with the injected SIU decision</w:t>
      </w:r>
    </w:p>
    <w:p>
      <w:pPr>
        <w:spacing w:after="90"/>
      </w:pPr>
      <w:r>
        <w:t xml:space="preserve">☐  02_...py Claim D APPROVED via embedding + similarity; Claim E flagged, Zapier notified, pauses, resumes DENIED</w:t>
      </w:r>
    </w:p>
    <w:p>
      <w:pPr>
        <w:spacing w:after="90"/>
      </w:pPr>
      <w:r>
        <w:t xml:space="preserve">☐  03_...py Claim F cache MISS; Claim G cache HIT (embedding_cache_hit is True); Claim H LLM flags + pauses; Claim I blocked by the INPUT guardrail before any external call</w:t>
      </w:r>
    </w:p>
    <w:p>
      <w:pPr>
        <w:spacing w:after="90"/>
      </w:pPr>
      <w:r>
        <w:t xml:space="preserve">☐  04_...py Claim J auto-approves via hybrid retrieval + grounded LLM reasoning</w:t>
      </w:r>
    </w:p>
    <w:p>
      <w:pPr>
        <w:spacing w:after="90"/>
      </w:pPr>
      <w:r>
        <w:t xml:space="preserve">☐  04_...py Claim K shows two failed retries, then circuit_breaker_escalate, then a pause — confirms llm_fraud_reasoning never ran</w:t>
      </w:r>
    </w:p>
    <w:p>
      <w:pPr>
        <w:spacing w:after="90"/>
      </w:pPr>
      <w:r>
        <w:t xml:space="preserve">☐  04_...py Claim L shows dense_score near 1.0 and finalizes REJECTED with no pause — a fully automated decision</w:t>
      </w:r>
    </w:p>
    <w:p>
      <w:pPr>
        <w:spacing w:after="90"/>
      </w:pPr>
      <w:r>
        <w:t xml:space="preserve">☐  04_...py Claim M shows a mid-range dense_score, a flag recommendation below the auto-reject confidence bar, and a genuine pause for human review</w:t>
      </w:r>
    </w:p>
    <w:p>
      <w:pPr>
        <w:spacing w:after="90"/>
      </w:pPr>
      <w:r>
        <w:t xml:space="preserve">☐  Deleting the .sqlite files between runs produces identical output (no hidden state leakage)</w:t>
      </w:r>
    </w:p>
    <w:p>
      <w:pPr>
        <w:spacing w:after="90"/>
      </w:pPr>
      <w:r>
        <w:t xml:space="preserve">☐  Re-invoking a thread_id that already reached END returns final state without re-executing any node</w:t>
      </w:r>
    </w:p>
    <w:p>
      <w:pPr>
        <w:pStyle w:val="Heading1"/>
        <w:spacing w:after="150" w:before="320"/>
      </w:pPr>
      <w:r>
        <w:t xml:space="preserve">7. Troubleshooting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900"/>
        <w:gridCol w:w="5450"/>
      </w:tblGrid>
      <w:tr>
        <w:trPr>
          <w:tblHeader/>
        </w:trPr>
        <w:tc>
          <w:tcPr>
            <w:tcW w:type="dxa" w:w="3900"/>
            <w:shd w:fill="2C5F8A" w:val="clea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Symptom</w:t>
            </w:r>
          </w:p>
        </w:tc>
        <w:tc>
          <w:tcPr>
            <w:tcW w:type="dxa" w:w="5450"/>
            <w:shd w:fill="2C5F8A" w:val="clea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Likely Cause</w:t>
            </w:r>
          </w:p>
        </w:tc>
      </w:tr>
      <w:tr>
        <w:tc>
          <w:tcPr>
            <w:tcW w:type="dxa" w:w="3900"/>
          </w:tcPr>
          <w:p>
            <w:r>
              <w:rPr>
                <w:sz w:val="19"/>
                <w:szCs w:val="19"/>
              </w:rPr>
              <w:t xml:space="preserve">ModuleNotFoundError: No module named 'langgraph', 'anthropic', or 'rank_bm25'</w:t>
            </w:r>
          </w:p>
        </w:tc>
        <w:tc>
          <w:tcPr>
            <w:tcW w:type="dxa" w:w="5450"/>
          </w:tcPr>
          <w:p>
            <w:r>
              <w:rPr>
                <w:sz w:val="19"/>
                <w:szCs w:val="19"/>
              </w:rPr>
              <w:t xml:space="preserve">Virtual environment not activated, or pip install -r requirements.txt not run</w:t>
            </w:r>
          </w:p>
        </w:tc>
      </w:tr>
      <w:tr>
        <w:tc>
          <w:tcPr>
            <w:tcW w:type="dxa" w:w="3900"/>
          </w:tcPr>
          <w:p>
            <w:r>
              <w:rPr>
                <w:sz w:val="19"/>
                <w:szCs w:val="19"/>
              </w:rPr>
              <w:t xml:space="preserve">pinecone-client install error / deprecation exception on import</w:t>
            </w:r>
          </w:p>
        </w:tc>
        <w:tc>
          <w:tcPr>
            <w:tcW w:type="dxa" w:w="5450"/>
          </w:tcPr>
          <w:p>
            <w:r>
              <w:rPr>
                <w:sz w:val="19"/>
                <w:szCs w:val="19"/>
              </w:rPr>
              <w:t xml:space="preserve">Use the pinecone package, not pinecone-client — requirements.txt already specifies the correct one</w:t>
            </w:r>
          </w:p>
        </w:tc>
      </w:tr>
      <w:tr>
        <w:tc>
          <w:tcPr>
            <w:tcW w:type="dxa" w:w="3900"/>
          </w:tcPr>
          <w:p>
            <w:r>
              <w:rPr>
                <w:sz w:val="19"/>
                <w:szCs w:val="19"/>
              </w:rPr>
              <w:t xml:space="preserve">Graph “resumes” but re-runs everything from scratch</w:t>
            </w:r>
          </w:p>
        </w:tc>
        <w:tc>
          <w:tcPr>
            <w:tcW w:type="dxa" w:w="5450"/>
          </w:tcPr>
          <w:p>
            <w:r>
              <w:rPr>
                <w:sz w:val="19"/>
                <w:szCs w:val="19"/>
              </w:rPr>
              <w:t xml:space="preserve">thread_id changed between calls, or the .sqlite file was deleted</w:t>
            </w:r>
          </w:p>
        </w:tc>
      </w:tr>
      <w:tr>
        <w:tc>
          <w:tcPr>
            <w:tcW w:type="dxa" w:w="3900"/>
          </w:tcPr>
          <w:p>
            <w:r>
              <w:rPr>
                <w:sz w:val="19"/>
                <w:szCs w:val="19"/>
              </w:rPr>
              <w:t xml:space="preserve">graph.invoke(None, config) raises KeyError on thread</w:t>
            </w:r>
          </w:p>
        </w:tc>
        <w:tc>
          <w:tcPr>
            <w:tcW w:type="dxa" w:w="5450"/>
          </w:tcPr>
          <w:p>
            <w:r>
              <w:rPr>
                <w:sz w:val="19"/>
                <w:szCs w:val="19"/>
              </w:rPr>
              <w:t xml:space="preserve">The graph must be invoked at least once with real input for a given thread_id before it can be resumed with None</w:t>
            </w:r>
          </w:p>
        </w:tc>
      </w:tr>
      <w:tr>
        <w:tc>
          <w:tcPr>
            <w:tcW w:type="dxa" w:w="3900"/>
          </w:tcPr>
          <w:p>
            <w:r>
              <w:rPr>
                <w:sz w:val="19"/>
                <w:szCs w:val="19"/>
              </w:rPr>
              <w:t xml:space="preserve">Live Cohere/Pinecone/Zapier/Anthropic calls fail with connection errors</w:t>
            </w:r>
          </w:p>
        </w:tc>
        <w:tc>
          <w:tcPr>
            <w:tcW w:type="dxa" w:w="5450"/>
          </w:tcPr>
          <w:p>
            <w:r>
              <w:rPr>
                <w:sz w:val="19"/>
                <w:szCs w:val="19"/>
              </w:rPr>
              <w:t xml:space="preserve">Confirm USE_LIVE_APIS = True, .env is loaded, and outbound HTTPS is allowed to the relevant vendor domain</w:t>
            </w:r>
          </w:p>
        </w:tc>
      </w:tr>
      <w:tr>
        <w:tc>
          <w:tcPr>
            <w:tcW w:type="dxa" w:w="3900"/>
          </w:tcPr>
          <w:p>
            <w:r>
              <w:rPr>
                <w:sz w:val="19"/>
                <w:szCs w:val="19"/>
              </w:rPr>
              <w:t xml:space="preserve">TypeError: Type is not msgpack serializable: numpy.float64 when checkpointing</w:t>
            </w:r>
          </w:p>
        </w:tc>
        <w:tc>
          <w:tcPr>
            <w:tcW w:type="dxa" w:w="5450"/>
          </w:tcPr>
          <w:p>
            <w:r>
              <w:rPr>
                <w:sz w:val="19"/>
                <w:szCs w:val="19"/>
              </w:rPr>
              <w:t xml:space="preserve">A numpy scalar leaked into state unconverted — cast with float(...) before returning it from a node (hit this once building script 04's BM25 fusion; every BM25/fused score is now cast explicitly)</w:t>
            </w:r>
          </w:p>
        </w:tc>
      </w:tr>
      <w:tr>
        <w:tc>
          <w:tcPr>
            <w:tcW w:type="dxa" w:w="3900"/>
          </w:tcPr>
          <w:p>
            <w:r>
              <w:rPr>
                <w:sz w:val="19"/>
                <w:szCs w:val="19"/>
              </w:rPr>
              <w:t xml:space="preserve">A clean claim unexpectedly gets auto-rejected</w:t>
            </w:r>
          </w:p>
        </w:tc>
        <w:tc>
          <w:tcPr>
            <w:tcW w:type="dxa" w:w="5450"/>
          </w:tcPr>
          <w:p>
            <w:r>
              <w:rPr>
                <w:sz w:val="19"/>
                <w:szCs w:val="19"/>
              </w:rPr>
              <w:t xml:space="preserve">Check which similarity field a threshold is compared against — fused_score is rank-normalized and always sits near 1.0 for the top candidate regardless of true similarity; use dense_score for absolute thresholds instead (this was an early bug in script 04, since fixed)</w:t>
            </w:r>
          </w:p>
        </w:tc>
      </w:tr>
    </w:tbl>
    <w:p>
      <w:pPr>
        <w:pStyle w:val="Heading1"/>
        <w:spacing w:after="150" w:before="320"/>
      </w:pPr>
      <w:r>
        <w:t xml:space="preserve">8. Known Limitations (by design, for POC scope)</w:t>
      </w:r>
    </w:p>
    <w:p>
      <w:pPr>
        <w:pStyle w:val="ListParagraph"/>
        <w:numPr>
          <w:ilvl w:val="0"/>
          <w:numId w:val="2"/>
        </w:numPr>
        <w:spacing w:after="70"/>
      </w:pPr>
      <w:r>
        <w:t xml:space="preserve">Fraud detection combines deterministic rules, hybrid similarity, and LLM reasoning — none of these are a trained fraud model</w:t>
      </w:r>
    </w:p>
    <w:p>
      <w:pPr>
        <w:pStyle w:val="ListParagraph"/>
        <w:numPr>
          <w:ilvl w:val="0"/>
          <w:numId w:val="2"/>
        </w:numPr>
        <w:spacing w:after="70"/>
      </w:pPr>
      <w:r>
        <w:t xml:space="preserve">The mock embedding (script 04) is a simple hashing-trick bag-of-words, not a real semantic embedding — good enough to demonstrate hybrid fusion and threshold logic, not a substitute for a real embedding model</w:t>
      </w:r>
    </w:p>
    <w:p>
      <w:pPr>
        <w:pStyle w:val="ListParagraph"/>
        <w:numPr>
          <w:ilvl w:val="0"/>
          <w:numId w:val="2"/>
        </w:numPr>
        <w:spacing w:after="70"/>
      </w:pPr>
      <w:r>
        <w:t xml:space="preserve">The confidence-gate thresholds are illustrative starting points, not calibrated against real labeled claims data</w:t>
      </w:r>
    </w:p>
    <w:p>
      <w:pPr>
        <w:pStyle w:val="ListParagraph"/>
        <w:numPr>
          <w:ilvl w:val="0"/>
          <w:numId w:val="2"/>
        </w:numPr>
        <w:spacing w:after="70"/>
      </w:pPr>
      <w:r>
        <w:t xml:space="preserve">No authentication, encryption, or PHI-handling hardening — do not point this at real patient/claim data as-is</w:t>
      </w:r>
    </w:p>
    <w:p>
      <w:pPr>
        <w:pStyle w:val="ListParagraph"/>
        <w:numPr>
          <w:ilvl w:val="0"/>
          <w:numId w:val="2"/>
        </w:numPr>
        <w:spacing w:after="70"/>
      </w:pPr>
      <w:r>
        <w:t xml:space="preserve">SQLite checkpointing and the SQLite cache suit a single-process POC; a concurrent production deployment should move to Postgres-backed equivalents</w:t>
      </w:r>
    </w:p>
    <w:p>
      <w:pPr>
        <w:pStyle w:val="ListParagraph"/>
        <w:numPr>
          <w:ilvl w:val="0"/>
          <w:numId w:val="2"/>
        </w:numPr>
        <w:spacing w:after="70"/>
      </w:pPr>
      <w:r>
        <w:t xml:space="preserve">The Zapier notification call is not idempotent — a checkpoint replay immediately after a successful call could send a duplicate notification</w:t>
      </w:r>
    </w:p>
    <w:p>
      <w:pPr>
        <w:pStyle w:val="ListParagraph"/>
        <w:numPr>
          <w:ilvl w:val="0"/>
          <w:numId w:val="2"/>
        </w:numPr>
        <w:spacing w:after="70"/>
      </w:pPr>
      <w:r>
        <w:t xml:space="preserve">The guardrails are intentionally simple (schema/pattern checks) — a production system would likely want a dedicated classifier or a second LLM-as-judge call</w:t>
      </w:r>
    </w:p>
    <w:p>
      <w:pPr>
        <w:pStyle w:val="ListParagraph"/>
        <w:numPr>
          <w:ilvl w:val="0"/>
          <w:numId w:val="2"/>
        </w:numPr>
        <w:spacing w:after="70"/>
      </w:pPr>
      <w:r>
        <w:t xml:space="preserve">The embedding cache has no eviction/TTL policy — it grows unbounded</w:t>
      </w:r>
    </w:p>
    <w:p>
      <w:pPr>
        <w:pStyle w:val="ListParagraph"/>
        <w:numPr>
          <w:ilvl w:val="0"/>
          <w:numId w:val="2"/>
        </w:numPr>
        <w:spacing w:after="70"/>
      </w:pPr>
      <w:r>
        <w:t xml:space="preserve">The circuit breaker tracks failures only within a single claim's run — a production version would also track failure rate across claims/time</w:t>
      </w:r>
    </w:p>
    <w:p>
      <w:pPr>
        <w:spacing w:after="180"/>
      </w:pP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5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2026-08-13T06:21:48.851Z</dcterms:created>
  <dcterms:modified xsi:type="dcterms:W3CDTF">2026-08-13T06:21:48.852Z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