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5F8A"/>
          <w:sz w:val="44"/>
          <w:szCs w:val="44"/>
        </w:rPr>
        <w:t xml:space="preserve">Healthcare Claims Authentication POC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Use Case and Proof-of-Concept Summary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Final version — covers all five POC scripts</w:t>
      </w:r>
    </w:p>
    <w:p>
      <w:pPr>
        <w:pStyle w:val="Heading1"/>
        <w:spacing w:after="150" w:before="300"/>
      </w:pPr>
      <w:r>
        <w:t xml:space="preserve">1. Business Context</w:t>
      </w:r>
    </w:p>
    <w:p>
      <w:pPr>
        <w:spacing w:after="160"/>
      </w:pPr>
      <w:r>
        <w:t xml:space="preserve">Health plan claims processing today relies heavily on manual review for member identity verification, insurance coverage validation, and fraud/waste/abuse (FWA) triage. This is slow, inconsistent across reviewers, and expensive to scale as claim volume grows. FWA signals are easy to miss when a human reviewer has no fast way to check a new claim against known FWA patterns, and no structured way to reason over a claim narrative against actual billing guidelines rather than just its coded fields.</w:t>
      </w:r>
    </w:p>
    <w:p>
      <w:pPr>
        <w:spacing w:after="160"/>
      </w:pPr>
      <w:r>
        <w:t xml:space="preserve">This POC demonstrates an agentic orchestration approach to claims authentication: a defined, auditable workflow that automates the mechanical steps (identity check, coverage check, hybrid similarity search, guideline-grounded LLM reasoning) while making the automation's own confidence explicit — auto-deciding only where the evidence is strong, and routing everything else, including any tool or model failure, to a human Special Investigations Unit (SIU) reviewer.</w:t>
      </w:r>
    </w:p>
    <w:p>
      <w:pPr>
        <w:pStyle w:val="Heading1"/>
        <w:spacing w:after="150" w:before="300"/>
      </w:pPr>
      <w:r>
        <w:t xml:space="preserve">2. POC Objective</w:t>
      </w:r>
    </w:p>
    <w:p>
      <w:pPr>
        <w:spacing w:after="160"/>
      </w:pPr>
      <w:r>
        <w:t xml:space="preserve">Demonstrate, across five incrementally-built scripts, that an agentic pipeline built on LangGraph 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patient identity and insurance coverage as discrete, auditable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semantic embedding of the claim narrative, cache it, and check it against known FWA cases using hybrid retrieval (dense similarity + BM25 keyword search, fused)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 LLM reasoning in retrieved source text — actual billing guideline excerpts, not just a bare similarity score — and instruct the model to answer only from what's retrieved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 both sides of the LLM call — blocking malicious/malformed input before it reaches any external service, and validating the LLM's output before it is trusted, failing closed to human review if it can't be validated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LLM's own confidence, not just its recommendation, to drive a three-way decision: auto-approve, auto-reject, or send to a human — reserving automation for the cases where the evidence actually supports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tool reliability separately from content validity — a circuit breaker escalates to human review after repeated Pinecone/BM25 failures, distinct from the guardrails' content checks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 from exactly where it left off after a transient failure, without re-running steps that already completed, and avoid redundant external calls via a persistent cache</w:t>
      </w:r>
    </w:p>
    <w:p>
      <w:pPr>
        <w:pStyle w:val="Heading1"/>
        <w:spacing w:after="150" w:before="300"/>
      </w:pPr>
      <w:r>
        <w:t xml:space="preserve">3. Scope of This POC</w:t>
      </w:r>
    </w:p>
    <w:p>
      <w:pPr>
        <w:pStyle w:val="Heading2"/>
        <w:spacing w:after="120" w:before="24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orchestration logic (LangGraph StateGraph): nodes, conditional routing, state schema, checkpointing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points for Cohere (embeddings), Pinecone (dense retrieval), Zapier (notification), and Anthropic (LLM reasoning) — built against the real SDKs, running in a deterministic mock mode by default so the POC runs with no external cost or API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retrieval combining Pinecone dense search with a real BM25 keyword search (rank_bm25), fused into a single ranking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grounding: LLM reasoning is grounded in retrieved billing-guideline text, not just a similarity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and output guardrails around the LLM reasoning step, with a fail-closed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circuit breaker, distinct from the guardrails, tracking tool-call reliability and escalating after repeated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confidence-driven three-way decision gate (auto-approve / auto-reject / human review)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persistent embedding cache, separate from the workflow checkpointer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human-in-the-loop interrupt pattern (graph pauses, a human injects a decision, graph resumes)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Five runnable scripts demonstrating incrementally: (1) generic failure-recovery mechanics, (2) the claims workflow with a mock human gate, (3) real Cohere/Pinecone/Zapier integration points, (4) LLM reasoning with guardrails and caching, (5) hybrid retrieval, RAG grounding, the confidence gate, and the circuit breaker</w:t>
      </w:r>
    </w:p>
    <w:p>
      <w:pPr>
        <w:pStyle w:val="Heading2"/>
        <w:spacing w:after="120" w:before="240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Production-grade security (auth, encryption at rest/in transit, PHI handling, secrets management, signed BAAs with vendors)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trained fraud model — fraud detection combines deterministic rules, hybrid similarity, and LLM reasoning, not a model trained on labeled claims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Calibration of the decision gate's confidence thresholds against real labeled outcomes — the current thresholds are illustrative starting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production UI for the SIU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Multi-tenancy, load testing, or SLA-bound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 compliance review (e.g., HIPAA audit readiness)</w:t>
      </w:r>
    </w:p>
    <w:p>
      <w:pPr>
        <w:pStyle w:val="Heading1"/>
        <w:spacing w:after="150" w:before="300"/>
      </w:pPr>
      <w:r>
        <w:t xml:space="preserve">4. What the POC Proves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250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Evidence in POC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State management across steps</w:t>
            </w:r>
          </w:p>
        </w:tc>
        <w:tc>
          <w:tcPr>
            <w:tcW w:type="dxa" w:w="6250"/>
          </w:tcPr>
          <w:p>
            <w:r>
              <w:t xml:space="preserve">Shared TypedDict state schema (ClaimState) flows through every node; reducers control how fields merge (e.g. append-only log)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Conditional decision logic</w:t>
            </w:r>
          </w:p>
        </w:tc>
        <w:tc>
          <w:tcPr>
            <w:tcW w:type="dxa" w:w="6250"/>
          </w:tcPr>
          <w:p>
            <w:r>
              <w:t xml:space="preserve">Routing points for identity, input-guardrail, tool-call success/failure, output-guardrail, and the three-way confidence decision, each a plain Python function reading state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Failure recovery without full re-run</w:t>
            </w:r>
          </w:p>
        </w:tc>
        <w:tc>
          <w:tcPr>
            <w:tcW w:type="dxa" w:w="6250"/>
          </w:tcPr>
          <w:p>
            <w:r>
              <w:t xml:space="preserve">SQLite checkpointer persists state after every node; re-invoking with the same thread_id resumes only the failed node and downstream steps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Hybrid retrieval</w:t>
            </w:r>
          </w:p>
        </w:tc>
        <w:tc>
          <w:tcPr>
            <w:tcW w:type="dxa" w:w="6250"/>
          </w:tcPr>
          <w:p>
            <w:r>
              <w:t xml:space="preserve">check_similar_fraud_cases_hybrid fuses Pinecone dense similarity with a real BM25 keyword search (rank_bm25) into one ranked result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RAG grounding</w:t>
            </w:r>
          </w:p>
        </w:tc>
        <w:tc>
          <w:tcPr>
            <w:tcW w:type="dxa" w:w="6250"/>
          </w:tcPr>
          <w:p>
            <w:r>
              <w:t xml:space="preserve">retrieve_guidelines retrieves actual billing-guideline text via the same hybrid approach; that text is placed directly in the LLM prompt with an explicit answer-only-from-what's-provided instruction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Confidence-driven automation</w:t>
            </w:r>
          </w:p>
        </w:tc>
        <w:tc>
          <w:tcPr>
            <w:tcW w:type="dxa" w:w="6250"/>
          </w:tcPr>
          <w:p>
            <w:r>
              <w:t xml:space="preserve">confidence_decision_gate reads the LLM's recommended_action AND confidence together, auto-approving or auto-rejecting only above defined thresholds and routing everything else to a human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A circuit breaker distinct from guardrails</w:t>
            </w:r>
          </w:p>
        </w:tc>
        <w:tc>
          <w:tcPr>
            <w:tcW w:type="dxa" w:w="6250"/>
          </w:tcPr>
          <w:p>
            <w:r>
              <w:t xml:space="preserve">check_similar_fraud_cases_hybrid retries on tool failure up to MAX_TOOL_ERRORS, then escalates to human review without ever reaching the LLM — a reliability concern, not a content-validity one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Guardrails on both sides of the LLM</w:t>
            </w:r>
          </w:p>
        </w:tc>
        <w:tc>
          <w:tcPr>
            <w:tcW w:type="dxa" w:w="6250"/>
          </w:tcPr>
          <w:p>
            <w:r>
              <w:t xml:space="preserve">An input guardrail blocks prompt-injection / unredacted-PHI narratives before any external call; an output guardrail validates the LLM's response and fails closed to human review if it can't be trusted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Caching</w:t>
            </w:r>
          </w:p>
        </w:tc>
        <w:tc>
          <w:tcPr>
            <w:tcW w:type="dxa" w:w="6250"/>
          </w:tcPr>
          <w:p>
            <w:r>
              <w:t xml:space="preserve">check_narrative_embedding looks up a persistent SQLite cache keyed by a hash of the narrative before calling Cohere, avoiding redundant embedding calls for repeated narratives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Human-in-the-loop control</w:t>
            </w:r>
          </w:p>
        </w:tc>
        <w:tc>
          <w:tcPr>
            <w:tcW w:type="dxa" w:w="6250"/>
          </w:tcPr>
          <w:p>
            <w:r>
              <w:t xml:space="preserve">interrupt_before halts the graph before the SIU-routing node; a human calls update_state() to inject a decision, then the graph resumes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Auditability</w:t>
            </w:r>
          </w:p>
        </w:tc>
        <w:tc>
          <w:tcPr>
            <w:tcW w:type="dxa" w:w="6250"/>
          </w:tcPr>
          <w:p>
            <w:r>
              <w:t xml:space="preserve">Every node appends to a persisted, ordered log field, giving a full trace of what ran and in what order for each claim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Recommended Next Steps if Advancing Beyond POC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Calibrate the confidence-gate thresholds (auto-approve, auto-reject, and the minimum-similarity requirement for auto-reject) against real labeled claims data rather than illustrative starting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mock rule-based/similarity fraud signals with a trained model, and expand the guideline corpus beyond a handful of mock CMS-style rules to real, current billing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 up a real Pinecone index and a production BM25/keyword index seeded with historical confirmed-FWA embeddings and case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circuit-breaker failures across claims and time, not just within a single claim's run, to detect a genuinely down dependency faster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Externalize and version the LLM prompt so it can be A/B tested and updated without a code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lightweight evaluation loop (RAGAS-style context precision / faithfulness / relevancy scoring) on a sample of production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minimal SIU review UI backed by graph.get_state() across all pending thread_ids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idempotency keys to the Zapier notification call to prevent duplicate notifications on checkpoint replay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from SQLite to production-grade checkpoint and cache stores (e.g. Postgres) for concurrent multi-claim throughput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authentication, PHI handling review, signed BAAs with vendors, and audit-log export as part of a security/compliance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2026-08-13T06:19:54.310Z</dcterms:created>
  <dcterms:modified xsi:type="dcterms:W3CDTF">2026-08-13T06:19:54.326Z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