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C5F8A"/>
          <w:sz w:val="44"/>
          <w:szCs w:val="44"/>
        </w:rPr>
        <w:t xml:space="preserve">Claims Authentication POC</w:t>
      </w:r>
    </w:p>
    <w:p>
      <w:pPr>
        <w:spacing w:after="400"/>
      </w:pPr>
      <w:r>
        <w:rPr>
          <w:color w:val="444444"/>
          <w:sz w:val="28"/>
          <w:szCs w:val="28"/>
        </w:rPr>
        <w:t xml:space="preserve">Technologies, Tools &amp; Frameworks</w:t>
      </w:r>
    </w:p>
    <w:p>
      <w:pPr>
        <w:pStyle w:val="Heading1"/>
        <w:spacing w:after="150" w:before="320"/>
      </w:pPr>
      <w:r>
        <w:t xml:space="preserve">1. Summary Table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050"/>
        <w:gridCol w:w="2100"/>
        <w:gridCol w:w="1900"/>
        <w:gridCol w:w="2200"/>
      </w:tblGrid>
      <w:tr>
        <w:trPr>
          <w:tblHeader/>
        </w:trPr>
        <w:tc>
          <w:tcPr>
            <w:tcW w:type="dxa" w:w="2100"/>
            <w:shd w:fill="2C5F8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tcW w:type="dxa" w:w="1050"/>
            <w:shd w:fill="2C5F8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100"/>
            <w:shd w:fill="2C5F8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License / Model</w:t>
            </w:r>
          </w:p>
        </w:tc>
        <w:tc>
          <w:tcPr>
            <w:tcW w:type="dxa" w:w="1900"/>
            <w:shd w:fill="2C5F8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Est. Cost for This POC</w:t>
            </w:r>
          </w:p>
        </w:tc>
        <w:tc>
          <w:tcPr>
            <w:tcW w:type="dxa" w:w="2200"/>
            <w:shd w:fill="2C5F8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</w:tr>
      <w:tr>
        <w:tc>
          <w:tcPr>
            <w:tcW w:type="dxa" w:w="2100"/>
          </w:tcPr>
          <w:p>
            <w:r>
              <w:rPr>
                <w:sz w:val="19"/>
                <w:szCs w:val="19"/>
              </w:rPr>
              <w:t xml:space="preserve">LangGraph</w:t>
            </w:r>
          </w:p>
        </w:tc>
        <w:tc>
          <w:tcPr>
            <w:tcW w:type="dxa" w:w="1050"/>
          </w:tcPr>
          <w:p>
            <w:r>
              <w:rPr>
                <w:sz w:val="19"/>
                <w:szCs w:val="19"/>
              </w:rPr>
              <w:t xml:space="preserve">Framework</w:t>
            </w:r>
          </w:p>
        </w:tc>
        <w:tc>
          <w:tcPr>
            <w:tcW w:type="dxa" w:w="2100"/>
          </w:tcPr>
          <w:p>
            <w:r>
              <w:rPr>
                <w:sz w:val="19"/>
                <w:szCs w:val="19"/>
              </w:rPr>
              <w:t xml:space="preserve">Open source (MIT), by LangChain Inc.</w:t>
            </w:r>
          </w:p>
        </w:tc>
        <w:tc>
          <w:tcPr>
            <w:tcW w:type="dxa" w:w="1900"/>
          </w:tcPr>
          <w:p>
            <w:r>
              <w:rPr>
                <w:sz w:val="19"/>
                <w:szCs w:val="19"/>
              </w:rPr>
              <w:t xml:space="preserve">$0</w:t>
            </w:r>
          </w:p>
        </w:tc>
        <w:tc>
          <w:tcPr>
            <w:tcW w:type="dxa" w:w="2200"/>
          </w:tcPr>
          <w:p>
            <w:r>
              <w:rPr>
                <w:sz w:val="19"/>
                <w:szCs w:val="19"/>
              </w:rPr>
              <w:t xml:space="preserve">Stateful agent orchestration: nodes, conditional edges, checkpointing</w:t>
            </w:r>
          </w:p>
        </w:tc>
      </w:tr>
      <w:tr>
        <w:tc>
          <w:tcPr>
            <w:tcW w:type="dxa" w:w="2100"/>
          </w:tcPr>
          <w:p>
            <w:r>
              <w:rPr>
                <w:sz w:val="19"/>
                <w:szCs w:val="19"/>
              </w:rPr>
              <w:t xml:space="preserve">LangChain Core</w:t>
            </w:r>
          </w:p>
        </w:tc>
        <w:tc>
          <w:tcPr>
            <w:tcW w:type="dxa" w:w="1050"/>
          </w:tcPr>
          <w:p>
            <w:r>
              <w:rPr>
                <w:sz w:val="19"/>
                <w:szCs w:val="19"/>
              </w:rPr>
              <w:t xml:space="preserve">Library</w:t>
            </w:r>
          </w:p>
        </w:tc>
        <w:tc>
          <w:tcPr>
            <w:tcW w:type="dxa" w:w="2100"/>
          </w:tcPr>
          <w:p>
            <w:r>
              <w:rPr>
                <w:sz w:val="19"/>
                <w:szCs w:val="19"/>
              </w:rPr>
              <w:t xml:space="preserve">Open source (MIT)</w:t>
            </w:r>
          </w:p>
        </w:tc>
        <w:tc>
          <w:tcPr>
            <w:tcW w:type="dxa" w:w="1900"/>
          </w:tcPr>
          <w:p>
            <w:r>
              <w:rPr>
                <w:sz w:val="19"/>
                <w:szCs w:val="19"/>
              </w:rPr>
              <w:t xml:space="preserve">$0</w:t>
            </w:r>
          </w:p>
        </w:tc>
        <w:tc>
          <w:tcPr>
            <w:tcW w:type="dxa" w:w="2200"/>
          </w:tcPr>
          <w:p>
            <w:r>
              <w:rPr>
                <w:sz w:val="19"/>
                <w:szCs w:val="19"/>
              </w:rPr>
              <w:t xml:space="preserve">Shared primitives LangGraph builds on</w:t>
            </w:r>
          </w:p>
        </w:tc>
      </w:tr>
      <w:tr>
        <w:tc>
          <w:tcPr>
            <w:tcW w:type="dxa" w:w="2100"/>
          </w:tcPr>
          <w:p>
            <w:r>
              <w:rPr>
                <w:sz w:val="19"/>
                <w:szCs w:val="19"/>
              </w:rPr>
              <w:t xml:space="preserve">Python 3.12</w:t>
            </w:r>
          </w:p>
        </w:tc>
        <w:tc>
          <w:tcPr>
            <w:tcW w:type="dxa" w:w="1050"/>
          </w:tcPr>
          <w:p>
            <w:r>
              <w:rPr>
                <w:sz w:val="19"/>
                <w:szCs w:val="19"/>
              </w:rPr>
              <w:t xml:space="preserve">Runtime</w:t>
            </w:r>
          </w:p>
        </w:tc>
        <w:tc>
          <w:tcPr>
            <w:tcW w:type="dxa" w:w="2100"/>
          </w:tcPr>
          <w:p>
            <w:r>
              <w:rPr>
                <w:sz w:val="19"/>
                <w:szCs w:val="19"/>
              </w:rPr>
              <w:t xml:space="preserve">Open source (PSF License)</w:t>
            </w:r>
          </w:p>
        </w:tc>
        <w:tc>
          <w:tcPr>
            <w:tcW w:type="dxa" w:w="1900"/>
          </w:tcPr>
          <w:p>
            <w:r>
              <w:rPr>
                <w:sz w:val="19"/>
                <w:szCs w:val="19"/>
              </w:rPr>
              <w:t xml:space="preserve">$0</w:t>
            </w:r>
          </w:p>
        </w:tc>
        <w:tc>
          <w:tcPr>
            <w:tcW w:type="dxa" w:w="2200"/>
          </w:tcPr>
          <w:p>
            <w:r>
              <w:rPr>
                <w:sz w:val="19"/>
                <w:szCs w:val="19"/>
              </w:rPr>
              <w:t xml:space="preserve">Implementation language</w:t>
            </w:r>
          </w:p>
        </w:tc>
      </w:tr>
      <w:tr>
        <w:tc>
          <w:tcPr>
            <w:tcW w:type="dxa" w:w="2100"/>
          </w:tcPr>
          <w:p>
            <w:r>
              <w:rPr>
                <w:sz w:val="19"/>
                <w:szCs w:val="19"/>
              </w:rPr>
              <w:t xml:space="preserve">SQLite (via langgraph-checkpoint-sqlite)</w:t>
            </w:r>
          </w:p>
        </w:tc>
        <w:tc>
          <w:tcPr>
            <w:tcW w:type="dxa" w:w="1050"/>
          </w:tcPr>
          <w:p>
            <w:r>
              <w:rPr>
                <w:sz w:val="19"/>
                <w:szCs w:val="19"/>
              </w:rPr>
              <w:t xml:space="preserve">Embedded DB</w:t>
            </w:r>
          </w:p>
        </w:tc>
        <w:tc>
          <w:tcPr>
            <w:tcW w:type="dxa" w:w="2100"/>
          </w:tcPr>
          <w:p>
            <w:r>
              <w:rPr>
                <w:sz w:val="19"/>
                <w:szCs w:val="19"/>
              </w:rPr>
              <w:t xml:space="preserve">Open source (Public Domain)</w:t>
            </w:r>
          </w:p>
        </w:tc>
        <w:tc>
          <w:tcPr>
            <w:tcW w:type="dxa" w:w="1900"/>
          </w:tcPr>
          <w:p>
            <w:r>
              <w:rPr>
                <w:sz w:val="19"/>
                <w:szCs w:val="19"/>
              </w:rPr>
              <w:t xml:space="preserve">$0</w:t>
            </w:r>
          </w:p>
        </w:tc>
        <w:tc>
          <w:tcPr>
            <w:tcW w:type="dxa" w:w="2200"/>
          </w:tcPr>
          <w:p>
            <w:r>
              <w:rPr>
                <w:sz w:val="19"/>
                <w:szCs w:val="19"/>
              </w:rPr>
              <w:t xml:space="preserve">Local state persistence / checkpointing</w:t>
            </w:r>
          </w:p>
        </w:tc>
      </w:tr>
      <w:tr>
        <w:tc>
          <w:tcPr>
            <w:tcW w:type="dxa" w:w="2100"/>
          </w:tcPr>
          <w:p>
            <w:r>
              <w:rPr>
                <w:sz w:val="19"/>
                <w:szCs w:val="19"/>
              </w:rPr>
              <w:t xml:space="preserve">Cohere API (Embed v3/v4)</w:t>
            </w:r>
          </w:p>
        </w:tc>
        <w:tc>
          <w:tcPr>
            <w:tcW w:type="dxa" w:w="1050"/>
          </w:tcPr>
          <w:p>
            <w:r>
              <w:rPr>
                <w:sz w:val="19"/>
                <w:szCs w:val="19"/>
              </w:rPr>
              <w:t xml:space="preserve">Commercial API</w:t>
            </w:r>
          </w:p>
        </w:tc>
        <w:tc>
          <w:tcPr>
            <w:tcW w:type="dxa" w:w="2100"/>
          </w:tcPr>
          <w:p>
            <w:r>
              <w:rPr>
                <w:sz w:val="19"/>
                <w:szCs w:val="19"/>
              </w:rPr>
              <w:t xml:space="preserve">Commercial, pay-as-you-go, free trial tier</w:t>
            </w:r>
          </w:p>
        </w:tc>
        <w:tc>
          <w:tcPr>
            <w:tcW w:type="dxa" w:w="1900"/>
          </w:tcPr>
          <w:p>
            <w:r>
              <w:rPr>
                <w:sz w:val="19"/>
                <w:szCs w:val="19"/>
              </w:rPr>
              <w:t xml:space="preserve">$0 in POC (mock mode); ~$0.10 per 1M input tokens live</w:t>
            </w:r>
          </w:p>
        </w:tc>
        <w:tc>
          <w:tcPr>
            <w:tcW w:type="dxa" w:w="2200"/>
          </w:tcPr>
          <w:p>
            <w:r>
              <w:rPr>
                <w:sz w:val="19"/>
                <w:szCs w:val="19"/>
              </w:rPr>
              <w:t xml:space="preserve">Generates vector embeddings of claim narratives</w:t>
            </w:r>
          </w:p>
        </w:tc>
      </w:tr>
      <w:tr>
        <w:tc>
          <w:tcPr>
            <w:tcW w:type="dxa" w:w="2100"/>
          </w:tcPr>
          <w:p>
            <w:r>
              <w:rPr>
                <w:sz w:val="19"/>
                <w:szCs w:val="19"/>
              </w:rPr>
              <w:t xml:space="preserve">Pinecone</w:t>
            </w:r>
          </w:p>
        </w:tc>
        <w:tc>
          <w:tcPr>
            <w:tcW w:type="dxa" w:w="1050"/>
          </w:tcPr>
          <w:p>
            <w:r>
              <w:rPr>
                <w:sz w:val="19"/>
                <w:szCs w:val="19"/>
              </w:rPr>
              <w:t xml:space="preserve">Commercial API</w:t>
            </w:r>
          </w:p>
        </w:tc>
        <w:tc>
          <w:tcPr>
            <w:tcW w:type="dxa" w:w="2100"/>
          </w:tcPr>
          <w:p>
            <w:r>
              <w:rPr>
                <w:sz w:val="19"/>
                <w:szCs w:val="19"/>
              </w:rPr>
              <w:t xml:space="preserve">Commercial, usage-based, free Starter tier</w:t>
            </w:r>
          </w:p>
        </w:tc>
        <w:tc>
          <w:tcPr>
            <w:tcW w:type="dxa" w:w="1900"/>
          </w:tcPr>
          <w:p>
            <w:r>
              <w:rPr>
                <w:sz w:val="19"/>
                <w:szCs w:val="19"/>
              </w:rPr>
              <w:t xml:space="preserve">$0 in POC (mock mode); free tier covers this POC's scale live</w:t>
            </w:r>
          </w:p>
        </w:tc>
        <w:tc>
          <w:tcPr>
            <w:tcW w:type="dxa" w:w="2200"/>
          </w:tcPr>
          <w:p>
            <w:r>
              <w:rPr>
                <w:sz w:val="19"/>
                <w:szCs w:val="19"/>
              </w:rPr>
              <w:t xml:space="preserve">Vector similarity search against known fraud case embeddings</w:t>
            </w:r>
          </w:p>
        </w:tc>
      </w:tr>
      <w:tr>
        <w:tc>
          <w:tcPr>
            <w:tcW w:type="dxa" w:w="2100"/>
          </w:tcPr>
          <w:p>
            <w:r>
              <w:rPr>
                <w:sz w:val="19"/>
                <w:szCs w:val="19"/>
              </w:rPr>
              <w:t xml:space="preserve">Zapier</w:t>
            </w:r>
          </w:p>
        </w:tc>
        <w:tc>
          <w:tcPr>
            <w:tcW w:type="dxa" w:w="1050"/>
          </w:tcPr>
          <w:p>
            <w:r>
              <w:rPr>
                <w:sz w:val="19"/>
                <w:szCs w:val="19"/>
              </w:rPr>
              <w:t xml:space="preserve">Commercial SaaS</w:t>
            </w:r>
          </w:p>
        </w:tc>
        <w:tc>
          <w:tcPr>
            <w:tcW w:type="dxa" w:w="2100"/>
          </w:tcPr>
          <w:p>
            <w:r>
              <w:rPr>
                <w:sz w:val="19"/>
                <w:szCs w:val="19"/>
              </w:rPr>
              <w:t xml:space="preserve">Commercial, task-based, free tier (100 tasks/mo)</w:t>
            </w:r>
          </w:p>
        </w:tc>
        <w:tc>
          <w:tcPr>
            <w:tcW w:type="dxa" w:w="1900"/>
          </w:tcPr>
          <w:p>
            <w:r>
              <w:rPr>
                <w:sz w:val="19"/>
                <w:szCs w:val="19"/>
              </w:rPr>
              <w:t xml:space="preserve">$0 in POC (mock mode); free tier sufficient for POC-scale live testing</w:t>
            </w:r>
          </w:p>
        </w:tc>
        <w:tc>
          <w:tcPr>
            <w:tcW w:type="dxa" w:w="2200"/>
          </w:tcPr>
          <w:p>
            <w:r>
              <w:rPr>
                <w:sz w:val="19"/>
                <w:szCs w:val="19"/>
              </w:rPr>
              <w:t xml:space="preserve">Webhook-based notification to investigator on flagged claims</w:t>
            </w:r>
          </w:p>
        </w:tc>
      </w:tr>
      <w:tr>
        <w:tc>
          <w:tcPr>
            <w:tcW w:type="dxa" w:w="2100"/>
          </w:tcPr>
          <w:p>
            <w:r>
              <w:rPr>
                <w:sz w:val="19"/>
                <w:szCs w:val="19"/>
              </w:rPr>
              <w:t xml:space="preserve">matplotlib</w:t>
            </w:r>
          </w:p>
        </w:tc>
        <w:tc>
          <w:tcPr>
            <w:tcW w:type="dxa" w:w="1050"/>
          </w:tcPr>
          <w:p>
            <w:r>
              <w:rPr>
                <w:sz w:val="19"/>
                <w:szCs w:val="19"/>
              </w:rPr>
              <w:t xml:space="preserve">Library</w:t>
            </w:r>
          </w:p>
        </w:tc>
        <w:tc>
          <w:tcPr>
            <w:tcW w:type="dxa" w:w="2100"/>
          </w:tcPr>
          <w:p>
            <w:r>
              <w:rPr>
                <w:sz w:val="19"/>
                <w:szCs w:val="19"/>
              </w:rPr>
              <w:t xml:space="preserve">Open source (PSF/BSD-style)</w:t>
            </w:r>
          </w:p>
        </w:tc>
        <w:tc>
          <w:tcPr>
            <w:tcW w:type="dxa" w:w="1900"/>
          </w:tcPr>
          <w:p>
            <w:r>
              <w:rPr>
                <w:sz w:val="19"/>
                <w:szCs w:val="19"/>
              </w:rPr>
              <w:t xml:space="preserve">$0</w:t>
            </w:r>
          </w:p>
        </w:tc>
        <w:tc>
          <w:tcPr>
            <w:tcW w:type="dxa" w:w="2200"/>
          </w:tcPr>
          <w:p>
            <w:r>
              <w:rPr>
                <w:sz w:val="19"/>
                <w:szCs w:val="19"/>
              </w:rPr>
              <w:t xml:space="preserve">Architecture diagram generation for this document set</w:t>
            </w:r>
          </w:p>
        </w:tc>
      </w:tr>
      <w:tr>
        <w:tc>
          <w:tcPr>
            <w:tcW w:type="dxa" w:w="2100"/>
          </w:tcPr>
          <w:p>
            <w:r>
              <w:rPr>
                <w:sz w:val="19"/>
                <w:szCs w:val="19"/>
              </w:rPr>
              <w:t xml:space="preserve">docx (npm)</w:t>
            </w:r>
          </w:p>
        </w:tc>
        <w:tc>
          <w:tcPr>
            <w:tcW w:type="dxa" w:w="1050"/>
          </w:tcPr>
          <w:p>
            <w:r>
              <w:rPr>
                <w:sz w:val="19"/>
                <w:szCs w:val="19"/>
              </w:rPr>
              <w:t xml:space="preserve">Library</w:t>
            </w:r>
          </w:p>
        </w:tc>
        <w:tc>
          <w:tcPr>
            <w:tcW w:type="dxa" w:w="2100"/>
          </w:tcPr>
          <w:p>
            <w:r>
              <w:rPr>
                <w:sz w:val="19"/>
                <w:szCs w:val="19"/>
              </w:rPr>
              <w:t xml:space="preserve">Open source (MIT)</w:t>
            </w:r>
          </w:p>
        </w:tc>
        <w:tc>
          <w:tcPr>
            <w:tcW w:type="dxa" w:w="1900"/>
          </w:tcPr>
          <w:p>
            <w:r>
              <w:rPr>
                <w:sz w:val="19"/>
                <w:szCs w:val="19"/>
              </w:rPr>
              <w:t xml:space="preserve">$0</w:t>
            </w:r>
          </w:p>
        </w:tc>
        <w:tc>
          <w:tcPr>
            <w:tcW w:type="dxa" w:w="2200"/>
          </w:tcPr>
          <w:p>
            <w:r>
              <w:rPr>
                <w:sz w:val="19"/>
                <w:szCs w:val="19"/>
              </w:rPr>
              <w:t xml:space="preserve">Word document generation</w:t>
            </w:r>
          </w:p>
        </w:tc>
      </w:tr>
    </w:tbl>
    <w:p>
      <w:pPr>
        <w:spacing w:after="200"/>
      </w:pPr>
      <w:r>
        <w:rPr>
          <w:i/>
          <w:iCs/>
          <w:color w:val="666666"/>
          <w:sz w:val="18"/>
          <w:szCs w:val="18"/>
        </w:rPr>
        <w:t xml:space="preserve">Pricing figures reflect publicly listed rates as of mid-2026 and change frequently — verify current rates directly with each vendor before budgeting for a production rollout.</w:t>
      </w:r>
    </w:p>
    <w:p>
      <w:pPr>
        <w:pStyle w:val="Heading1"/>
        <w:spacing w:after="150" w:before="320"/>
      </w:pPr>
      <w:r>
        <w:t xml:space="preserve">2. Per-Component Detail</w:t>
      </w:r>
    </w:p>
    <w:p>
      <w:pPr>
        <w:pStyle w:val="Heading2"/>
        <w:spacing w:after="100" w:before="220"/>
      </w:pPr>
      <w:r>
        <w:t xml:space="preserve">LangGraph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Open source, MIT-licensed, maintained by LangChain Inc.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Free to use at any scale for self-hosted deployment — the cost surface is purely your own compute/infra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LangChain also offers a commercial “LangGraph Platform” for managed deployment, tracing, and hosting, which is optional — this POC does not use it, everything runs self-hosted</w:t>
      </w:r>
    </w:p>
    <w:p>
      <w:pPr>
        <w:pStyle w:val="Heading2"/>
        <w:spacing w:after="100" w:before="220"/>
      </w:pPr>
      <w:r>
        <w:t xml:space="preserve">Cohere (Embed API)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Commercial API with a free trial tier: roughly 1,000 API calls/month, 100 calls/minute, restricted to non-production use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Paid pay-as-you-go pricing for Embed v3/v4 is approximately $0.10 per 1 million input tokens — very low cost for claim-narrative-scale text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infrastructure to manage; billing is purely usage-based with no fixed minimum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This POC runs Cohere in mock mode (a deterministic hash-based pseudo-embedding) so it incurs zero cost and requires no API key to demonstrate the workflow</w:t>
      </w:r>
    </w:p>
    <w:p>
      <w:pPr>
        <w:pStyle w:val="Heading2"/>
        <w:spacing w:after="100" w:before="220"/>
      </w:pPr>
      <w:r>
        <w:t xml:space="preserve">Pinecone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Commercial, serverless, usage-based vector database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Free “Starter” tier: no credit card required, roughly 2GB storage (enough for on the order of 100K+ vectors depending on dimension), community support only, no SLA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Paid “Standard” tier introduces a monthly minimum plus usage-based read/write unit and storage charges once you exceed free-tier limits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For this POC's scale (a handful of known-fraud-case embeddings), the free tier is more than sufficient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This POC runs Pinecone in mock mode (in-memory cosine similarity against a couple of sample vectors) so no account or index is required to demonstrate the workflow</w:t>
      </w:r>
    </w:p>
    <w:p>
      <w:pPr>
        <w:pStyle w:val="Heading2"/>
        <w:spacing w:after="100" w:before="220"/>
      </w:pPr>
      <w:r>
        <w:t xml:space="preserve">Zapier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Commercial workflow-automation SaaS, task-based billing (a “task” = one action step executed)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Free plan: 100 tasks/month, but limited to two-step Zaps (one trigger + one action) — enough for a single simple notification Zap in a POC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Entry paid tier starts in the neighborhood of $20–$30/month (billed annually vs. monthly) once you need multi-step Zaps or premium app connectors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This POC runs Zapier in mock mode (prints the payload that would be POSTed to a webhook) so no Zapier account is required to demonstrate the workflow</w:t>
      </w:r>
    </w:p>
    <w:p>
      <w:pPr>
        <w:pStyle w:val="Heading1"/>
        <w:spacing w:after="150" w:before="320"/>
      </w:pPr>
      <w:r>
        <w:t xml:space="preserve">3. Cost Posture of This POC as Delivered</w:t>
      </w:r>
    </w:p>
    <w:p>
      <w:pPr>
        <w:spacing w:after="160"/>
      </w:pPr>
      <w:r>
        <w:t xml:space="preserve">As delivered and run in this exercise, the POC incurs $0 in third-party API cost: Cohere, Pinecone, and Zapier all run through a mock integration layer that mirrors the real SDK call signatures and return shapes. Moving to live calls requires only API keys and flipping a single flag per script — no code restructuring. Expected monthly cost for a live low-volume pilot (a few hundred claims/month) across all three services would very likely stay within each vendor's free tier.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5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2026-08-12T20:14:05.961Z</dcterms:created>
  <dcterms:modified xsi:type="dcterms:W3CDTF">2026-08-12T20:14:05.961Z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