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C5F8A"/>
          <w:sz w:val="44"/>
          <w:szCs w:val="44"/>
        </w:rPr>
        <w:t xml:space="preserve">Claims Authentication POC</w:t>
      </w:r>
    </w:p>
    <w:p>
      <w:pPr>
        <w:spacing w:after="400"/>
      </w:pPr>
      <w:r>
        <w:rPr>
          <w:color w:val="444444"/>
          <w:sz w:val="28"/>
          <w:szCs w:val="28"/>
        </w:rPr>
        <w:t xml:space="preserve">Use Case and Proof-of-Concept Summary</w:t>
      </w:r>
    </w:p>
    <w:p>
      <w:pPr>
        <w:pStyle w:val="Heading1"/>
        <w:spacing w:after="150" w:before="300"/>
      </w:pPr>
      <w:r>
        <w:t xml:space="preserve">1. Business Context</w:t>
      </w:r>
    </w:p>
    <w:p>
      <w:pPr>
        <w:spacing w:after="160"/>
      </w:pPr>
      <w:r>
        <w:t xml:space="preserve">Insurance claims processing today relies heavily on manual review for identity verification, policy coverage validation, and fraud triage. This is slow, inconsistent across reviewers, and expensive to scale as claim volume grows. Fraud signals in particular are easy to miss when a human reviewer has no fast way to check a new claim against the pattern of prior confirmed fraud cases.</w:t>
      </w:r>
    </w:p>
    <w:p>
      <w:pPr>
        <w:spacing w:after="160"/>
      </w:pPr>
      <w:r>
        <w:t xml:space="preserve">This POC demonstrates an agentic orchestration approach to claims authentication: a defined, auditable workflow that automates the mechanical steps (identity check, policy check, similarity search against known fraud patterns) while explicitly routing anything ambiguous or high-risk to a human investigator before a final decision is made.</w:t>
      </w:r>
    </w:p>
    <w:p>
      <w:pPr>
        <w:pStyle w:val="Heading1"/>
        <w:spacing w:after="150" w:before="300"/>
      </w:pPr>
      <w:r>
        <w:t xml:space="preserve">2. POC Objective</w:t>
      </w:r>
    </w:p>
    <w:p>
      <w:pPr>
        <w:spacing w:after="160"/>
      </w:pPr>
      <w:r>
        <w:t xml:space="preserve">Demonstrate, on a small but structurally complete workflow, that an agentic pipeline built on LangGraph can:</w:t>
      </w:r>
    </w:p>
    <w:p>
      <w:pPr>
        <w:pStyle w:val="ListParagraph"/>
        <w:numPr>
          <w:ilvl w:val="0"/>
          <w:numId w:val="2"/>
        </w:numPr>
        <w:spacing w:after="80"/>
      </w:pPr>
      <w:r>
        <w:t xml:space="preserve">Verify claimant identity and policy coverage as discrete, auditable steps</w:t>
      </w:r>
    </w:p>
    <w:p>
      <w:pPr>
        <w:pStyle w:val="ListParagraph"/>
        <w:numPr>
          <w:ilvl w:val="0"/>
          <w:numId w:val="2"/>
        </w:numPr>
        <w:spacing w:after="80"/>
      </w:pPr>
      <w:r>
        <w:t xml:space="preserve">Generate a semantic embedding of the claim narrative and check it against a vector store of known fraud cases</w:t>
      </w:r>
    </w:p>
    <w:p>
      <w:pPr>
        <w:pStyle w:val="ListParagraph"/>
        <w:numPr>
          <w:ilvl w:val="0"/>
          <w:numId w:val="2"/>
        </w:numPr>
        <w:spacing w:after="80"/>
      </w:pPr>
      <w:r>
        <w:t xml:space="preserve">Apply deterministic + similarity-based fraud rules to route each claim to the correct outcome</w:t>
      </w:r>
    </w:p>
    <w:p>
      <w:pPr>
        <w:pStyle w:val="ListParagraph"/>
        <w:numPr>
          <w:ilvl w:val="0"/>
          <w:numId w:val="2"/>
        </w:numPr>
        <w:spacing w:after="80"/>
      </w:pPr>
      <w:r>
        <w:t xml:space="preserve">Automatically notify a human investigator when a claim is flagged, and pause execution until that human provides a decision</w:t>
      </w:r>
    </w:p>
    <w:p>
      <w:pPr>
        <w:pStyle w:val="ListParagraph"/>
        <w:numPr>
          <w:ilvl w:val="0"/>
          <w:numId w:val="2"/>
        </w:numPr>
        <w:spacing w:after="80"/>
      </w:pPr>
      <w:r>
        <w:t xml:space="preserve">Resume from exactly where it left off after a transient failure, without re-running steps that already completed</w:t>
      </w:r>
    </w:p>
    <w:p>
      <w:pPr>
        <w:pStyle w:val="ListParagraph"/>
        <w:numPr>
          <w:ilvl w:val="0"/>
          <w:numId w:val="2"/>
        </w:numPr>
        <w:spacing w:after="80"/>
      </w:pPr>
      <w:r>
        <w:t xml:space="preserve">Persist full state and decision history for every claim, for audit purposes</w:t>
      </w:r>
    </w:p>
    <w:p>
      <w:pPr>
        <w:pStyle w:val="Heading1"/>
        <w:spacing w:after="150" w:before="300"/>
      </w:pPr>
      <w:r>
        <w:t xml:space="preserve">3. Scope of This POC</w:t>
      </w:r>
    </w:p>
    <w:p>
      <w:pPr>
        <w:pStyle w:val="Heading2"/>
        <w:spacing w:after="120" w:before="240"/>
      </w:pPr>
      <w:r>
        <w:t xml:space="preserve">In scope</w:t>
      </w:r>
    </w:p>
    <w:p>
      <w:pPr>
        <w:pStyle w:val="ListParagraph"/>
        <w:numPr>
          <w:ilvl w:val="0"/>
          <w:numId w:val="2"/>
        </w:numPr>
        <w:spacing w:after="80"/>
      </w:pPr>
      <w:r>
        <w:t xml:space="preserve">Workflow orchestration logic (LangGraph StateGraph): nodes, conditional routing, state schema, checkpointing</w:t>
      </w:r>
    </w:p>
    <w:p>
      <w:pPr>
        <w:pStyle w:val="ListParagraph"/>
        <w:numPr>
          <w:ilvl w:val="0"/>
          <w:numId w:val="2"/>
        </w:numPr>
        <w:spacing w:after="80"/>
      </w:pPr>
      <w:r>
        <w:t xml:space="preserve">Integration points for Cohere (embeddings), Pinecone (vector similarity search), and Zapier (notification) — built against the real SDKs, running in a deterministic mock mode by default so the POC runs with no external cost or API keys</w:t>
      </w:r>
    </w:p>
    <w:p>
      <w:pPr>
        <w:pStyle w:val="ListParagraph"/>
        <w:numPr>
          <w:ilvl w:val="0"/>
          <w:numId w:val="2"/>
        </w:numPr>
        <w:spacing w:after="80"/>
      </w:pPr>
      <w:r>
        <w:t xml:space="preserve">A human-in-the-loop interrupt pattern (graph pauses, a human injects a decision, graph resumes)</w:t>
      </w:r>
    </w:p>
    <w:p>
      <w:pPr>
        <w:pStyle w:val="ListParagraph"/>
        <w:numPr>
          <w:ilvl w:val="0"/>
          <w:numId w:val="2"/>
        </w:numPr>
        <w:spacing w:after="80"/>
      </w:pPr>
      <w:r>
        <w:t xml:space="preserve">Three runnable scripts demonstrating incrementally: (1) generic failure-recovery mechanics, (2) the claims workflow with a mock human gate, (3) the same workflow with real integration points wired in</w:t>
      </w:r>
    </w:p>
    <w:p>
      <w:pPr>
        <w:pStyle w:val="Heading2"/>
        <w:spacing w:after="120" w:before="240"/>
      </w:pPr>
      <w:r>
        <w:t xml:space="preserve">Out of scope</w:t>
      </w:r>
    </w:p>
    <w:p>
      <w:pPr>
        <w:pStyle w:val="ListParagraph"/>
        <w:numPr>
          <w:ilvl w:val="0"/>
          <w:numId w:val="2"/>
        </w:numPr>
        <w:spacing w:after="80"/>
      </w:pPr>
      <w:r>
        <w:t xml:space="preserve">Production-grade security (auth, encryption at rest/in transit, PII handling, secrets management)</w:t>
      </w:r>
    </w:p>
    <w:p>
      <w:pPr>
        <w:pStyle w:val="ListParagraph"/>
        <w:numPr>
          <w:ilvl w:val="0"/>
          <w:numId w:val="2"/>
        </w:numPr>
        <w:spacing w:after="80"/>
      </w:pPr>
      <w:r>
        <w:t xml:space="preserve">A real fraud model — fraud detection here is illustrative rule-based + mock similarity logic, not a trained classifier</w:t>
      </w:r>
    </w:p>
    <w:p>
      <w:pPr>
        <w:pStyle w:val="ListParagraph"/>
        <w:numPr>
          <w:ilvl w:val="0"/>
          <w:numId w:val="2"/>
        </w:numPr>
        <w:spacing w:after="80"/>
      </w:pPr>
      <w:r>
        <w:t xml:space="preserve">A production UI for the investigator review queue</w:t>
      </w:r>
    </w:p>
    <w:p>
      <w:pPr>
        <w:pStyle w:val="ListParagraph"/>
        <w:numPr>
          <w:ilvl w:val="0"/>
          <w:numId w:val="2"/>
        </w:numPr>
        <w:spacing w:after="80"/>
      </w:pPr>
      <w:r>
        <w:t xml:space="preserve">Load testing, multi-tenant support, or SLA-bound performance</w:t>
      </w:r>
    </w:p>
    <w:p>
      <w:pPr>
        <w:pStyle w:val="ListParagraph"/>
        <w:numPr>
          <w:ilvl w:val="0"/>
          <w:numId w:val="2"/>
        </w:numPr>
        <w:spacing w:after="80"/>
      </w:pPr>
      <w:r>
        <w:t xml:space="preserve">Formal compliance review (e.g., for regulated insurance workflows)</w:t>
      </w:r>
    </w:p>
    <w:p>
      <w:pPr>
        <w:pStyle w:val="Heading1"/>
        <w:spacing w:after="150" w:before="300"/>
      </w:pPr>
      <w:r>
        <w:t xml:space="preserve">4. What the POC Proves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6250"/>
      </w:tblGrid>
      <w:tr>
        <w:trPr>
          <w:tblHeader/>
        </w:trPr>
        <w:tc>
          <w:tcPr>
            <w:tcW w:type="dxa" w:w="3100"/>
            <w:shd w:fill="2C5F8A" w:val="clear"/>
          </w:tcPr>
          <w:p>
            <w:r>
              <w:rPr>
                <w:b/>
                <w:bCs/>
                <w:color w:val="FFFFFF"/>
              </w:rPr>
              <w:t xml:space="preserve">Capability</w:t>
            </w:r>
          </w:p>
        </w:tc>
        <w:tc>
          <w:tcPr>
            <w:tcW w:type="dxa" w:w="6250"/>
            <w:shd w:fill="2C5F8A" w:val="clear"/>
          </w:tcPr>
          <w:p>
            <w:r>
              <w:rPr>
                <w:b/>
                <w:bCs/>
                <w:color w:val="FFFFFF"/>
              </w:rPr>
              <w:t xml:space="preserve">Evidence in POC</w:t>
            </w:r>
          </w:p>
        </w:tc>
      </w:tr>
      <w:tr>
        <w:tc>
          <w:tcPr>
            <w:tcW w:type="dxa" w:w="3100"/>
          </w:tcPr>
          <w:p>
            <w:r>
              <w:rPr>
                <w:b/>
                <w:bCs/>
              </w:rPr>
              <w:t xml:space="preserve">State management across steps</w:t>
            </w:r>
          </w:p>
        </w:tc>
        <w:tc>
          <w:tcPr>
            <w:tcW w:type="dxa" w:w="6250"/>
          </w:tcPr>
          <w:p>
            <w:r>
              <w:t xml:space="preserve">Shared TypedDict state schema (ClaimState) flows through every node; reducers control how fields merge (e.g. append-only log)</w:t>
            </w:r>
          </w:p>
        </w:tc>
      </w:tr>
      <w:tr>
        <w:tc>
          <w:tcPr>
            <w:tcW w:type="dxa" w:w="3100"/>
          </w:tcPr>
          <w:p>
            <w:r>
              <w:rPr>
                <w:b/>
                <w:bCs/>
              </w:rPr>
              <w:t xml:space="preserve">Conditional decision logic</w:t>
            </w:r>
          </w:p>
        </w:tc>
        <w:tc>
          <w:tcPr>
            <w:tcW w:type="dxa" w:w="6250"/>
          </w:tcPr>
          <w:p>
            <w:r>
              <w:t xml:space="preserve">Two routing points: identity pass/fail, and fraud-flag present/absent, each implemented as a plain Python function reading state</w:t>
            </w:r>
          </w:p>
        </w:tc>
      </w:tr>
      <w:tr>
        <w:tc>
          <w:tcPr>
            <w:tcW w:type="dxa" w:w="3100"/>
          </w:tcPr>
          <w:p>
            <w:r>
              <w:rPr>
                <w:b/>
                <w:bCs/>
              </w:rPr>
              <w:t xml:space="preserve">Failure recovery without full re-run</w:t>
            </w:r>
          </w:p>
        </w:tc>
        <w:tc>
          <w:tcPr>
            <w:tcW w:type="dxa" w:w="6250"/>
          </w:tcPr>
          <w:p>
            <w:r>
              <w:t xml:space="preserve">SQLite checkpointer persists state after every node; re-invoking with the same thread_id resumes only the failed node and downstream steps</w:t>
            </w:r>
          </w:p>
        </w:tc>
      </w:tr>
      <w:tr>
        <w:tc>
          <w:tcPr>
            <w:tcW w:type="dxa" w:w="3100"/>
          </w:tcPr>
          <w:p>
            <w:r>
              <w:rPr>
                <w:b/>
                <w:bCs/>
              </w:rPr>
              <w:t xml:space="preserve">Human-in-the-loop control</w:t>
            </w:r>
          </w:p>
        </w:tc>
        <w:tc>
          <w:tcPr>
            <w:tcW w:type="dxa" w:w="6250"/>
          </w:tcPr>
          <w:p>
            <w:r>
              <w:t xml:space="preserve">interrupt_before halts the graph before the investigator-routing node; a human calls update_state() to inject a decision, then the graph resumes</w:t>
            </w:r>
          </w:p>
        </w:tc>
      </w:tr>
      <w:tr>
        <w:tc>
          <w:tcPr>
            <w:tcW w:type="dxa" w:w="3100"/>
          </w:tcPr>
          <w:p>
            <w:r>
              <w:rPr>
                <w:b/>
                <w:bCs/>
              </w:rPr>
              <w:t xml:space="preserve">External tool integration</w:t>
            </w:r>
          </w:p>
        </w:tc>
        <w:tc>
          <w:tcPr>
            <w:tcW w:type="dxa" w:w="6250"/>
          </w:tcPr>
          <w:p>
            <w:r>
              <w:t xml:space="preserve">Cohere embedding call, Pinecone similarity query, and Zapier webhook notification are all wired as real SDK calls behind a live/mock toggle</w:t>
            </w:r>
          </w:p>
        </w:tc>
      </w:tr>
      <w:tr>
        <w:tc>
          <w:tcPr>
            <w:tcW w:type="dxa" w:w="3100"/>
          </w:tcPr>
          <w:p>
            <w:r>
              <w:rPr>
                <w:b/>
                <w:bCs/>
              </w:rPr>
              <w:t xml:space="preserve">Auditability</w:t>
            </w:r>
          </w:p>
        </w:tc>
        <w:tc>
          <w:tcPr>
            <w:tcW w:type="dxa" w:w="6250"/>
          </w:tcPr>
          <w:p>
            <w:r>
              <w:t xml:space="preserve">Every node appends to a persisted, ordered log field, giving a full trace of what ran and in what order for each claim</w:t>
            </w:r>
          </w:p>
        </w:tc>
      </w:tr>
    </w:tbl>
    <w:p>
      <w:pPr>
        <w:spacing w:after="200"/>
      </w:pPr>
    </w:p>
    <w:p>
      <w:pPr>
        <w:pStyle w:val="Heading1"/>
        <w:spacing w:after="150" w:before="300"/>
      </w:pPr>
      <w:r>
        <w:t xml:space="preserve">5. Recommended Next Steps if Advancing Beyond POC</w:t>
      </w:r>
    </w:p>
    <w:p>
      <w:pPr>
        <w:pStyle w:val="ListParagraph"/>
        <w:numPr>
          <w:ilvl w:val="0"/>
          <w:numId w:val="2"/>
        </w:numPr>
        <w:spacing w:after="80"/>
      </w:pPr>
      <w:r>
        <w:t xml:space="preserve">Replace mock fraud rules with a trained model or LLM-based reasoning over claim narratives</w:t>
      </w:r>
    </w:p>
    <w:p>
      <w:pPr>
        <w:pStyle w:val="ListParagraph"/>
        <w:numPr>
          <w:ilvl w:val="0"/>
          <w:numId w:val="2"/>
        </w:numPr>
        <w:spacing w:after="80"/>
      </w:pPr>
      <w:r>
        <w:t xml:space="preserve">Stand up a real Pinecone index seeded with historical confirmed-fraud embeddings</w:t>
      </w:r>
    </w:p>
    <w:p>
      <w:pPr>
        <w:pStyle w:val="ListParagraph"/>
        <w:numPr>
          <w:ilvl w:val="0"/>
          <w:numId w:val="2"/>
        </w:numPr>
        <w:spacing w:after="80"/>
      </w:pPr>
      <w:r>
        <w:t xml:space="preserve">Build a minimal investigator review UI backed by graph.get_state() across all pending thread_ids</w:t>
      </w:r>
    </w:p>
    <w:p>
      <w:pPr>
        <w:pStyle w:val="ListParagraph"/>
        <w:numPr>
          <w:ilvl w:val="0"/>
          <w:numId w:val="2"/>
        </w:numPr>
        <w:spacing w:after="80"/>
      </w:pPr>
      <w:r>
        <w:t xml:space="preserve">Add idempotency keys to the Zapier notification call to prevent duplicate notifications on checkpoint replay</w:t>
      </w:r>
    </w:p>
    <w:p>
      <w:pPr>
        <w:pStyle w:val="ListParagraph"/>
        <w:numPr>
          <w:ilvl w:val="0"/>
          <w:numId w:val="2"/>
        </w:numPr>
        <w:spacing w:after="80"/>
      </w:pPr>
      <w:r>
        <w:t xml:space="preserve">Move from SQLite to a production-grade checkpointer (e.g. Postgres) for concurrent multi-claim throughput</w:t>
      </w:r>
    </w:p>
    <w:p>
      <w:pPr>
        <w:pStyle w:val="ListParagraph"/>
        <w:numPr>
          <w:ilvl w:val="0"/>
          <w:numId w:val="2"/>
        </w:numPr>
        <w:spacing w:after="80"/>
      </w:pPr>
      <w:r>
        <w:t xml:space="preserve">Add authentication, PII handling review, and audit-log export as part of a security/compliance pass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2026-08-12T20:11:16.406Z</dcterms:created>
  <dcterms:modified xsi:type="dcterms:W3CDTF">2026-08-12T20:11:16.418Z</dcterms:modified>
</cp:coreProperties>
</file>

<file path=docProps/custom.xml><?xml version="1.0" encoding="utf-8"?>
<Properties xmlns="http://schemas.openxmlformats.org/officeDocument/2006/custom-properties" xmlns:vt="http://schemas.openxmlformats.org/officeDocument/2006/docPropsVTypes"/>
</file>