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rPr>
          <w:rFonts w:ascii="Arial" w:cs="Arial" w:eastAsia="Arial" w:hAnsi="Arial"/>
          <w:b w:val="false"/>
          <w:bCs w:val="false"/>
          <w:i w:val="false"/>
          <w:iCs w:val="false"/>
          <w:color w:val="0D0D0D"/>
          <w:sz w:val="22"/>
          <w:szCs w:val="22"/>
        </w:rPr>
        <w:t xml:space="preserve"/>
      </w:r>
    </w:p>
    <w:p>
      <w:pPr>
        <w:spacing w:before="0" w:after="20"/>
        <w:jc w:val="center"/>
      </w:pPr>
      <w:r>
        <w:rPr>
          <w:rFonts w:ascii="Arial" w:cs="Arial" w:eastAsia="Arial" w:hAnsi="Arial"/>
          <w:b/>
          <w:bCs/>
          <w:i w:val="false"/>
          <w:iCs w:val="false"/>
          <w:color w:val="0D1B2A"/>
          <w:sz w:val="52"/>
          <w:szCs w:val="52"/>
        </w:rPr>
        <w:t xml:space="preserve">PRODUCT ROADMAP</w:t>
      </w:r>
    </w:p>
    <w:p>
      <w:pPr>
        <w:pBdr>
          <w:bottom w:val="single" w:color="C0392B" w:sz="18" w:space="1"/>
        </w:pBdr>
        <w:spacing w:before="0" w:after="60"/>
        <w:jc w:val="center"/>
      </w:pPr>
      <w:r>
        <w:rPr>
          <w:rFonts w:ascii="Arial" w:cs="Arial" w:eastAsia="Arial" w:hAnsi="Arial"/>
          <w:b/>
          <w:bCs/>
          <w:i/>
          <w:iCs/>
          <w:color w:val="1B4F8A"/>
          <w:sz w:val="36"/>
          <w:szCs w:val="36"/>
        </w:rPr>
        <w:t xml:space="preserve">AdaptiveOrchestrator</w:t>
      </w:r>
    </w:p>
    <w:p>
      <w:pPr>
        <w:spacing w:before="60" w:after="0"/>
      </w:pPr>
      <w:r>
        <w:rPr>
          <w:rFonts w:ascii="Arial" w:cs="Arial" w:eastAsia="Arial" w:hAnsi="Arial"/>
          <w:b w:val="false"/>
          <w:bCs w:val="false"/>
          <w:i w:val="false"/>
          <w:iCs w:val="false"/>
          <w:color w:val="0D0D0D"/>
          <w:sz w:val="22"/>
          <w:szCs w:val="22"/>
        </w:rPr>
        <w:t xml:space="preserve"/>
      </w:r>
    </w:p>
    <w:p>
      <w:pPr>
        <w:spacing w:before="0" w:after="30"/>
        <w:jc w:val="center"/>
      </w:pPr>
      <w:r>
        <w:rPr>
          <w:rFonts w:ascii="Arial" w:cs="Arial" w:eastAsia="Arial" w:hAnsi="Arial"/>
          <w:b w:val="false"/>
          <w:bCs w:val="false"/>
          <w:i w:val="false"/>
          <w:iCs w:val="false"/>
          <w:color w:val="566573"/>
          <w:sz w:val="24"/>
          <w:szCs w:val="24"/>
        </w:rPr>
        <w:t xml:space="preserve">Runtime-Adaptive Edge–Cloud Orchestration for Industrial IoT</w:t>
      </w:r>
    </w:p>
    <w:p>
      <w:pPr>
        <w:spacing w:before="0" w:after="280"/>
        <w:jc w:val="center"/>
      </w:pPr>
      <w:r>
        <w:rPr>
          <w:rFonts w:ascii="Arial" w:cs="Arial" w:eastAsia="Arial" w:hAnsi="Arial"/>
          <w:b w:val="false"/>
          <w:bCs w:val="false"/>
          <w:i/>
          <w:iCs/>
          <w:color w:val="566573"/>
          <w:sz w:val="22"/>
          <w:szCs w:val="22"/>
        </w:rPr>
        <w:t xml:space="preserve">From Thesis MVP to Global Industrial SaaS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10"/>
              <w:left w:val="single" w:color="1B4F8A" w:sz="6"/>
              <w:bottom w:val="single" w:color="1B4F8A" w:sz="6"/>
              <w:right w:val="single" w:color="1B4F8A" w:sz="6"/>
            </w:tcBorders>
            <w:shd w:fill="EBF5FB" w:val="clear"/>
            <w:tcMar>
              <w:top w:type="dxa" w:w="160"/>
              <w:left w:type="dxa" w:w="160"/>
              <w:bottom w:type="dxa" w:w="160"/>
              <w:right w:type="dxa" w:w="160"/>
            </w:tcMar>
          </w:tcPr>
          <w:p>
            <w:pPr>
              <w:spacing w:before="0" w:after="40"/>
              <w:jc w:val="center"/>
            </w:pPr>
            <w:r>
              <w:rPr>
                <w:rFonts w:ascii="Arial" w:cs="Arial" w:eastAsia="Arial" w:hAnsi="Arial"/>
                <w:b/>
                <w:bCs/>
                <w:i w:val="false"/>
                <w:iCs w:val="false"/>
                <w:color w:val="1B4F8A"/>
                <w:sz w:val="36"/>
                <w:szCs w:val="36"/>
              </w:rPr>
              <w:t xml:space="preserve">V1</w:t>
            </w:r>
          </w:p>
          <w:p>
            <w:pPr>
              <w:spacing w:before="0" w:after="40"/>
              <w:jc w:val="center"/>
            </w:pPr>
            <w:r>
              <w:rPr>
                <w:rFonts w:ascii="Arial" w:cs="Arial" w:eastAsia="Arial" w:hAnsi="Arial"/>
                <w:b/>
                <w:bCs/>
                <w:i w:val="false"/>
                <w:iCs w:val="false"/>
                <w:color w:val="1B4F8A"/>
                <w:sz w:val="20"/>
                <w:szCs w:val="20"/>
              </w:rPr>
              <w:t xml:space="preserve">THESIS MVP</w:t>
            </w:r>
          </w:p>
          <w:p>
            <w:pPr>
              <w:spacing w:before="0" w:after="40"/>
              <w:jc w:val="center"/>
            </w:pPr>
            <w:r>
              <w:rPr>
                <w:rFonts w:ascii="Arial" w:cs="Arial" w:eastAsia="Arial" w:hAnsi="Arial"/>
                <w:b w:val="false"/>
                <w:bCs w:val="false"/>
                <w:i w:val="false"/>
                <w:iCs w:val="false"/>
                <w:color w:val="566573"/>
                <w:sz w:val="18"/>
                <w:szCs w:val="18"/>
              </w:rPr>
              <w:t xml:space="preserve">Months 1–2</w:t>
            </w:r>
          </w:p>
          <w:p>
            <w:pPr>
              <w:spacing w:before="0" w:after="0"/>
              <w:jc w:val="center"/>
            </w:pPr>
            <w:r>
              <w:rPr>
                <w:rFonts w:ascii="Arial" w:cs="Arial" w:eastAsia="Arial" w:hAnsi="Arial"/>
                <w:b w:val="false"/>
                <w:bCs w:val="false"/>
                <w:i/>
                <w:iCs/>
                <w:color w:val="1C2833"/>
                <w:sz w:val="18"/>
                <w:szCs w:val="18"/>
              </w:rPr>
              <w:t xml:space="preserve">Prove the concept.
Defend the thesis.
Lay the foundation.</w:t>
            </w:r>
          </w:p>
        </w:tc>
        <w:tc>
          <w:tcPr>
            <w:tcW w:type="dxa" w:w="3120"/>
            <w:tcBorders>
              <w:top w:val="single" w:color="117A65" w:sz="10"/>
              <w:left w:val="single" w:color="117A65" w:sz="6"/>
              <w:bottom w:val="single" w:color="117A65" w:sz="6"/>
              <w:right w:val="single" w:color="117A65" w:sz="6"/>
            </w:tcBorders>
            <w:shd w:fill="E8F8F5" w:val="clear"/>
            <w:tcMar>
              <w:top w:type="dxa" w:w="160"/>
              <w:left w:type="dxa" w:w="160"/>
              <w:bottom w:type="dxa" w:w="160"/>
              <w:right w:type="dxa" w:w="160"/>
            </w:tcMar>
          </w:tcPr>
          <w:p>
            <w:pPr>
              <w:spacing w:before="0" w:after="40"/>
              <w:jc w:val="center"/>
            </w:pPr>
            <w:r>
              <w:rPr>
                <w:rFonts w:ascii="Arial" w:cs="Arial" w:eastAsia="Arial" w:hAnsi="Arial"/>
                <w:b/>
                <w:bCs/>
                <w:i w:val="false"/>
                <w:iCs w:val="false"/>
                <w:color w:val="117A65"/>
                <w:sz w:val="36"/>
                <w:szCs w:val="36"/>
              </w:rPr>
              <w:t xml:space="preserve">V2</w:t>
            </w:r>
          </w:p>
          <w:p>
            <w:pPr>
              <w:spacing w:before="0" w:after="40"/>
              <w:jc w:val="center"/>
            </w:pPr>
            <w:r>
              <w:rPr>
                <w:rFonts w:ascii="Arial" w:cs="Arial" w:eastAsia="Arial" w:hAnsi="Arial"/>
                <w:b/>
                <w:bCs/>
                <w:i w:val="false"/>
                <w:iCs w:val="false"/>
                <w:color w:val="117A65"/>
                <w:sz w:val="20"/>
                <w:szCs w:val="20"/>
              </w:rPr>
              <w:t xml:space="preserve">PRODUCT</w:t>
            </w:r>
          </w:p>
          <w:p>
            <w:pPr>
              <w:spacing w:before="0" w:after="40"/>
              <w:jc w:val="center"/>
            </w:pPr>
            <w:r>
              <w:rPr>
                <w:rFonts w:ascii="Arial" w:cs="Arial" w:eastAsia="Arial" w:hAnsi="Arial"/>
                <w:b w:val="false"/>
                <w:bCs w:val="false"/>
                <w:i w:val="false"/>
                <w:iCs w:val="false"/>
                <w:color w:val="566573"/>
                <w:sz w:val="18"/>
                <w:szCs w:val="18"/>
              </w:rPr>
              <w:t xml:space="preserve">Months 3–8</w:t>
            </w:r>
          </w:p>
          <w:p>
            <w:pPr>
              <w:spacing w:before="0" w:after="0"/>
              <w:jc w:val="center"/>
            </w:pPr>
            <w:r>
              <w:rPr>
                <w:rFonts w:ascii="Arial" w:cs="Arial" w:eastAsia="Arial" w:hAnsi="Arial"/>
                <w:b w:val="false"/>
                <w:bCs w:val="false"/>
                <w:i/>
                <w:iCs/>
                <w:color w:val="1C2833"/>
                <w:sz w:val="18"/>
                <w:szCs w:val="18"/>
              </w:rPr>
              <w:t xml:space="preserve">Harden the platform.
Add real sensors.
First pilot customer.</w:t>
            </w:r>
          </w:p>
        </w:tc>
        <w:tc>
          <w:tcPr>
            <w:tcW w:type="dxa" w:w="3120"/>
            <w:tcBorders>
              <w:top w:val="single" w:color="6C3483" w:sz="10"/>
              <w:left w:val="single" w:color="6C3483" w:sz="6"/>
              <w:bottom w:val="single" w:color="6C3483" w:sz="6"/>
              <w:right w:val="single" w:color="6C3483" w:sz="6"/>
            </w:tcBorders>
            <w:shd w:fill="F5EEF8" w:val="clear"/>
            <w:tcMar>
              <w:top w:type="dxa" w:w="160"/>
              <w:left w:type="dxa" w:w="160"/>
              <w:bottom w:type="dxa" w:w="160"/>
              <w:right w:type="dxa" w:w="160"/>
            </w:tcMar>
          </w:tcPr>
          <w:p>
            <w:pPr>
              <w:spacing w:before="0" w:after="40"/>
              <w:jc w:val="center"/>
            </w:pPr>
            <w:r>
              <w:rPr>
                <w:rFonts w:ascii="Arial" w:cs="Arial" w:eastAsia="Arial" w:hAnsi="Arial"/>
                <w:b/>
                <w:bCs/>
                <w:i w:val="false"/>
                <w:iCs w:val="false"/>
                <w:color w:val="6C3483"/>
                <w:sz w:val="36"/>
                <w:szCs w:val="36"/>
              </w:rPr>
              <w:t xml:space="preserve">V3</w:t>
            </w:r>
          </w:p>
          <w:p>
            <w:pPr>
              <w:spacing w:before="0" w:after="40"/>
              <w:jc w:val="center"/>
            </w:pPr>
            <w:r>
              <w:rPr>
                <w:rFonts w:ascii="Arial" w:cs="Arial" w:eastAsia="Arial" w:hAnsi="Arial"/>
                <w:b/>
                <w:bCs/>
                <w:i w:val="false"/>
                <w:iCs w:val="false"/>
                <w:color w:val="6C3483"/>
                <w:sz w:val="20"/>
                <w:szCs w:val="20"/>
              </w:rPr>
              <w:t xml:space="preserve">STARTUP</w:t>
            </w:r>
          </w:p>
          <w:p>
            <w:pPr>
              <w:spacing w:before="0" w:after="40"/>
              <w:jc w:val="center"/>
            </w:pPr>
            <w:r>
              <w:rPr>
                <w:rFonts w:ascii="Arial" w:cs="Arial" w:eastAsia="Arial" w:hAnsi="Arial"/>
                <w:b w:val="false"/>
                <w:bCs w:val="false"/>
                <w:i w:val="false"/>
                <w:iCs w:val="false"/>
                <w:color w:val="566573"/>
                <w:sz w:val="18"/>
                <w:szCs w:val="18"/>
              </w:rPr>
              <w:t xml:space="preserve">Months 9–24</w:t>
            </w:r>
          </w:p>
          <w:p>
            <w:pPr>
              <w:spacing w:before="0" w:after="0"/>
              <w:jc w:val="center"/>
            </w:pPr>
            <w:r>
              <w:rPr>
                <w:rFonts w:ascii="Arial" w:cs="Arial" w:eastAsia="Arial" w:hAnsi="Arial"/>
                <w:b w:val="false"/>
                <w:bCs w:val="false"/>
                <w:i/>
                <w:iCs/>
                <w:color w:val="1C2833"/>
                <w:sz w:val="18"/>
                <w:szCs w:val="18"/>
              </w:rPr>
              <w:t xml:space="preserve">Scale the business.
SaaS pricing live.
Series A readiness.</w:t>
            </w:r>
          </w:p>
        </w:tc>
      </w:tr>
    </w:tbl>
    <w:p>
      <w:pPr>
        <w:spacing w:before="12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Field</w:t>
            </w:r>
          </w:p>
        </w:tc>
        <w:tc>
          <w:tcPr>
            <w:tcW w:type="dxa" w:w="716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Detail</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Document</w:t>
            </w:r>
          </w:p>
        </w:tc>
        <w:tc>
          <w:tcPr>
            <w:tcW w:type="dxa" w:w="7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Product Roadmap — V1 MVP through V3 Startup Launch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Author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Ajith Kumara — Founder &amp; CTO</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Institution</w:t>
            </w:r>
          </w:p>
        </w:tc>
        <w:tc>
          <w:tcPr>
            <w:tcW w:type="dxa" w:w="7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University of Moratuwa (academic) | AdaptiveOrchestrator (commercial)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Version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 — Initial Release, February 2026</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Thesis supervisor</w:t>
            </w:r>
          </w:p>
        </w:tc>
        <w:tc>
          <w:tcPr>
            <w:tcW w:type="dxa" w:w="7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Dr. Thushari Silva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Classification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Confidential — Founder eyes only</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Total timeline</w:t>
            </w:r>
          </w:p>
        </w:tc>
        <w:tc>
          <w:tcPr>
            <w:tcW w:type="dxa" w:w="7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24 months from today to Series A readiness</w:t>
            </w:r>
          </w:p>
        </w:tc>
      </w:tr>
    </w:tbl>
    <w:p>
      <w:r>
        <w:br w:type="page"/>
      </w:r>
    </w:p>
    <w:p>
      <w:pPr>
        <w:pStyle w:val="Heading1"/>
        <w:spacing w:before="440" w:after="160"/>
      </w:pPr>
      <w:r>
        <w:rPr>
          <w:rFonts w:ascii="Arial" w:cs="Arial" w:eastAsia="Arial" w:hAnsi="Arial"/>
          <w:b/>
          <w:bCs/>
          <w:i w:val="false"/>
          <w:iCs w:val="false"/>
          <w:color w:val="0D1B2A"/>
          <w:sz w:val="34"/>
          <w:szCs w:val="34"/>
        </w:rPr>
        <w:t xml:space="preserve">1.  Vision and Market Opportunity</w:t>
      </w:r>
    </w:p>
    <w:p>
      <w:pPr>
        <w:pStyle w:val="Heading2"/>
        <w:spacing w:before="300" w:after="120"/>
      </w:pPr>
      <w:r>
        <w:rPr>
          <w:rFonts w:ascii="Arial" w:cs="Arial" w:eastAsia="Arial" w:hAnsi="Arial"/>
          <w:b/>
          <w:bCs/>
          <w:i w:val="false"/>
          <w:iCs w:val="false"/>
          <w:color w:val="1B4F8A"/>
          <w:sz w:val="27"/>
          <w:szCs w:val="27"/>
        </w:rPr>
        <w:t xml:space="preserve">1.1  The Problem</w:t>
      </w:r>
    </w:p>
    <w:p>
      <w:pPr>
        <w:spacing w:before="60" w:after="100" w:line="320"/>
        <w:jc w:val="both"/>
      </w:pPr>
      <w:r>
        <w:rPr>
          <w:rFonts w:ascii="Arial" w:cs="Arial" w:eastAsia="Arial" w:hAnsi="Arial"/>
          <w:b w:val="false"/>
          <w:bCs w:val="false"/>
          <w:i w:val="false"/>
          <w:iCs w:val="false"/>
          <w:color w:val="0D0D0D"/>
          <w:sz w:val="22"/>
          <w:szCs w:val="22"/>
        </w:rPr>
        <w:t xml:space="preserve">Industrial manufacturers — factories, processing plants, energy facilities, water treatment systems — need anomaly detection that works when the internet does not. They need edge intelligence that adapts to real-world conditions: connectivity outages, network degradation, hardware overload. And they need it at a price that is not £500,000 per year.</w:t>
      </w:r>
    </w:p>
    <w:p>
      <w:pPr>
        <w:spacing w:before="60" w:after="0"/>
      </w:pPr>
      <w:r>
        <w:rPr>
          <w:rFonts w:ascii="Arial" w:cs="Arial" w:eastAsia="Arial" w:hAnsi="Arial"/>
          <w:b w:val="false"/>
          <w:bCs w:val="false"/>
          <w:i w:val="false"/>
          <w:iCs w:val="false"/>
          <w:color w:val="0D0D0D"/>
          <w:sz w:val="22"/>
          <w:szCs w:val="22"/>
        </w:rPr>
        <w:t xml:space="preserve"/>
      </w:r>
    </w:p>
    <w:p>
      <w:pPr>
        <w:spacing w:before="60" w:after="100" w:line="320"/>
        <w:jc w:val="both"/>
      </w:pPr>
      <w:r>
        <w:rPr>
          <w:rFonts w:ascii="Arial" w:cs="Arial" w:eastAsia="Arial" w:hAnsi="Arial"/>
          <w:b w:val="false"/>
          <w:bCs w:val="false"/>
          <w:i w:val="false"/>
          <w:iCs w:val="false"/>
          <w:color w:val="0D0D0D"/>
          <w:sz w:val="22"/>
          <w:szCs w:val="22"/>
        </w:rPr>
        <w:t xml:space="preserve">Today they have two options. Pay enterprise prices for Siemens MindSphere, GE Predix, or AWS IoT Greengrass — platforms built for large corporations with large IT departments. Or build it themselves — which requires distributed systems expertise they do not have.</w:t>
      </w:r>
    </w:p>
    <w:p>
      <w:pPr>
        <w:spacing w:before="60" w:after="0"/>
      </w:pPr>
      <w:r>
        <w:rPr>
          <w:rFonts w:ascii="Arial" w:cs="Arial" w:eastAsia="Arial" w:hAnsi="Arial"/>
          <w:b w:val="false"/>
          <w:bCs w:val="false"/>
          <w:i w:val="false"/>
          <w:iCs w:val="false"/>
          <w:color w:val="0D0D0D"/>
          <w:sz w:val="22"/>
          <w:szCs w:val="22"/>
        </w:rPr>
        <w:t xml:space="preserve"/>
      </w:r>
    </w:p>
    <w:p>
      <w:pPr>
        <w:spacing w:before="60" w:after="100" w:line="320"/>
        <w:jc w:val="both"/>
      </w:pPr>
      <w:r>
        <w:rPr>
          <w:rFonts w:ascii="Arial" w:cs="Arial" w:eastAsia="Arial" w:hAnsi="Arial"/>
          <w:b w:val="false"/>
          <w:bCs w:val="false"/>
          <w:i w:val="false"/>
          <w:iCs w:val="false"/>
          <w:color w:val="0D0D0D"/>
          <w:sz w:val="22"/>
          <w:szCs w:val="22"/>
        </w:rPr>
        <w:t xml:space="preserve">There is a £50–500/month per-site gap in the market. That is where AdaptiveOrchestrator lives.</w:t>
      </w:r>
    </w:p>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1.2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10"/>
              <w:left w:val="single" w:color="1B4F8A" w:sz="6"/>
              <w:bottom w:val="single" w:color="1B4F8A" w:sz="6"/>
              <w:right w:val="single" w:color="1B4F8A" w:sz="6"/>
            </w:tcBorders>
            <w:shd w:fill="EBF5FB" w:val="clear"/>
            <w:tcMar>
              <w:top w:type="dxa" w:w="140"/>
              <w:left w:type="dxa" w:w="120"/>
              <w:bottom w:type="dxa" w:w="140"/>
              <w:right w:type="dxa" w:w="120"/>
            </w:tcMar>
          </w:tcPr>
          <w:p>
            <w:pPr>
              <w:spacing w:before="0" w:after="40"/>
              <w:jc w:val="center"/>
            </w:pPr>
            <w:r>
              <w:rPr>
                <w:rFonts w:ascii="Arial" w:cs="Arial" w:eastAsia="Arial" w:hAnsi="Arial"/>
                <w:b/>
                <w:bCs/>
                <w:i w:val="false"/>
                <w:iCs w:val="false"/>
                <w:color w:val="1B4F8A"/>
                <w:sz w:val="32"/>
                <w:szCs w:val="32"/>
              </w:rPr>
              <w:t xml:space="preserve">£180B</w:t>
            </w:r>
          </w:p>
          <w:p>
            <w:pPr>
              <w:spacing w:before="0" w:after="0"/>
              <w:jc w:val="center"/>
            </w:pPr>
            <w:r>
              <w:rPr>
                <w:rFonts w:ascii="Arial" w:cs="Arial" w:eastAsia="Arial" w:hAnsi="Arial"/>
                <w:b w:val="false"/>
                <w:bCs w:val="false"/>
                <w:i w:val="false"/>
                <w:iCs w:val="false"/>
                <w:color w:val="566573"/>
                <w:sz w:val="18"/>
                <w:szCs w:val="18"/>
              </w:rPr>
              <w:t xml:space="preserve">Global IIoT Market by 2028</w:t>
            </w:r>
          </w:p>
        </w:tc>
        <w:tc>
          <w:tcPr>
            <w:tcW w:type="dxa" w:w="2340"/>
            <w:tcBorders>
              <w:top w:val="single" w:color="117A65" w:sz="10"/>
              <w:left w:val="single" w:color="117A65" w:sz="6"/>
              <w:bottom w:val="single" w:color="117A65" w:sz="6"/>
              <w:right w:val="single" w:color="117A65" w:sz="6"/>
            </w:tcBorders>
            <w:shd w:fill="E8F8F5" w:val="clear"/>
            <w:tcMar>
              <w:top w:type="dxa" w:w="140"/>
              <w:left w:type="dxa" w:w="120"/>
              <w:bottom w:type="dxa" w:w="140"/>
              <w:right w:type="dxa" w:w="120"/>
            </w:tcMar>
          </w:tcPr>
          <w:p>
            <w:pPr>
              <w:spacing w:before="0" w:after="40"/>
              <w:jc w:val="center"/>
            </w:pPr>
            <w:r>
              <w:rPr>
                <w:rFonts w:ascii="Arial" w:cs="Arial" w:eastAsia="Arial" w:hAnsi="Arial"/>
                <w:b/>
                <w:bCs/>
                <w:i w:val="false"/>
                <w:iCs w:val="false"/>
                <w:color w:val="117A65"/>
                <w:sz w:val="32"/>
                <w:szCs w:val="32"/>
              </w:rPr>
              <w:t xml:space="preserve">72%</w:t>
            </w:r>
          </w:p>
          <w:p>
            <w:pPr>
              <w:spacing w:before="0" w:after="0"/>
              <w:jc w:val="center"/>
            </w:pPr>
            <w:r>
              <w:rPr>
                <w:rFonts w:ascii="Arial" w:cs="Arial" w:eastAsia="Arial" w:hAnsi="Arial"/>
                <w:b w:val="false"/>
                <w:bCs w:val="false"/>
                <w:i w:val="false"/>
                <w:iCs w:val="false"/>
                <w:color w:val="566573"/>
                <w:sz w:val="18"/>
                <w:szCs w:val="18"/>
              </w:rPr>
              <w:t xml:space="preserve">SME manufacturers under-served by current platforms</w:t>
            </w:r>
          </w:p>
        </w:tc>
        <w:tc>
          <w:tcPr>
            <w:tcW w:type="dxa" w:w="2340"/>
            <w:tcBorders>
              <w:top w:val="single" w:color="6C3483" w:sz="10"/>
              <w:left w:val="single" w:color="6C3483" w:sz="6"/>
              <w:bottom w:val="single" w:color="6C3483" w:sz="6"/>
              <w:right w:val="single" w:color="6C3483" w:sz="6"/>
            </w:tcBorders>
            <w:shd w:fill="F5EEF8" w:val="clear"/>
            <w:tcMar>
              <w:top w:type="dxa" w:w="140"/>
              <w:left w:type="dxa" w:w="120"/>
              <w:bottom w:type="dxa" w:w="140"/>
              <w:right w:type="dxa" w:w="120"/>
            </w:tcMar>
          </w:tcPr>
          <w:p>
            <w:pPr>
              <w:spacing w:before="0" w:after="40"/>
              <w:jc w:val="center"/>
            </w:pPr>
            <w:r>
              <w:rPr>
                <w:rFonts w:ascii="Arial" w:cs="Arial" w:eastAsia="Arial" w:hAnsi="Arial"/>
                <w:b/>
                <w:bCs/>
                <w:i w:val="false"/>
                <w:iCs w:val="false"/>
                <w:color w:val="6C3483"/>
                <w:sz w:val="32"/>
                <w:szCs w:val="32"/>
              </w:rPr>
              <w:t xml:space="preserve">£2,400</w:t>
            </w:r>
          </w:p>
          <w:p>
            <w:pPr>
              <w:spacing w:before="0" w:after="0"/>
              <w:jc w:val="center"/>
            </w:pPr>
            <w:r>
              <w:rPr>
                <w:rFonts w:ascii="Arial" w:cs="Arial" w:eastAsia="Arial" w:hAnsi="Arial"/>
                <w:b w:val="false"/>
                <w:bCs w:val="false"/>
                <w:i w:val="false"/>
                <w:iCs w:val="false"/>
                <w:color w:val="566573"/>
                <w:sz w:val="18"/>
                <w:szCs w:val="18"/>
              </w:rPr>
              <w:t xml:space="preserve">Average annual cost per site at target pricing</w:t>
            </w:r>
          </w:p>
        </w:tc>
        <w:tc>
          <w:tcPr>
            <w:tcW w:type="dxa" w:w="2340"/>
            <w:tcBorders>
              <w:top w:val="single" w:color="D4680A" w:sz="10"/>
              <w:left w:val="single" w:color="D4680A" w:sz="6"/>
              <w:bottom w:val="single" w:color="D4680A" w:sz="6"/>
              <w:right w:val="single" w:color="D4680A" w:sz="6"/>
            </w:tcBorders>
            <w:shd w:fill="FEF5E7" w:val="clear"/>
            <w:tcMar>
              <w:top w:type="dxa" w:w="140"/>
              <w:left w:type="dxa" w:w="120"/>
              <w:bottom w:type="dxa" w:w="140"/>
              <w:right w:type="dxa" w:w="120"/>
            </w:tcMar>
          </w:tcPr>
          <w:p>
            <w:pPr>
              <w:spacing w:before="0" w:after="40"/>
              <w:jc w:val="center"/>
            </w:pPr>
            <w:r>
              <w:rPr>
                <w:rFonts w:ascii="Arial" w:cs="Arial" w:eastAsia="Arial" w:hAnsi="Arial"/>
                <w:b/>
                <w:bCs/>
                <w:i w:val="false"/>
                <w:iCs w:val="false"/>
                <w:color w:val="D4680A"/>
                <w:sz w:val="32"/>
                <w:szCs w:val="32"/>
              </w:rPr>
              <w:t xml:space="preserve">4.2B+</w:t>
            </w:r>
          </w:p>
          <w:p>
            <w:pPr>
              <w:spacing w:before="0" w:after="0"/>
              <w:jc w:val="center"/>
            </w:pPr>
            <w:r>
              <w:rPr>
                <w:rFonts w:ascii="Arial" w:cs="Arial" w:eastAsia="Arial" w:hAnsi="Arial"/>
                <w:b w:val="false"/>
                <w:bCs w:val="false"/>
                <w:i w:val="false"/>
                <w:iCs w:val="false"/>
                <w:color w:val="566573"/>
                <w:sz w:val="18"/>
                <w:szCs w:val="18"/>
              </w:rPr>
              <w:t xml:space="preserve">Connected industrial devices by 2030</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1.3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2"/>
              <w:left w:val="single" w:color="1B4F8A" w:sz="14"/>
              <w:bottom w:val="single" w:color="1B4F8A" w:sz="2"/>
              <w:right w:val="single" w:color="1B4F8A" w:sz="2"/>
            </w:tcBorders>
            <w:shd w:fill="0A0F1A" w:val="clear"/>
            <w:tcMar>
              <w:top w:type="dxa" w:w="160"/>
              <w:left w:type="dxa" w:w="220"/>
              <w:bottom w:type="dxa" w:w="160"/>
              <w:right w:type="dxa" w:w="220"/>
            </w:tcMar>
          </w:tcPr>
          <w:p>
            <w:pPr>
              <w:spacing w:before="14" w:after="14"/>
            </w:pPr>
            <w:r>
              <w:rPr>
                <w:rFonts w:ascii="Courier New" w:cs="Courier New" w:eastAsia="Courier New" w:hAnsi="Courier New"/>
                <w:b w:val="false"/>
                <w:bCs w:val="false"/>
                <w:color w:val="7FDBFF"/>
                <w:sz w:val="17"/>
                <w:szCs w:val="17"/>
              </w:rPr>
              <w:t xml:space="preserve">  AdaptiveOrchestrator — What We Do In One Sentence:</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We make industrial anomaly detection work reliably</w:t>
            </w:r>
          </w:p>
          <w:p>
            <w:pPr>
              <w:spacing w:before="14" w:after="14"/>
            </w:pPr>
            <w:r>
              <w:rPr>
                <w:rFonts w:ascii="Courier New" w:cs="Courier New" w:eastAsia="Courier New" w:hAnsi="Courier New"/>
                <w:b w:val="false"/>
                <w:bCs w:val="false"/>
                <w:color w:val="7FDBFF"/>
                <w:sz w:val="17"/>
                <w:szCs w:val="17"/>
              </w:rPr>
              <w:t xml:space="preserve">  regardless of network conditions, hardware limitations,</w:t>
            </w:r>
          </w:p>
          <w:p>
            <w:pPr>
              <w:spacing w:before="14" w:after="14"/>
            </w:pPr>
            <w:r>
              <w:rPr>
                <w:rFonts w:ascii="Courier New" w:cs="Courier New" w:eastAsia="Courier New" w:hAnsi="Courier New"/>
                <w:b w:val="false"/>
                <w:bCs w:val="false"/>
                <w:color w:val="7FDBFF"/>
                <w:sz w:val="17"/>
                <w:szCs w:val="17"/>
              </w:rPr>
              <w:t xml:space="preserve">  or cloud availability — at a price SME manufacturers</w:t>
            </w:r>
          </w:p>
          <w:p>
            <w:pPr>
              <w:spacing w:before="14" w:after="14"/>
            </w:pPr>
            <w:r>
              <w:rPr>
                <w:rFonts w:ascii="Courier New" w:cs="Courier New" w:eastAsia="Courier New" w:hAnsi="Courier New"/>
                <w:b w:val="false"/>
                <w:bCs w:val="false"/>
                <w:color w:val="7FDBFF"/>
                <w:sz w:val="17"/>
                <w:szCs w:val="17"/>
              </w:rPr>
              <w:t xml:space="preserve">  can actually afford.</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How: Runtime-adaptive orchestration that continuously</w:t>
            </w:r>
          </w:p>
          <w:p>
            <w:pPr>
              <w:spacing w:before="14" w:after="14"/>
            </w:pPr>
            <w:r>
              <w:rPr>
                <w:rFonts w:ascii="Courier New" w:cs="Courier New" w:eastAsia="Courier New" w:hAnsi="Courier New"/>
                <w:b w:val="false"/>
                <w:bCs w:val="false"/>
                <w:color w:val="7FDBFF"/>
                <w:sz w:val="17"/>
                <w:szCs w:val="17"/>
              </w:rPr>
              <w:t xml:space="preserve">  measures the edge environment and dynamically decides</w:t>
            </w:r>
          </w:p>
          <w:p>
            <w:pPr>
              <w:spacing w:before="14" w:after="14"/>
            </w:pPr>
            <w:r>
              <w:rPr>
                <w:rFonts w:ascii="Courier New" w:cs="Courier New" w:eastAsia="Courier New" w:hAnsi="Courier New"/>
                <w:b w:val="false"/>
                <w:bCs w:val="false"/>
                <w:color w:val="7FDBFF"/>
                <w:sz w:val="17"/>
                <w:szCs w:val="17"/>
              </w:rPr>
              <w:t xml:space="preserve">  where computation runs — locally, hybrid, or cloud.</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The result: factories keep detecting anomalies even</w:t>
            </w:r>
          </w:p>
          <w:p>
            <w:pPr>
              <w:spacing w:before="14" w:after="14"/>
            </w:pPr>
            <w:r>
              <w:rPr>
                <w:rFonts w:ascii="Courier New" w:cs="Courier New" w:eastAsia="Courier New" w:hAnsi="Courier New"/>
                <w:b w:val="false"/>
                <w:bCs w:val="false"/>
                <w:color w:val="7FDBFF"/>
                <w:sz w:val="17"/>
                <w:szCs w:val="17"/>
              </w:rPr>
              <w:t xml:space="preserve">  when the internet goes down. Forever.</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1.4  The Three Concentric Circles</w:t>
      </w:r>
    </w:p>
    <w:p>
      <w:pPr>
        <w:spacing w:before="60" w:after="100" w:line="320"/>
        <w:jc w:val="both"/>
      </w:pPr>
      <w:r>
        <w:rPr>
          <w:rFonts w:ascii="Arial" w:cs="Arial" w:eastAsia="Arial" w:hAnsi="Arial"/>
          <w:b w:val="false"/>
          <w:bCs w:val="false"/>
          <w:i w:val="false"/>
          <w:iCs w:val="false"/>
          <w:color w:val="0D0D0D"/>
          <w:sz w:val="22"/>
          <w:szCs w:val="22"/>
        </w:rPr>
        <w:t xml:space="preserve">Everything built across V1, V2, and V3 is additive. Nothing is thrown away. V1 is the nucleus. V2 adds product layers around it. V3 adds business layers around that.</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2"/>
              <w:left w:val="single" w:color="6C3483" w:sz="14"/>
              <w:bottom w:val="single" w:color="6C3483" w:sz="2"/>
              <w:right w:val="single" w:color="6C3483" w:sz="2"/>
            </w:tcBorders>
            <w:shd w:fill="0A0F1A" w:val="clear"/>
            <w:tcMar>
              <w:top w:type="dxa" w:w="160"/>
              <w:left w:type="dxa" w:w="220"/>
              <w:bottom w:type="dxa" w:w="160"/>
              <w:right w:type="dxa" w:w="220"/>
            </w:tcMar>
          </w:tcPr>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          V3 — STARTUP                │</w:t>
            </w:r>
          </w:p>
          <w:p>
            <w:pPr>
              <w:spacing w:before="14" w:after="14"/>
            </w:pPr>
            <w:r>
              <w:rPr>
                <w:rFonts w:ascii="Courier New" w:cs="Courier New" w:eastAsia="Courier New" w:hAnsi="Courier New"/>
                <w:b w:val="false"/>
                <w:bCs w:val="false"/>
                <w:color w:val="7FDBFF"/>
                <w:sz w:val="17"/>
                <w:szCs w:val="17"/>
              </w:rPr>
              <w:t xml:space="preserve">                │   Multi-tenant SaaS, billing,        │</w:t>
            </w:r>
          </w:p>
          <w:p>
            <w:pPr>
              <w:spacing w:before="14" w:after="14"/>
            </w:pPr>
            <w:r>
              <w:rPr>
                <w:rFonts w:ascii="Courier New" w:cs="Courier New" w:eastAsia="Courier New" w:hAnsi="Courier New"/>
                <w:b w:val="false"/>
                <w:bCs w:val="false"/>
                <w:color w:val="7FDBFF"/>
                <w:sz w:val="17"/>
                <w:szCs w:val="17"/>
              </w:rPr>
              <w:t xml:space="preserve">                │   customer dashboard, partner API    │</w:t>
            </w:r>
          </w:p>
          <w:p>
            <w:pPr>
              <w:spacing w:before="14" w:after="14"/>
            </w:pPr>
            <w:r>
              <w:rPr>
                <w:rFonts w:ascii="Courier New" w:cs="Courier New" w:eastAsia="Courier New" w:hAnsi="Courier New"/>
                <w:b w:val="false"/>
                <w:bCs w:val="false"/>
                <w:color w:val="7FDBFF"/>
                <w:sz w:val="17"/>
                <w:szCs w:val="17"/>
              </w:rPr>
              <w:t xml:space="preserve">                │  ┌────────────────────────────────┐  │</w:t>
            </w:r>
          </w:p>
          <w:p>
            <w:pPr>
              <w:spacing w:before="14" w:after="14"/>
            </w:pPr>
            <w:r>
              <w:rPr>
                <w:rFonts w:ascii="Courier New" w:cs="Courier New" w:eastAsia="Courier New" w:hAnsi="Courier New"/>
                <w:b w:val="false"/>
                <w:bCs w:val="false"/>
                <w:color w:val="7FDBFF"/>
                <w:sz w:val="17"/>
                <w:szCs w:val="17"/>
              </w:rPr>
              <w:t xml:space="preserve">                │  │      V2 — PRODUCT              │  │</w:t>
            </w:r>
          </w:p>
          <w:p>
            <w:pPr>
              <w:spacing w:before="14" w:after="14"/>
            </w:pPr>
            <w:r>
              <w:rPr>
                <w:rFonts w:ascii="Courier New" w:cs="Courier New" w:eastAsia="Courier New" w:hAnsi="Courier New"/>
                <w:b w:val="false"/>
                <w:bCs w:val="false"/>
                <w:color w:val="7FDBFF"/>
                <w:sz w:val="17"/>
                <w:szCs w:val="17"/>
              </w:rPr>
              <w:t xml:space="preserve">                │  │  SHAP, MLflow, real sensors,   │  │</w:t>
            </w:r>
          </w:p>
          <w:p>
            <w:pPr>
              <w:spacing w:before="14" w:after="14"/>
            </w:pPr>
            <w:r>
              <w:rPr>
                <w:rFonts w:ascii="Courier New" w:cs="Courier New" w:eastAsia="Courier New" w:hAnsi="Courier New"/>
                <w:b w:val="false"/>
                <w:bCs w:val="false"/>
                <w:color w:val="7FDBFF"/>
                <w:sz w:val="17"/>
                <w:szCs w:val="17"/>
              </w:rPr>
              <w:t xml:space="preserve">                │  │  Grafana, full alerting,       │  │</w:t>
            </w:r>
          </w:p>
          <w:p>
            <w:pPr>
              <w:spacing w:before="14" w:after="14"/>
            </w:pPr>
            <w:r>
              <w:rPr>
                <w:rFonts w:ascii="Courier New" w:cs="Courier New" w:eastAsia="Courier New" w:hAnsi="Courier New"/>
                <w:b w:val="false"/>
                <w:bCs w:val="false"/>
                <w:color w:val="7FDBFF"/>
                <w:sz w:val="17"/>
                <w:szCs w:val="17"/>
              </w:rPr>
              <w:t xml:space="preserve">                │  │  hardware-validated results    │  │</w:t>
            </w:r>
          </w:p>
          <w:p>
            <w:pPr>
              <w:spacing w:before="14" w:after="14"/>
            </w:pPr>
            <w:r>
              <w:rPr>
                <w:rFonts w:ascii="Courier New" w:cs="Courier New" w:eastAsia="Courier New" w:hAnsi="Courier New"/>
                <w:b w:val="false"/>
                <w:bCs w:val="false"/>
                <w:color w:val="7FDBFF"/>
                <w:sz w:val="17"/>
                <w:szCs w:val="17"/>
              </w:rPr>
              <w:t xml:space="preserve">                │  │  ┌──────────────────────────┐  │  │</w:t>
            </w:r>
          </w:p>
          <w:p>
            <w:pPr>
              <w:spacing w:before="14" w:after="14"/>
            </w:pPr>
            <w:r>
              <w:rPr>
                <w:rFonts w:ascii="Courier New" w:cs="Courier New" w:eastAsia="Courier New" w:hAnsi="Courier New"/>
                <w:b w:val="false"/>
                <w:bCs w:val="false"/>
                <w:color w:val="7FDBFF"/>
                <w:sz w:val="17"/>
                <w:szCs w:val="17"/>
              </w:rPr>
              <w:t xml:space="preserve">                │  │  │      V1 — THESIS MVP     │  │  │</w:t>
            </w:r>
          </w:p>
          <w:p>
            <w:pPr>
              <w:spacing w:before="14" w:after="14"/>
            </w:pPr>
            <w:r>
              <w:rPr>
                <w:rFonts w:ascii="Courier New" w:cs="Courier New" w:eastAsia="Courier New" w:hAnsi="Courier New"/>
                <w:b w:val="false"/>
                <w:bCs w:val="false"/>
                <w:color w:val="7FDBFF"/>
                <w:sz w:val="17"/>
                <w:szCs w:val="17"/>
              </w:rPr>
              <w:t xml:space="preserve">                │  │  │  Policy Executor proven, │  │  │</w:t>
            </w:r>
          </w:p>
          <w:p>
            <w:pPr>
              <w:spacing w:before="14" w:after="14"/>
            </w:pPr>
            <w:r>
              <w:rPr>
                <w:rFonts w:ascii="Courier New" w:cs="Courier New" w:eastAsia="Courier New" w:hAnsi="Courier New"/>
                <w:b w:val="false"/>
                <w:bCs w:val="false"/>
                <w:color w:val="7FDBFF"/>
                <w:sz w:val="17"/>
                <w:szCs w:val="17"/>
              </w:rPr>
              <w:t xml:space="preserve">                │  │  │  Kafka + Spark + Delta,  │  │  │</w:t>
            </w:r>
          </w:p>
          <w:p>
            <w:pPr>
              <w:spacing w:before="14" w:after="14"/>
            </w:pPr>
            <w:r>
              <w:rPr>
                <w:rFonts w:ascii="Courier New" w:cs="Courier New" w:eastAsia="Courier New" w:hAnsi="Courier New"/>
                <w:b w:val="false"/>
                <w:bCs w:val="false"/>
                <w:color w:val="7FDBFF"/>
                <w:sz w:val="17"/>
                <w:szCs w:val="17"/>
              </w:rPr>
              <w:t xml:space="preserve">                │  │  │  AWS integrated,         │  │  │</w:t>
            </w:r>
          </w:p>
          <w:p>
            <w:pPr>
              <w:spacing w:before="14" w:after="14"/>
            </w:pPr>
            <w:r>
              <w:rPr>
                <w:rFonts w:ascii="Courier New" w:cs="Courier New" w:eastAsia="Courier New" w:hAnsi="Courier New"/>
                <w:b w:val="false"/>
                <w:bCs w:val="false"/>
                <w:color w:val="7FDBFF"/>
                <w:sz w:val="17"/>
                <w:szCs w:val="17"/>
              </w:rPr>
              <w:t xml:space="preserve">                │  │  │  Thesis defended         │  │  │</w:t>
            </w:r>
          </w:p>
          <w:p>
            <w:pPr>
              <w:spacing w:before="14" w:after="14"/>
            </w:pPr>
            <w:r>
              <w:rPr>
                <w:rFonts w:ascii="Courier New" w:cs="Courier New" w:eastAsia="Courier New" w:hAnsi="Courier New"/>
                <w:b w:val="false"/>
                <w:bCs w:val="false"/>
                <w:color w:val="7FDBFF"/>
                <w:sz w:val="17"/>
                <w:szCs w:val="17"/>
              </w:rPr>
              <w:t xml:space="preserve">                │  │  └──────────────────────────┘  │  │</w:t>
            </w:r>
          </w:p>
          <w:p>
            <w:pPr>
              <w:spacing w:before="14" w:after="14"/>
            </w:pPr>
            <w:r>
              <w:rPr>
                <w:rFonts w:ascii="Courier New" w:cs="Courier New" w:eastAsia="Courier New" w:hAnsi="Courier New"/>
                <w:b w:val="false"/>
                <w:bCs w:val="false"/>
                <w:color w:val="7FDBFF"/>
                <w:sz w:val="17"/>
                <w:szCs w:val="17"/>
              </w:rPr>
              <w:t xml:space="preserve">                │  └────────────────────────────────┘  │</w:t>
            </w:r>
          </w:p>
          <w:p>
            <w:pPr>
              <w:spacing w:before="14" w:after="14"/>
            </w:pPr>
            <w:r>
              <w:rPr>
                <w:rFonts w:ascii="Courier New" w:cs="Courier New" w:eastAsia="Courier New" w:hAnsi="Courier New"/>
                <w:b w:val="false"/>
                <w:bCs w:val="false"/>
                <w:color w:val="7FDBFF"/>
                <w:sz w:val="17"/>
                <w:szCs w:val="17"/>
              </w:rPr>
              <w:t xml:space="preserve">                └──────────────────────────────────────┘</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0"/>
              <w:left w:val="single" w:color="1B4F8A" w:sz="6"/>
              <w:bottom w:val="single" w:color="1B4F8A" w:sz="6"/>
              <w:right w:val="single" w:color="1B4F8A" w:sz="6"/>
            </w:tcBorders>
            <w:shd w:fill="EBF5FB" w:val="clear"/>
            <w:tcMar>
              <w:top w:type="dxa" w:w="200"/>
              <w:left w:type="dxa" w:w="280"/>
              <w:bottom w:type="dxa" w:w="200"/>
              <w:right w:type="dxa" w:w="280"/>
            </w:tcMar>
          </w:tcPr>
          <w:p>
            <w:pPr>
              <w:spacing w:before="0" w:after="40"/>
              <w:jc w:val="center"/>
            </w:pPr>
            <w:r>
              <w:rPr>
                <w:rFonts w:ascii="Arial" w:cs="Arial" w:eastAsia="Arial" w:hAnsi="Arial"/>
                <w:b/>
                <w:bCs/>
                <w:i/>
                <w:iCs/>
                <w:color w:val="1B4F8A"/>
                <w:sz w:val="20"/>
                <w:szCs w:val="20"/>
              </w:rPr>
              <w:t xml:space="preserve">PHASE 1</w:t>
            </w:r>
          </w:p>
          <w:p>
            <w:pPr>
              <w:spacing w:before="0" w:after="40"/>
              <w:jc w:val="center"/>
            </w:pPr>
            <w:r>
              <w:rPr>
                <w:rFonts w:ascii="Arial" w:cs="Arial" w:eastAsia="Arial" w:hAnsi="Arial"/>
                <w:b/>
                <w:bCs/>
                <w:i w:val="false"/>
                <w:iCs w:val="false"/>
                <w:color w:val="1B4F8A"/>
                <w:sz w:val="34"/>
                <w:szCs w:val="34"/>
              </w:rPr>
              <w:t xml:space="preserve">V1 — THESIS MVP</w:t>
            </w:r>
          </w:p>
          <w:p>
            <w:pPr>
              <w:spacing w:before="0" w:after="40"/>
              <w:jc w:val="center"/>
            </w:pPr>
            <w:r>
              <w:rPr>
                <w:rFonts w:ascii="Arial" w:cs="Arial" w:eastAsia="Arial" w:hAnsi="Arial"/>
                <w:b/>
                <w:bCs/>
                <w:i w:val="false"/>
                <w:iCs w:val="false"/>
                <w:color w:val="566573"/>
                <w:sz w:val="21"/>
                <w:szCs w:val="21"/>
              </w:rPr>
              <w:t xml:space="preserve">Months 1–2  |  Weeks 1–8</w:t>
            </w:r>
          </w:p>
          <w:p>
            <w:pPr>
              <w:spacing w:before="0" w:after="0"/>
              <w:jc w:val="center"/>
            </w:pPr>
            <w:r>
              <w:rPr>
                <w:rFonts w:ascii="Arial" w:cs="Arial" w:eastAsia="Arial" w:hAnsi="Arial"/>
                <w:b w:val="false"/>
                <w:bCs w:val="false"/>
                <w:i/>
                <w:iCs/>
                <w:color w:val="1C2833"/>
                <w:sz w:val="21"/>
                <w:szCs w:val="21"/>
              </w:rPr>
              <w:t xml:space="preserve">Prove the concept. Defend the thesis. Lay the startup foundation.</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2.1  V1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8A" w:sz="18"/>
              <w:bottom w:val="none" w:color="FFFFFF" w:sz="0"/>
              <w:right w:val="none" w:color="FFFFFF" w:sz="0"/>
            </w:tcBorders>
            <w:shd w:fill="EBF5FB"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V1 has one job: prove that runtime-adaptive orchestration works, is measurable, and outperforms static approaches. The thesis examiner must be convinced. The codebase must be clean enough to build V2 directly on top of. Every line of V1 code is permanent startup code — not a throwaway prototype.</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2.2  V1 Research Claim</w:t>
      </w:r>
    </w:p>
    <w:p>
      <w:pPr>
        <w:spacing w:before="60" w:after="100" w:line="320"/>
        <w:jc w:val="both"/>
      </w:pPr>
      <w:r>
        <w:rPr>
          <w:rFonts w:ascii="Arial" w:cs="Arial" w:eastAsia="Arial" w:hAnsi="Arial"/>
          <w:b w:val="false"/>
          <w:bCs w:val="false"/>
          <w:i w:val="false"/>
          <w:iCs w:val="false"/>
          <w:color w:val="0D0D0D"/>
          <w:sz w:val="22"/>
          <w:szCs w:val="22"/>
        </w:rPr>
        <w:t xml:space="preserve">The thesis contribution is precisely scoped to the Policy Executor and its context-aware decision engine. Everything else in V1 is infrastructure to demonstrate and measure that contribution.</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Claim</w:t>
            </w:r>
          </w:p>
        </w:tc>
        <w:tc>
          <w:tcPr>
            <w:tcW w:type="dxa" w:w="240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Target Metric</w:t>
            </w:r>
          </w:p>
        </w:tc>
        <w:tc>
          <w:tcPr>
            <w:tcW w:type="dxa" w:w="416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Evidence Artefact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detection continues during WAN outage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autonomy &gt; 99% for outages up to 60 minutes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S2 (Blackout) scenario logs — inference count during outage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System adapts to network degradation without human intervention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Mode switch latency &lt; 5 seconds after threshold breach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S3 (Satellite) scenario logs — transition timestamp delta</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Local inference quality meets industrial standards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F1 score &gt; 0.90 under normal conditions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S1 (Baseline) scenario — model evaluation against CWRU labels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Adaptive routing reduces unnecessary cloud processing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Cloud egress events reduced &gt; 40% vs static baseline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S5 (Cost Audit) scenario — event count comparison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operates correctly under resource pressure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Load-shed triggers at 80% CPU with &lt; 100ms added latency</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S4 (CPU Storm) scenario logs — threshold trigger timing</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2.3  V1 Technology Stack</w:t>
      </w:r>
    </w:p>
    <w:p>
      <w:pPr>
        <w:spacing w:before="60" w:after="100" w:line="320"/>
        <w:jc w:val="both"/>
      </w:pPr>
      <w:r>
        <w:rPr>
          <w:rFonts w:ascii="Arial" w:cs="Arial" w:eastAsia="Arial" w:hAnsi="Arial"/>
          <w:b w:val="false"/>
          <w:bCs w:val="false"/>
          <w:i w:val="false"/>
          <w:iCs w:val="false"/>
          <w:color w:val="0D0D0D"/>
          <w:sz w:val="22"/>
          <w:szCs w:val="22"/>
        </w:rPr>
        <w:t xml:space="preserve">V1 uses 13 components. SHAP, MLflow, Prometheus, Grafana, and MQTT are intentionally excluded — they add debugging surface without strengthening the thesis claim. Spark and Delta Lake are included because hands-on experience with both is essential for V2 and the startup.</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0"/>
              <w:left w:val="single" w:color="1B4F8A" w:sz="6"/>
              <w:bottom w:val="single" w:color="1B4F8A" w:sz="6"/>
              <w:right w:val="single" w:color="1B4F8A" w:sz="6"/>
            </w:tcBorders>
            <w:shd w:fill="EBF5FB" w:val="clear"/>
            <w:tcMar>
              <w:top w:type="dxa" w:w="160"/>
              <w:left w:type="dxa" w:w="240"/>
              <w:bottom w:type="dxa" w:w="160"/>
              <w:right w:type="dxa" w:w="240"/>
            </w:tcMar>
          </w:tcPr>
          <w:p>
            <w:pPr>
              <w:spacing w:before="0" w:after="100"/>
            </w:pPr>
            <w:r>
              <w:rPr>
                <w:rFonts w:ascii="Arial" w:cs="Arial" w:eastAsia="Arial" w:hAnsi="Arial"/>
                <w:b/>
                <w:bCs/>
                <w:i w:val="false"/>
                <w:iCs w:val="false"/>
                <w:color w:val="1B4F8A"/>
                <w:sz w:val="22"/>
                <w:szCs w:val="22"/>
              </w:rPr>
              <w:t xml:space="preserve">Edge Layer — Runs in Docker container (1 vCPU / 4GB limit)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Sensor Simulator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Python 3.10 — replays CWRU Bearing + SKAB datasets via NATS at configurable Hz. Synthetic data generator for development. Real sensor SDK integration deferred to V2.</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Inference Engine</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scikit-learn IsolationForest — unsupervised, trained on normal data only. P99 inference latency target &lt; 50ms in constrained container.</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Context Monitor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psutil + subprocess ping — measures network latency, CPU, and RAM every 1 second. Publishes context snapshot to NATS.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Policy Executor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Python asyncio — THE research contribution. Evaluates context signals and routes inference results to buffer, Kafka, or alert in &lt; 10ms. Mode history logged to structured JSON.</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NATS Buffer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NATS JetStream persistent stream — 5,000 event capacity. Drop-NORMAL overflow policy. Auto-flush on network recovery. Zero critical event loss guaranteed.</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Alert Router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FastAPI + Lambda boto3 invoke — local HTTP dashboard on LAN + AWS SES email for critical anomalies during EDGE_ONLY mode.</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0"/>
              <w:left w:val="single" w:color="1B4F8A" w:sz="6"/>
              <w:bottom w:val="single" w:color="1B4F8A" w:sz="6"/>
              <w:right w:val="single" w:color="1B4F8A" w:sz="6"/>
            </w:tcBorders>
            <w:shd w:fill="EBF5FB" w:val="clear"/>
            <w:tcMar>
              <w:top w:type="dxa" w:w="160"/>
              <w:left w:type="dxa" w:w="240"/>
              <w:bottom w:type="dxa" w:w="160"/>
              <w:right w:type="dxa" w:w="240"/>
            </w:tcMar>
          </w:tcPr>
          <w:p>
            <w:pPr>
              <w:spacing w:before="0" w:after="100"/>
            </w:pPr>
            <w:r>
              <w:rPr>
                <w:rFonts w:ascii="Arial" w:cs="Arial" w:eastAsia="Arial" w:hAnsi="Arial"/>
                <w:b/>
                <w:bCs/>
                <w:i w:val="false"/>
                <w:iCs w:val="false"/>
                <w:color w:val="1B4F8A"/>
                <w:sz w:val="22"/>
                <w:szCs w:val="22"/>
              </w:rPr>
              <w:t xml:space="preserve">Cloud Pipeline Layer — Runs in Docker (local)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NATS Broker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nats:latest with JetStream — internal message bus for all edge components.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Kafka Broker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confluentinc/cp-kafka:7.5 in KRaft mode — no Zookeeper dependency. Single broker for local evaluation. Topics: sensors.events, sensors.anomalies.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Kafka Producer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confluent-kafka-python — bridges NATS cloud.ingest to Kafka. Synchronous with retry.</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Spark Streaming</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Apache Spark 3.5 bitnami/spark:3.5 — Structured Streaming readStream from Kafka. processingTime trigger 5 minutes to control S3 PUT count.</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Delta Lake</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delta-spark 3.x — ACID lakehouse writes to S3. Partitioned by date and operational mode. Full schema with 15 columns including anomaly_score, mode, cloud_reachable.</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0"/>
              <w:left w:val="single" w:color="1B4F8A" w:sz="6"/>
              <w:bottom w:val="single" w:color="1B4F8A" w:sz="6"/>
              <w:right w:val="single" w:color="1B4F8A" w:sz="6"/>
            </w:tcBorders>
            <w:shd w:fill="EBF5FB" w:val="clear"/>
            <w:tcMar>
              <w:top w:type="dxa" w:w="160"/>
              <w:left w:type="dxa" w:w="240"/>
              <w:bottom w:type="dxa" w:w="160"/>
              <w:right w:type="dxa" w:w="240"/>
            </w:tcMar>
          </w:tcPr>
          <w:p>
            <w:pPr>
              <w:spacing w:before="0" w:after="100"/>
            </w:pPr>
            <w:r>
              <w:rPr>
                <w:rFonts w:ascii="Arial" w:cs="Arial" w:eastAsia="Arial" w:hAnsi="Arial"/>
                <w:b/>
                <w:bCs/>
                <w:i w:val="false"/>
                <w:iCs w:val="false"/>
                <w:color w:val="1B4F8A"/>
                <w:sz w:val="22"/>
                <w:szCs w:val="22"/>
              </w:rPr>
              <w:t xml:space="preserve">AWS Layer — Free Tier (ap-south-1 / Mumbai)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S3</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Delta Lake storage, evaluation logs, model binary. Total usage &lt; 2GB. Cost &lt; £2/month.</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CloudWatch</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5 custom metrics published every 60s: OperationalMode, NetworkLatencyMs, EdgeCPUPercent, AnomalyRate, BufferSize. Free tier: 10 metrics, 1M API calls/month.</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B4F8A"/>
                      <w:sz w:val="19"/>
                      <w:szCs w:val="19"/>
                    </w:rPr>
                    <w:t xml:space="preserve">Lambda: anomaly_alert</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Invoked by Policy Executor during EDGE_ONLY + ANOMALY. Sends SES email to operator. Python 3.11, 128MB, 30s timeout.</w:t>
                  </w:r>
                </w:p>
              </w:tc>
            </w:tr>
          </w:tbl>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2.4  V1 Eight-Week Delivery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1</w:t>
            </w:r>
          </w:p>
          <w:p>
            <w:pPr>
              <w:spacing w:before="0" w:after="0"/>
              <w:jc w:val="center"/>
            </w:pPr>
            <w:r>
              <w:rPr>
                <w:rFonts w:ascii="Arial" w:cs="Arial" w:eastAsia="Arial" w:hAnsi="Arial"/>
                <w:b w:val="false"/>
                <w:bCs w:val="false"/>
                <w:i w:val="false"/>
                <w:iCs w:val="false"/>
                <w:color w:val="1C2833"/>
                <w:sz w:val="17"/>
                <w:szCs w:val="17"/>
              </w:rPr>
              <w:t xml:space="preserve">Sensor Sim
+ Inference
Engine</w:t>
            </w:r>
          </w:p>
        </w:tc>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2</w:t>
            </w:r>
          </w:p>
          <w:p>
            <w:pPr>
              <w:spacing w:before="0" w:after="0"/>
              <w:jc w:val="center"/>
            </w:pPr>
            <w:r>
              <w:rPr>
                <w:rFonts w:ascii="Arial" w:cs="Arial" w:eastAsia="Arial" w:hAnsi="Arial"/>
                <w:b w:val="false"/>
                <w:bCs w:val="false"/>
                <w:i w:val="false"/>
                <w:iCs w:val="false"/>
                <w:color w:val="1C2833"/>
                <w:sz w:val="17"/>
                <w:szCs w:val="17"/>
              </w:rPr>
              <w:t xml:space="preserve">Context Monitor
+ Threshold
Sweep</w:t>
            </w:r>
          </w:p>
        </w:tc>
        <w:tc>
          <w:tcPr>
            <w:tcW w:type="dxa" w:w="1170"/>
            <w:tcBorders>
              <w:top w:val="single" w:color="1B4F8A" w:sz="6"/>
              <w:left w:val="single" w:color="1B4F8A" w:sz="2"/>
              <w:bottom w:val="single" w:color="1B4F8A" w:sz="2"/>
              <w:right w:val="single" w:color="1B4F8A" w:sz="2"/>
            </w:tcBorders>
            <w:shd w:fill="E8F0FD"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3</w:t>
            </w:r>
          </w:p>
          <w:p>
            <w:pPr>
              <w:spacing w:before="0" w:after="0"/>
              <w:jc w:val="center"/>
            </w:pPr>
            <w:r>
              <w:rPr>
                <w:rFonts w:ascii="Arial" w:cs="Arial" w:eastAsia="Arial" w:hAnsi="Arial"/>
                <w:b w:val="false"/>
                <w:bCs w:val="false"/>
                <w:i w:val="false"/>
                <w:iCs w:val="false"/>
                <w:color w:val="1C2833"/>
                <w:sz w:val="17"/>
                <w:szCs w:val="17"/>
              </w:rPr>
              <w:t xml:space="preserve">Policy Executor
Core
Contribution</w:t>
            </w:r>
          </w:p>
        </w:tc>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4</w:t>
            </w:r>
          </w:p>
          <w:p>
            <w:pPr>
              <w:spacing w:before="0" w:after="0"/>
              <w:jc w:val="center"/>
            </w:pPr>
            <w:r>
              <w:rPr>
                <w:rFonts w:ascii="Arial" w:cs="Arial" w:eastAsia="Arial" w:hAnsi="Arial"/>
                <w:b w:val="false"/>
                <w:bCs w:val="false"/>
                <w:i w:val="false"/>
                <w:iCs w:val="false"/>
                <w:color w:val="1C2833"/>
                <w:sz w:val="17"/>
                <w:szCs w:val="17"/>
              </w:rPr>
              <w:t xml:space="preserve">NATS Buffer
+ Alert
Router</w:t>
            </w:r>
          </w:p>
        </w:tc>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5</w:t>
            </w:r>
          </w:p>
          <w:p>
            <w:pPr>
              <w:spacing w:before="0" w:after="0"/>
              <w:jc w:val="center"/>
            </w:pPr>
            <w:r>
              <w:rPr>
                <w:rFonts w:ascii="Arial" w:cs="Arial" w:eastAsia="Arial" w:hAnsi="Arial"/>
                <w:b w:val="false"/>
                <w:bCs w:val="false"/>
                <w:i w:val="false"/>
                <w:iCs w:val="false"/>
                <w:color w:val="1C2833"/>
                <w:sz w:val="17"/>
                <w:szCs w:val="17"/>
              </w:rPr>
              <w:t xml:space="preserve">Kafka + Spark
+ Delta Lake
Hands-on</w:t>
            </w:r>
          </w:p>
        </w:tc>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6</w:t>
            </w:r>
          </w:p>
          <w:p>
            <w:pPr>
              <w:spacing w:before="0" w:after="0"/>
              <w:jc w:val="center"/>
            </w:pPr>
            <w:r>
              <w:rPr>
                <w:rFonts w:ascii="Arial" w:cs="Arial" w:eastAsia="Arial" w:hAnsi="Arial"/>
                <w:b w:val="false"/>
                <w:bCs w:val="false"/>
                <w:i w:val="false"/>
                <w:iCs w:val="false"/>
                <w:color w:val="1C2833"/>
                <w:sz w:val="17"/>
                <w:szCs w:val="17"/>
              </w:rPr>
              <w:t xml:space="preserve">AWS Integration
+ 30min
Soak Test</w:t>
            </w:r>
          </w:p>
        </w:tc>
        <w:tc>
          <w:tcPr>
            <w:tcW w:type="dxa" w:w="1170"/>
            <w:tcBorders>
              <w:top w:val="single" w:color="1B4F8A" w:sz="6"/>
              <w:left w:val="single" w:color="1B4F8A" w:sz="2"/>
              <w:bottom w:val="single" w:color="1B4F8A" w:sz="2"/>
              <w:right w:val="single" w:color="1B4F8A" w:sz="2"/>
            </w:tcBorders>
            <w:shd w:fill="E8F0FD"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7</w:t>
            </w:r>
          </w:p>
          <w:p>
            <w:pPr>
              <w:spacing w:before="0" w:after="0"/>
              <w:jc w:val="center"/>
            </w:pPr>
            <w:r>
              <w:rPr>
                <w:rFonts w:ascii="Arial" w:cs="Arial" w:eastAsia="Arial" w:hAnsi="Arial"/>
                <w:b w:val="false"/>
                <w:bCs w:val="false"/>
                <w:i w:val="false"/>
                <w:iCs w:val="false"/>
                <w:color w:val="1C2833"/>
                <w:sz w:val="17"/>
                <w:szCs w:val="17"/>
              </w:rPr>
              <w:t xml:space="preserve">Formal
Evaluation
5 Scenarios</w:t>
            </w:r>
          </w:p>
        </w:tc>
        <w:tc>
          <w:tcPr>
            <w:tcW w:type="dxa" w:w="1170"/>
            <w:tcBorders>
              <w:top w:val="single" w:color="1B4F8A" w:sz="6"/>
              <w:left w:val="single" w:color="1B4F8A" w:sz="2"/>
              <w:bottom w:val="single" w:color="1B4F8A" w:sz="2"/>
              <w:right w:val="single" w:color="1B4F8A" w:sz="2"/>
            </w:tcBorders>
            <w:shd w:fill="EBF5FB"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B4F8A"/>
                <w:sz w:val="17"/>
                <w:szCs w:val="17"/>
              </w:rPr>
              <w:t xml:space="preserve">Wk 8</w:t>
            </w:r>
          </w:p>
          <w:p>
            <w:pPr>
              <w:spacing w:before="0" w:after="0"/>
              <w:jc w:val="center"/>
            </w:pPr>
            <w:r>
              <w:rPr>
                <w:rFonts w:ascii="Arial" w:cs="Arial" w:eastAsia="Arial" w:hAnsi="Arial"/>
                <w:b w:val="false"/>
                <w:bCs w:val="false"/>
                <w:i w:val="false"/>
                <w:iCs w:val="false"/>
                <w:color w:val="1C2833"/>
                <w:sz w:val="17"/>
                <w:szCs w:val="17"/>
              </w:rPr>
              <w:t xml:space="preserve">Docs +
Streamlit +
Thesis Prep</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2.5  V1 Definition of Done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160"/>
      </w:tblGrid>
      <w:tr>
        <w:tc>
          <w:tcPr>
            <w:tcW w:type="dxa" w:w="36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420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Criterion</w:t>
            </w:r>
          </w:p>
        </w:tc>
        <w:tc>
          <w:tcPr>
            <w:tcW w:type="dxa" w:w="5160"/>
            <w:tcBorders>
              <w:top w:val="single" w:color="CCCCCC" w:sz="4"/>
              <w:left w:val="single" w:color="CCCCCC" w:sz="4"/>
              <w:bottom w:val="single" w:color="CCCCCC" w:sz="4"/>
              <w:right w:val="single" w:color="CCCCCC" w:sz="4"/>
            </w:tcBorders>
            <w:shd w:fill="1B4F8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Verification Method</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All 5 evaluation scenarios produce recorded results</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logs/s1–s5_results.json exist and parse correctly</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F1 score &gt; 0.90 under normal conditions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S1 baseline results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autonomy &gt; 99% during 30-minute WAN outage</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S2 blackout results — inference count during outage window</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Mode switch latency &lt; 5 seconds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S3 satellite results — transition timestamp delta</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Zero data loss across all scenarios</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Buffer flush integrity = 100% verified</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CloudWatch dashboard shows live metrics during evaluation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Screenshot taken and saved to docs/figures/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7</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on S3 queryable after evaluation</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spark.read.format('delta').load('s3a://...') returns correct row count</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30-minute soak test passes zero crashes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soak_test.sh completes with all pass criteria met</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9</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All component unit tests pass</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pytest tests/unit/ — zero failures</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Fresh clone + README produces working system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Verification from /tmp clean clone on Day 5 Week 8</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2.6  V1 Thesis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8A" w:sz="18"/>
              <w:bottom w:val="none" w:color="FFFFFF" w:sz="0"/>
              <w:right w:val="none" w:color="FFFFFF" w:sz="0"/>
            </w:tcBorders>
            <w:shd w:fill="EBF5FB" w:val="clear"/>
            <w:tcMar>
              <w:top w:type="dxa" w:w="140"/>
              <w:left w:type="dxa" w:w="220"/>
              <w:bottom w:type="dxa" w:w="140"/>
              <w:right w:type="dxa" w:w="180"/>
            </w:tcMar>
          </w:tcPr>
          <w:p>
            <w:pPr>
              <w:spacing w:before="0" w:after="80"/>
            </w:pPr>
            <w:r>
              <w:rPr>
                <w:rFonts w:ascii="Arial" w:cs="Arial" w:eastAsia="Arial" w:hAnsi="Arial"/>
                <w:b/>
                <w:bCs/>
                <w:i w:val="false"/>
                <w:iCs w:val="false"/>
                <w:color w:val="1B4F8A"/>
                <w:sz w:val="21"/>
                <w:szCs w:val="21"/>
              </w:rPr>
              <w:t xml:space="preserve">What the thesis examiner will see</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Policy Executor code — clean, documented, testable — proving the core contribution exists as working software.</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Five evaluation scenario results tables — quantitative evidence against all five thesis claims.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CloudWatch dashboard screenshot — proves real AWS integration, not just local simulation.</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Delta Lake on S3 — proves production-grade storage pipeline, not just CSV files.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Threshold sweep figures — proves evidence-based engineering decisions, not arbitrary values.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30-minute soak test log — proves the system is stable under sustained load, not just a demo.</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tc netem scenario scripts — proves evaluation is reproducible, not just a one-time run.</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0"/>
              <w:left w:val="single" w:color="117A65" w:sz="6"/>
              <w:bottom w:val="single" w:color="117A65" w:sz="6"/>
              <w:right w:val="single" w:color="117A65" w:sz="6"/>
            </w:tcBorders>
            <w:shd w:fill="E8F8F5" w:val="clear"/>
            <w:tcMar>
              <w:top w:type="dxa" w:w="200"/>
              <w:left w:type="dxa" w:w="280"/>
              <w:bottom w:type="dxa" w:w="200"/>
              <w:right w:type="dxa" w:w="280"/>
            </w:tcMar>
          </w:tcPr>
          <w:p>
            <w:pPr>
              <w:spacing w:before="0" w:after="40"/>
              <w:jc w:val="center"/>
            </w:pPr>
            <w:r>
              <w:rPr>
                <w:rFonts w:ascii="Arial" w:cs="Arial" w:eastAsia="Arial" w:hAnsi="Arial"/>
                <w:b/>
                <w:bCs/>
                <w:i/>
                <w:iCs/>
                <w:color w:val="117A65"/>
                <w:sz w:val="20"/>
                <w:szCs w:val="20"/>
              </w:rPr>
              <w:t xml:space="preserve">PHASE 2</w:t>
            </w:r>
          </w:p>
          <w:p>
            <w:pPr>
              <w:spacing w:before="0" w:after="40"/>
              <w:jc w:val="center"/>
            </w:pPr>
            <w:r>
              <w:rPr>
                <w:rFonts w:ascii="Arial" w:cs="Arial" w:eastAsia="Arial" w:hAnsi="Arial"/>
                <w:b/>
                <w:bCs/>
                <w:i w:val="false"/>
                <w:iCs w:val="false"/>
                <w:color w:val="117A65"/>
                <w:sz w:val="34"/>
                <w:szCs w:val="34"/>
              </w:rPr>
              <w:t xml:space="preserve">V2 — PRODUCT HARDENING</w:t>
            </w:r>
          </w:p>
          <w:p>
            <w:pPr>
              <w:spacing w:before="0" w:after="40"/>
              <w:jc w:val="center"/>
            </w:pPr>
            <w:r>
              <w:rPr>
                <w:rFonts w:ascii="Arial" w:cs="Arial" w:eastAsia="Arial" w:hAnsi="Arial"/>
                <w:b/>
                <w:bCs/>
                <w:i w:val="false"/>
                <w:iCs w:val="false"/>
                <w:color w:val="566573"/>
                <w:sz w:val="21"/>
                <w:szCs w:val="21"/>
              </w:rPr>
              <w:t xml:space="preserve">Months 3–8  |  24 Weeks Post-Thesis</w:t>
            </w:r>
          </w:p>
          <w:p>
            <w:pPr>
              <w:spacing w:before="0" w:after="0"/>
              <w:jc w:val="center"/>
            </w:pPr>
            <w:r>
              <w:rPr>
                <w:rFonts w:ascii="Arial" w:cs="Arial" w:eastAsia="Arial" w:hAnsi="Arial"/>
                <w:b w:val="false"/>
                <w:bCs w:val="false"/>
                <w:i/>
                <w:iCs/>
                <w:color w:val="1C2833"/>
                <w:sz w:val="21"/>
                <w:szCs w:val="21"/>
              </w:rPr>
              <w:t xml:space="preserve">Transform the proven thesis into a deployable industrial product.</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3.1  V2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17A65" w:sz="18"/>
              <w:bottom w:val="none" w:color="FFFFFF" w:sz="0"/>
              <w:right w:val="none" w:color="FFFFFF" w:sz="0"/>
            </w:tcBorders>
            <w:shd w:fill="E8F8F5"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V2 has three jobs: add the components deliberately excluded from V1, validate the system on real hardware against real sensor data, and acquire the first pilot customer — even if they pay nothing. A real customer using real hardware is worth more than any benchmark paper.</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3.2  What V2 Adds to V1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4160"/>
      </w:tblGrid>
      <w:tr>
        <w:tc>
          <w:tcPr>
            <w:tcW w:type="dxa" w:w="16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Component</w:t>
            </w:r>
          </w:p>
        </w:tc>
        <w:tc>
          <w:tcPr>
            <w:tcW w:type="dxa" w:w="14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V1 Status</w:t>
            </w:r>
          </w:p>
        </w:tc>
        <w:tc>
          <w:tcPr>
            <w:tcW w:type="dxa" w:w="24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 Addition</w:t>
            </w:r>
          </w:p>
        </w:tc>
        <w:tc>
          <w:tcPr>
            <w:tcW w:type="dxa" w:w="416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Business Reason</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Explainer</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Excluded from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FastAPI + TreeExplainer on Spark anomalies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 needs to know WHY an anomaly was flagged, not just THAT it was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MLflow Model Registry</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Excluded from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Full experiment tracking + model versioning on S3</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Multiple customers need different model versions — unmanageable without registry</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 Prometheus</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Excluded from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Customer-facing monitoring dashboard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Customers need visibility into their system health — CloudWatch alone is insufficient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MQTT / Mosquitto</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Excluded from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Full LAN alert hierarchy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factory deployments require local alerting that works completely offline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Sensor SDK</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Synthetic only in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OPC-UA + Modbus SDK integration</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Customers have real sensors — synthetic data is not a deliverable product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NVIDIA Jetson Nano</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Docker simulation in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Real edge hardware deployment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Thesis claim validated in simulation. V2 validates on real constrained hardware.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Lambda drift detection</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Excluded from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CloudWatch EventBridge + daily drift report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Model accuracy degrades over time — customers need automatic alerting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Multi-sensor support</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Single sensor stream in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Up to 20 concurrent sensor streams per site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factories have dozens of sensors — single-sensor is not a product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REST API</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No external API in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Authenticated REST API for configuration</w:t>
            </w:r>
          </w:p>
        </w:tc>
        <w:tc>
          <w:tcPr>
            <w:tcW w:type="dxa" w:w="4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Customers need to configure thresholds, alerts, and modes without code changes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Docker Hub distribution</w:t>
            </w:r>
          </w:p>
        </w:tc>
        <w:tc>
          <w:tcPr>
            <w:tcW w:type="dxa" w:w="14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Local only in V1</w:t>
            </w:r>
          </w:p>
        </w:tc>
        <w:tc>
          <w:tcPr>
            <w:tcW w:type="dxa" w:w="24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Published Docker images with version tags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agent must be installable by a non-developer in under 30 minutes</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3.3  V2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0"/>
              <w:left w:val="single" w:color="117A65" w:sz="6"/>
              <w:bottom w:val="single" w:color="117A65" w:sz="6"/>
              <w:right w:val="single" w:color="117A65" w:sz="6"/>
            </w:tcBorders>
            <w:shd w:fill="E8F8F5" w:val="clear"/>
            <w:tcMar>
              <w:top w:type="dxa" w:w="160"/>
              <w:left w:type="dxa" w:w="240"/>
              <w:bottom w:type="dxa" w:w="160"/>
              <w:right w:type="dxa" w:w="240"/>
            </w:tcMar>
          </w:tcPr>
          <w:p>
            <w:pPr>
              <w:spacing w:before="0" w:after="100"/>
            </w:pPr>
            <w:r>
              <w:rPr>
                <w:rFonts w:ascii="Arial" w:cs="Arial" w:eastAsia="Arial" w:hAnsi="Arial"/>
                <w:b/>
                <w:bCs/>
                <w:i w:val="false"/>
                <w:iCs w:val="false"/>
                <w:color w:val="117A65"/>
                <w:sz w:val="22"/>
                <w:szCs w:val="22"/>
              </w:rPr>
              <w:t xml:space="preserve">New Edge Components (added in V2)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Real Sensor SDK</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OPC-UA (opcua-asyncio) + Modbus TCP (pymodbus) — replaces Sensor Simulator for real deployments. Simulator retained for development and testing.</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MQTT Broker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Eclipse Mosquitto in Docker — full LAN alert distribution. Operators on same network receive alerts on any subscribed device including mobile phones.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Multi-stream Manager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New component — manages up to 20 concurrent sensor streams. Routes each stream through its own Inference Engine instance. Aggregates results to shared Policy Executor.</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Edge REST API</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FastAPI — authenticated endpoints for threshold configuration, mode override, alert subscription, and health check. JWT authentication.</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SHAP Edge Cache</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Pre-computed SHAP background samples stored locally — enables offline SHAP explanation for critical anomalies even during WAN outage.</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0"/>
              <w:left w:val="single" w:color="117A65" w:sz="6"/>
              <w:bottom w:val="single" w:color="117A65" w:sz="6"/>
              <w:right w:val="single" w:color="117A65" w:sz="6"/>
            </w:tcBorders>
            <w:shd w:fill="E8F8F5" w:val="clear"/>
            <w:tcMar>
              <w:top w:type="dxa" w:w="160"/>
              <w:left w:type="dxa" w:w="240"/>
              <w:bottom w:type="dxa" w:w="160"/>
              <w:right w:type="dxa" w:w="240"/>
            </w:tcMar>
          </w:tcPr>
          <w:p>
            <w:pPr>
              <w:spacing w:before="0" w:after="100"/>
            </w:pPr>
            <w:r>
              <w:rPr>
                <w:rFonts w:ascii="Arial" w:cs="Arial" w:eastAsia="Arial" w:hAnsi="Arial"/>
                <w:b/>
                <w:bCs/>
                <w:i w:val="false"/>
                <w:iCs w:val="false"/>
                <w:color w:val="117A65"/>
                <w:sz w:val="22"/>
                <w:szCs w:val="22"/>
              </w:rPr>
              <w:t xml:space="preserve">New Cloud Components (added in V2)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MLflow</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Full experiment tracking server on S3. Model registry with staging/production/archived lifecycle. Automatic model promotion based on F1 threshold.</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Grafana + Prometheus</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Customer-facing monitoring dashboard. Prometheus scrapes all edge and cloud components. Grafana dashboards: site health, anomaly timeline, mode history, cost tracking.</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SHAP Explainer Service</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Dedicated FastAPI microservice — TreeExplainer for Isolation Forest. Invoked by Spark Streaming for all ANOMALY events. Results stored in Delta Lake shap_results table.</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Drift Detector Lambda</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Daily CloudWatch EventBridge trigger. Reads 7-day anomaly rate from CloudWatch. Compares against per-model baseline. Emails ops team if drift threshold exceeded.</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Site Management API</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New backend service — manages multiple customer sites, per-site configuration, per-site model versions, per-site alert routing.</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0"/>
              <w:left w:val="single" w:color="117A65" w:sz="6"/>
              <w:bottom w:val="single" w:color="117A65" w:sz="6"/>
              <w:right w:val="single" w:color="117A65" w:sz="6"/>
            </w:tcBorders>
            <w:shd w:fill="E8F8F5" w:val="clear"/>
            <w:tcMar>
              <w:top w:type="dxa" w:w="160"/>
              <w:left w:type="dxa" w:w="240"/>
              <w:bottom w:type="dxa" w:w="160"/>
              <w:right w:type="dxa" w:w="240"/>
            </w:tcMar>
          </w:tcPr>
          <w:p>
            <w:pPr>
              <w:spacing w:before="0" w:after="100"/>
            </w:pPr>
            <w:r>
              <w:rPr>
                <w:rFonts w:ascii="Arial" w:cs="Arial" w:eastAsia="Arial" w:hAnsi="Arial"/>
                <w:b/>
                <w:bCs/>
                <w:i w:val="false"/>
                <w:iCs w:val="false"/>
                <w:color w:val="117A65"/>
                <w:sz w:val="22"/>
                <w:szCs w:val="22"/>
              </w:rPr>
              <w:t xml:space="preserve">V2 Hardware (Real Edge Device)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NVIDIA Jetson Nano</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4-core ARM Cortex-A57, 4GB RAM, 128-core Maxwell GPU — £150–200. Target deployment hardware for pilot customers. V1 Docker simulation validated on this profile.</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Industrial sensors</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OPC-UA capable PLCs and Modbus TCP sensor gateways — customer-provided. V2 validates against at least two real sensor types.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117A65"/>
                      <w:sz w:val="19"/>
                      <w:szCs w:val="19"/>
                    </w:rPr>
                    <w:t xml:space="preserve">Edge enclosure</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Ruggedised IP54 enclosure for Jetson Nano — suitable for factory floor deployment. Standard DIN rail mount.</w:t>
                  </w:r>
                </w:p>
              </w:tc>
            </w:tr>
          </w:tbl>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3.4  V2 Delivery Schedule —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M3</w:t>
            </w:r>
          </w:p>
          <w:p>
            <w:pPr>
              <w:spacing w:before="0" w:after="0"/>
              <w:jc w:val="center"/>
            </w:pPr>
            <w:r>
              <w:rPr>
                <w:rFonts w:ascii="Arial" w:cs="Arial" w:eastAsia="Arial" w:hAnsi="Arial"/>
                <w:b w:val="false"/>
                <w:bCs w:val="false"/>
                <w:i w:val="false"/>
                <w:iCs w:val="false"/>
                <w:color w:val="1C2833"/>
                <w:sz w:val="17"/>
                <w:szCs w:val="17"/>
              </w:rPr>
              <w:t xml:space="preserve">SHAP +
MLflow
Integration</w:t>
            </w:r>
          </w:p>
        </w:tc>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M3</w:t>
            </w:r>
          </w:p>
          <w:p>
            <w:pPr>
              <w:spacing w:before="0" w:after="0"/>
              <w:jc w:val="center"/>
            </w:pPr>
            <w:r>
              <w:rPr>
                <w:rFonts w:ascii="Arial" w:cs="Arial" w:eastAsia="Arial" w:hAnsi="Arial"/>
                <w:b w:val="false"/>
                <w:bCs w:val="false"/>
                <w:i w:val="false"/>
                <w:iCs w:val="false"/>
                <w:color w:val="1C2833"/>
                <w:sz w:val="17"/>
                <w:szCs w:val="17"/>
              </w:rPr>
              <w:t xml:space="preserve">Grafana +
Prometheus
Dashboard</w:t>
            </w:r>
          </w:p>
        </w:tc>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M4</w:t>
            </w:r>
          </w:p>
          <w:p>
            <w:pPr>
              <w:spacing w:before="0" w:after="0"/>
              <w:jc w:val="center"/>
            </w:pPr>
            <w:r>
              <w:rPr>
                <w:rFonts w:ascii="Arial" w:cs="Arial" w:eastAsia="Arial" w:hAnsi="Arial"/>
                <w:b w:val="false"/>
                <w:bCs w:val="false"/>
                <w:i w:val="false"/>
                <w:iCs w:val="false"/>
                <w:color w:val="1C2833"/>
                <w:sz w:val="17"/>
                <w:szCs w:val="17"/>
              </w:rPr>
              <w:t xml:space="preserve">Real Sensor
SDK (OPC-UA
+ Modbus)</w:t>
            </w:r>
          </w:p>
        </w:tc>
        <w:tc>
          <w:tcPr>
            <w:tcW w:type="dxa" w:w="1170"/>
            <w:tcBorders>
              <w:top w:val="single" w:color="117A65" w:sz="6"/>
              <w:left w:val="single" w:color="117A65" w:sz="2"/>
              <w:bottom w:val="single" w:color="117A65" w:sz="2"/>
              <w:right w:val="single" w:color="117A65" w:sz="2"/>
            </w:tcBorders>
            <w:shd w:fill="D5F5E3"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M4</w:t>
            </w:r>
          </w:p>
          <w:p>
            <w:pPr>
              <w:spacing w:before="0" w:after="0"/>
              <w:jc w:val="center"/>
            </w:pPr>
            <w:r>
              <w:rPr>
                <w:rFonts w:ascii="Arial" w:cs="Arial" w:eastAsia="Arial" w:hAnsi="Arial"/>
                <w:b w:val="false"/>
                <w:bCs w:val="false"/>
                <w:i w:val="false"/>
                <w:iCs w:val="false"/>
                <w:color w:val="1C2833"/>
                <w:sz w:val="17"/>
                <w:szCs w:val="17"/>
              </w:rPr>
              <w:t xml:space="preserve">Jetson Nano
Deployment
+ Testing</w:t>
            </w:r>
          </w:p>
        </w:tc>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M5</w:t>
            </w:r>
          </w:p>
          <w:p>
            <w:pPr>
              <w:spacing w:before="0" w:after="0"/>
              <w:jc w:val="center"/>
            </w:pPr>
            <w:r>
              <w:rPr>
                <w:rFonts w:ascii="Arial" w:cs="Arial" w:eastAsia="Arial" w:hAnsi="Arial"/>
                <w:b w:val="false"/>
                <w:bCs w:val="false"/>
                <w:i w:val="false"/>
                <w:iCs w:val="false"/>
                <w:color w:val="1C2833"/>
                <w:sz w:val="17"/>
                <w:szCs w:val="17"/>
              </w:rPr>
              <w:t xml:space="preserve">Multi-sensor
Stream
Manager</w:t>
            </w:r>
          </w:p>
        </w:tc>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M5</w:t>
            </w:r>
          </w:p>
          <w:p>
            <w:pPr>
              <w:spacing w:before="0" w:after="0"/>
              <w:jc w:val="center"/>
            </w:pPr>
            <w:r>
              <w:rPr>
                <w:rFonts w:ascii="Arial" w:cs="Arial" w:eastAsia="Arial" w:hAnsi="Arial"/>
                <w:b w:val="false"/>
                <w:bCs w:val="false"/>
                <w:i w:val="false"/>
                <w:iCs w:val="false"/>
                <w:color w:val="1C2833"/>
                <w:sz w:val="17"/>
                <w:szCs w:val="17"/>
              </w:rPr>
              <w:t xml:space="preserve">MQTT Full
Alert
Hierarchy</w:t>
            </w:r>
          </w:p>
        </w:tc>
        <w:tc>
          <w:tcPr>
            <w:tcW w:type="dxa" w:w="1170"/>
            <w:tcBorders>
              <w:top w:val="single" w:color="117A65" w:sz="6"/>
              <w:left w:val="single" w:color="117A65" w:sz="2"/>
              <w:bottom w:val="single" w:color="117A65" w:sz="2"/>
              <w:right w:val="single" w:color="117A65" w:sz="2"/>
            </w:tcBorders>
            <w:shd w:fill="D5F5E3"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M6</w:t>
            </w:r>
          </w:p>
          <w:p>
            <w:pPr>
              <w:spacing w:before="0" w:after="0"/>
              <w:jc w:val="center"/>
            </w:pPr>
            <w:r>
              <w:rPr>
                <w:rFonts w:ascii="Arial" w:cs="Arial" w:eastAsia="Arial" w:hAnsi="Arial"/>
                <w:b w:val="false"/>
                <w:bCs w:val="false"/>
                <w:i w:val="false"/>
                <w:iCs w:val="false"/>
                <w:color w:val="1C2833"/>
                <w:sz w:val="17"/>
                <w:szCs w:val="17"/>
              </w:rPr>
              <w:t xml:space="preserve">REST API +
Auth Layer</w:t>
            </w:r>
          </w:p>
        </w:tc>
        <w:tc>
          <w:tcPr>
            <w:tcW w:type="dxa" w:w="1170"/>
            <w:tcBorders>
              <w:top w:val="single" w:color="117A65" w:sz="6"/>
              <w:left w:val="single" w:color="117A65" w:sz="2"/>
              <w:bottom w:val="single" w:color="117A65" w:sz="2"/>
              <w:right w:val="single" w:color="117A65" w:sz="2"/>
            </w:tcBorders>
            <w:shd w:fill="E8F8F5"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117A65"/>
                <w:sz w:val="17"/>
                <w:szCs w:val="17"/>
              </w:rPr>
              <w:t xml:space="preserve">M6–8</w:t>
            </w:r>
          </w:p>
          <w:p>
            <w:pPr>
              <w:spacing w:before="0" w:after="0"/>
              <w:jc w:val="center"/>
            </w:pPr>
            <w:r>
              <w:rPr>
                <w:rFonts w:ascii="Arial" w:cs="Arial" w:eastAsia="Arial" w:hAnsi="Arial"/>
                <w:b w:val="false"/>
                <w:bCs w:val="false"/>
                <w:i w:val="false"/>
                <w:iCs w:val="false"/>
                <w:color w:val="1C2833"/>
                <w:sz w:val="17"/>
                <w:szCs w:val="17"/>
              </w:rPr>
              <w:t xml:space="preserve">Pilot Customer
Acquisition
+ Deployment</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3.5  V2 Pilot Customer Strategy</w:t>
      </w:r>
    </w:p>
    <w:p>
      <w:pPr>
        <w:spacing w:before="60" w:after="100" w:line="320"/>
        <w:jc w:val="both"/>
      </w:pPr>
      <w:r>
        <w:rPr>
          <w:rFonts w:ascii="Arial" w:cs="Arial" w:eastAsia="Arial" w:hAnsi="Arial"/>
          <w:b w:val="false"/>
          <w:bCs w:val="false"/>
          <w:i w:val="false"/>
          <w:iCs w:val="false"/>
          <w:color w:val="0D0D0D"/>
          <w:sz w:val="22"/>
          <w:szCs w:val="22"/>
        </w:rPr>
        <w:t xml:space="preserve">V2 succeeds when one real customer uses it in a real factory. Payment is secondary. The learning from a real deployment is worth more than the revenue at this stage.</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Dimension</w:t>
            </w:r>
          </w:p>
        </w:tc>
        <w:tc>
          <w:tcPr>
            <w:tcW w:type="dxa" w:w="32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Target</w:t>
            </w:r>
          </w:p>
        </w:tc>
        <w:tc>
          <w:tcPr>
            <w:tcW w:type="dxa" w:w="456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Approach</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 profile</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Small-to-medium manufacturer in Sri Lanka or South Asia with existing sensor infrastructure and connectivity problems</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University of Moratuwa industry connections; LinkedIn outreach to factory operations managers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Offer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Free 3-month pilot — we install, configure, and support. They give us data, feedback, and a case study.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Remove all financial risk for the customer. The ask is access, not money.</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Hardware</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We provide Jetson Nano (£150). Customer provides sensors and factory access.</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£150 investment per pilot is worth the learning.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Success definition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System runs for 30 days in a real factory, detects at least one real anomaly, and the operations manager says 'this is useful'.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Not revenue. Not scale. One real use case confirmed.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Conference paper</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 results (real hardware, real sensors, real factory) submitted to IEEE IoT Journal or IES conference.</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Transforms V1 thesis into V2 peer-reviewed validation. Enormously valuable for V3 fundraising.</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17A65"/>
          <w:sz w:val="27"/>
          <w:szCs w:val="27"/>
        </w:rPr>
        <w:t xml:space="preserve">3.6  V2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5000"/>
      </w:tblGrid>
      <w:tr>
        <w:tc>
          <w:tcPr>
            <w:tcW w:type="dxa" w:w="36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40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Criterion</w:t>
            </w:r>
          </w:p>
        </w:tc>
        <w:tc>
          <w:tcPr>
            <w:tcW w:type="dxa" w:w="5000"/>
            <w:tcBorders>
              <w:top w:val="single" w:color="CCCCCC" w:sz="4"/>
              <w:left w:val="single" w:color="CCCCCC" w:sz="4"/>
              <w:bottom w:val="single" w:color="CCCCCC" w:sz="4"/>
              <w:right w:val="single" w:color="CCCCCC" w:sz="4"/>
            </w:tcBorders>
            <w:shd w:fill="117A65"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Verification</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explanations generated for all anomaly events in Hybrid mode</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output present in Delta Lake shap_results table</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MLflow tracks all training runs with model promotion workflow</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MLflow UI shows staging → production lifecycle for at least 2 model versions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dashboard operational for pilot customer</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 can view their site dashboard in browser without any configuration</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sensor data processed correctly via OPC-UA or Modbus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24-hour continuous run with real sensor — zero parsing errors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System deployed on physical Jetson Nano</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Device running in customer location for minimum 30 days</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Multi-sensor: 5+ concurrent streams without performance degradation</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P99 inference latency &lt; 100ms with 5 concurrent sensor streams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7</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REST API authenticated and documented</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API documentation at /docs; JWT auth working; at least 3 endpoints functional</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At least one pilot customer deployment live</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Signed pilot agreement + system operational at customer site</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9</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 results paper submitted to IEEE venue</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Submission confirmation received</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Docker images published to Docker Hub with version tags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docker pull adaptiveorchestrator/edge-agent:v2.0 works from clean machine</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0"/>
              <w:left w:val="single" w:color="6C3483" w:sz="6"/>
              <w:bottom w:val="single" w:color="6C3483" w:sz="6"/>
              <w:right w:val="single" w:color="6C3483" w:sz="6"/>
            </w:tcBorders>
            <w:shd w:fill="F5EEF8" w:val="clear"/>
            <w:tcMar>
              <w:top w:type="dxa" w:w="200"/>
              <w:left w:type="dxa" w:w="280"/>
              <w:bottom w:type="dxa" w:w="200"/>
              <w:right w:type="dxa" w:w="280"/>
            </w:tcMar>
          </w:tcPr>
          <w:p>
            <w:pPr>
              <w:spacing w:before="0" w:after="40"/>
              <w:jc w:val="center"/>
            </w:pPr>
            <w:r>
              <w:rPr>
                <w:rFonts w:ascii="Arial" w:cs="Arial" w:eastAsia="Arial" w:hAnsi="Arial"/>
                <w:b/>
                <w:bCs/>
                <w:i/>
                <w:iCs/>
                <w:color w:val="6C3483"/>
                <w:sz w:val="20"/>
                <w:szCs w:val="20"/>
              </w:rPr>
              <w:t xml:space="preserve">PHASE 3</w:t>
            </w:r>
          </w:p>
          <w:p>
            <w:pPr>
              <w:spacing w:before="0" w:after="40"/>
              <w:jc w:val="center"/>
            </w:pPr>
            <w:r>
              <w:rPr>
                <w:rFonts w:ascii="Arial" w:cs="Arial" w:eastAsia="Arial" w:hAnsi="Arial"/>
                <w:b/>
                <w:bCs/>
                <w:i w:val="false"/>
                <w:iCs w:val="false"/>
                <w:color w:val="6C3483"/>
                <w:sz w:val="34"/>
                <w:szCs w:val="34"/>
              </w:rPr>
              <w:t xml:space="preserve">V3 — STARTUP LAUNCH</w:t>
            </w:r>
          </w:p>
          <w:p>
            <w:pPr>
              <w:spacing w:before="0" w:after="40"/>
              <w:jc w:val="center"/>
            </w:pPr>
            <w:r>
              <w:rPr>
                <w:rFonts w:ascii="Arial" w:cs="Arial" w:eastAsia="Arial" w:hAnsi="Arial"/>
                <w:b/>
                <w:bCs/>
                <w:i w:val="false"/>
                <w:iCs w:val="false"/>
                <w:color w:val="566573"/>
                <w:sz w:val="21"/>
                <w:szCs w:val="21"/>
              </w:rPr>
              <w:t xml:space="preserve">Months 9–24  |  Series A Readiness</w:t>
            </w:r>
          </w:p>
          <w:p>
            <w:pPr>
              <w:spacing w:before="0" w:after="0"/>
              <w:jc w:val="center"/>
            </w:pPr>
            <w:r>
              <w:rPr>
                <w:rFonts w:ascii="Arial" w:cs="Arial" w:eastAsia="Arial" w:hAnsi="Arial"/>
                <w:b w:val="false"/>
                <w:bCs w:val="false"/>
                <w:i/>
                <w:iCs/>
                <w:color w:val="1C2833"/>
                <w:sz w:val="21"/>
                <w:szCs w:val="21"/>
              </w:rPr>
              <w:t xml:space="preserve">Scale the business. SaaS pricing live. First revenue. Investor-ready.</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4.1  V3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8"/>
              <w:bottom w:val="none" w:color="FFFFFF" w:sz="0"/>
              <w:right w:val="none" w:color="FFFFFF" w:sz="0"/>
            </w:tcBorders>
            <w:shd w:fill="F5EEF8"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V3 transforms AdaptiveOrchestrator from a deployable product into a scalable SaaS business. The technology is proven in V1 and hardened in V2. V3 adds the business layer: multi-tenancy, self-service onboarding, subscription billing, partner API, and the commercial infrastructure required to raise a Series A. The goal is 10 paying customers by Month 18 and Series A readiness by Month 24.</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4.2  V3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3460"/>
        <w:gridCol w:w="2500"/>
      </w:tblGrid>
      <w:tr>
        <w:tc>
          <w:tcPr>
            <w:tcW w:type="dxa" w:w="8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Tier</w:t>
            </w:r>
          </w:p>
        </w:tc>
        <w:tc>
          <w:tcPr>
            <w:tcW w:type="dxa" w:w="12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Name</w:t>
            </w:r>
          </w:p>
        </w:tc>
        <w:tc>
          <w:tcPr>
            <w:tcW w:type="dxa" w:w="14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Price</w:t>
            </w:r>
          </w:p>
        </w:tc>
        <w:tc>
          <w:tcPr>
            <w:tcW w:type="dxa" w:w="34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What's Included</w:t>
            </w:r>
          </w:p>
        </w:tc>
        <w:tc>
          <w:tcPr>
            <w:tcW w:type="dxa" w:w="25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Target Customer</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Free</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Developer</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£0/month</w:t>
            </w:r>
          </w:p>
        </w:tc>
        <w:tc>
          <w:tcPr>
            <w:tcW w:type="dxa" w:w="3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 site, 2 sensors, community support, 7-day data retention</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Developers evaluating the platform, hackathon participants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Starter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Basic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£199/month per site</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 site, 10 sensors, email alerts, 90-day retention, standard support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SME manufacturer — single factory, first deployment</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Growth</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Pro</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£499/month per site</w:t>
            </w:r>
          </w:p>
        </w:tc>
        <w:tc>
          <w:tcPr>
            <w:tcW w:type="dxa" w:w="3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 site, unlimited sensors, all alert channels, 1-year retention, SHAP, priority support</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Growing manufacturer — proven ROI, expanding deployment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Scale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Multi-Site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£299/month per site (min 3 sites)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Multiple sites, centralised dashboard, API access, custom model training, dedicated support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Mid-size manufacturer — multiple factories, IT team</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Enterprise</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 pricing</w:t>
            </w:r>
          </w:p>
        </w:tc>
        <w:tc>
          <w:tcPr>
            <w:tcW w:type="dxa" w:w="3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On-premises deployment option, SLA, professional services, custom integration</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Large manufacturer — regulatory requirements, existing SCADA</w:t>
            </w:r>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8"/>
              <w:bottom w:val="none" w:color="FFFFFF" w:sz="0"/>
              <w:right w:val="none" w:color="FFFFFF" w:sz="0"/>
            </w:tcBorders>
            <w:shd w:fill="F5EEF8"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Revenue target: Month 12 = 5 paying customers = ~£12,000 ARR. Month 18 = 15 customers = ~£45,000 ARR. Month 24 = 30 customers = ~£120,000 ARR. These are conservative targets based on direct outreach without paid marketing. Series A typically requires £300,000+ ARR — this roadmap gets you to the conversation.</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4.3  V3 Architecture — Production Cloud</w:t>
      </w:r>
    </w:p>
    <w:p>
      <w:pPr>
        <w:spacing w:before="60" w:after="100" w:line="320"/>
        <w:jc w:val="both"/>
      </w:pPr>
      <w:r>
        <w:rPr>
          <w:rFonts w:ascii="Arial" w:cs="Arial" w:eastAsia="Arial" w:hAnsi="Arial"/>
          <w:b w:val="false"/>
          <w:bCs w:val="false"/>
          <w:i w:val="false"/>
          <w:iCs w:val="false"/>
          <w:color w:val="0D0D0D"/>
          <w:sz w:val="22"/>
          <w:szCs w:val="22"/>
        </w:rPr>
        <w:t xml:space="preserve">V3 migrates from local Docker to production AWS infrastructure. Every component has a V1/V2 equivalent — the migration is incremental, not a rewrite.</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V1/V2 Component</w:t>
            </w:r>
          </w:p>
        </w:tc>
        <w:tc>
          <w:tcPr>
            <w:tcW w:type="dxa" w:w="26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V3 Production Equivalent</w:t>
            </w:r>
          </w:p>
        </w:tc>
        <w:tc>
          <w:tcPr>
            <w:tcW w:type="dxa" w:w="45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the Change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Kafka in Docker</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MSK (Managed Streaming for Kafka)</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Managed service — no Zookeeper, auto-scaling, 99.9% SLA, multi-AZ</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Spark in Docker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EMR Serverless or Databricks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Auto-scaling compute — pay per use, not per cluster-hour when idle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on S3</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on S3 + Unity Catalog (Databricks)</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Multi-tenant data isolation — each customer's data in isolated S3 prefix with IAM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MLflow local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Databricks MLflow Managed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Multi-tenant model registry — each customer's models isolated and versioned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in Docker</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Cloud or self-hosted on EKS</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Customer-branded dashboards — each customer sees only their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FastAPI edge REST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API Gateway + Lambda + Cognito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Scalable, authenticated, rate-limited customer API — no server to manage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Manual deployment</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Terraform + GitHub Actions CI/CD</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Infrastructure as code — reproducible, auditable, investor-demonstrable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Single-tenant Docker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Kubernetes (EKS) with namespace isolation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Multi-tenant edge agent management — one cluster serves all customers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Direct S3 writes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S3 + Lake Formation + Glue Catalog</w:t>
            </w:r>
          </w:p>
        </w:tc>
        <w:tc>
          <w:tcPr>
            <w:tcW w:type="dxa" w:w="4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Row-level security — customers can only query their own data</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4.4  V3 Product — Customer-Facing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0"/>
              <w:left w:val="single" w:color="6C3483" w:sz="6"/>
              <w:bottom w:val="single" w:color="6C3483" w:sz="6"/>
              <w:right w:val="single" w:color="6C3483" w:sz="6"/>
            </w:tcBorders>
            <w:shd w:fill="F5EEF8" w:val="clear"/>
            <w:tcMar>
              <w:top w:type="dxa" w:w="160"/>
              <w:left w:type="dxa" w:w="240"/>
              <w:bottom w:type="dxa" w:w="160"/>
              <w:right w:type="dxa" w:w="240"/>
            </w:tcMar>
          </w:tcPr>
          <w:p>
            <w:pPr>
              <w:spacing w:before="0" w:after="100"/>
            </w:pPr>
            <w:r>
              <w:rPr>
                <w:rFonts w:ascii="Arial" w:cs="Arial" w:eastAsia="Arial" w:hAnsi="Arial"/>
                <w:b/>
                <w:bCs/>
                <w:i w:val="false"/>
                <w:iCs w:val="false"/>
                <w:color w:val="6C3483"/>
                <w:sz w:val="22"/>
                <w:szCs w:val="22"/>
              </w:rPr>
              <w:t xml:space="preserve">Customer Dashboard (New in V3)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Site Overview</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React web application — shows all customer sites on a map. Per-site health score, current operational mode, anomaly rate, last alert time. Works on mobile.</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Anomaly Explorer</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Timeline view of all anomalies with SHAP explanation per event. Filter by sensor, severity, time range. Export to CSV/PDF for maintenance reports.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Mode History</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Timeline showing when system was in EDGE_ONLY vs HYBRID vs CLOUD_OPTIMISED. Annotated with network events and anomaly events. Proves ROI.</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Cost Dashboard</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Shows cloud egress events vs estimated static baseline. Calculates cost savings per month. This is the headline ROI number for the sales conversation.</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Alert Configuration</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Self-service alert routing — customer configures which anomalies trigger which channels (email, SMS, webhook, Slack). No code required.</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Model Management</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Customer can trigger retraining, review model performance over time, rollback to previous version. No ML expertise required.</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0"/>
              <w:left w:val="single" w:color="6C3483" w:sz="6"/>
              <w:bottom w:val="single" w:color="6C3483" w:sz="6"/>
              <w:right w:val="single" w:color="6C3483" w:sz="6"/>
            </w:tcBorders>
            <w:shd w:fill="F5EEF8" w:val="clear"/>
            <w:tcMar>
              <w:top w:type="dxa" w:w="160"/>
              <w:left w:type="dxa" w:w="240"/>
              <w:bottom w:type="dxa" w:w="160"/>
              <w:right w:type="dxa" w:w="240"/>
            </w:tcMar>
          </w:tcPr>
          <w:p>
            <w:pPr>
              <w:spacing w:before="0" w:after="100"/>
            </w:pPr>
            <w:r>
              <w:rPr>
                <w:rFonts w:ascii="Arial" w:cs="Arial" w:eastAsia="Arial" w:hAnsi="Arial"/>
                <w:b/>
                <w:bCs/>
                <w:i w:val="false"/>
                <w:iCs w:val="false"/>
                <w:color w:val="6C3483"/>
                <w:sz w:val="22"/>
                <w:szCs w:val="22"/>
              </w:rPr>
              <w:t xml:space="preserve">Partner API (New in V3)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REST API v1</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Authenticated REST API — site management, sensor configuration, alert routing, model management, historical data query. Full OpenAPI documentation.</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Webhook Events</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Real-time webhook delivery for anomaly events, mode transitions, and alert triggers. Customers can integrate with their existing SCADA or ERP systems.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SDK</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Python and JavaScript SDKs wrapping the REST API. Reduces integration time for technical customers from days to hours.</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SCADA Connectors</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Pre-built connectors for common SCADA systems: Siemens WinCC, Wonderware, FactoryTalk. Customer's existing dashboards show AdaptiveOrchestrator data.</w:t>
                  </w:r>
                </w:p>
              </w:tc>
            </w:tr>
          </w:tbl>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0"/>
              <w:left w:val="single" w:color="6C3483" w:sz="6"/>
              <w:bottom w:val="single" w:color="6C3483" w:sz="6"/>
              <w:right w:val="single" w:color="6C3483" w:sz="6"/>
            </w:tcBorders>
            <w:shd w:fill="F5EEF8" w:val="clear"/>
            <w:tcMar>
              <w:top w:type="dxa" w:w="160"/>
              <w:left w:type="dxa" w:w="240"/>
              <w:bottom w:type="dxa" w:w="160"/>
              <w:right w:type="dxa" w:w="240"/>
            </w:tcMar>
          </w:tcPr>
          <w:p>
            <w:pPr>
              <w:spacing w:before="0" w:after="100"/>
            </w:pPr>
            <w:r>
              <w:rPr>
                <w:rFonts w:ascii="Arial" w:cs="Arial" w:eastAsia="Arial" w:hAnsi="Arial"/>
                <w:b/>
                <w:bCs/>
                <w:i w:val="false"/>
                <w:iCs w:val="false"/>
                <w:color w:val="6C3483"/>
                <w:sz w:val="22"/>
                <w:szCs w:val="22"/>
              </w:rPr>
              <w:t xml:space="preserve">Edge Agent v3 (Evolution of V1/V2)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Self-updating agent</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OTA (Over-the-Air) update mechanism. New policy engine versions push to all customer edge devices automatically after staging validation.</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Hardware abstraction</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Edge agent runs on Jetson Nano, Raspberry Pi 4, and x86 industrial PCs. Single codebase, hardware-specific optimisations loaded at runtime.</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Offline onboarding</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Edge device can be fully configured offline using a local web UI on port 8080. Customer plugs in ethernet, opens browser, follows 5-step setup wizard.</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none" w:color="FFFFFF" w:sz="0"/>
                    <w:left w:val="none" w:color="FFFFFF" w:sz="0"/>
                    <w:bottom w:val="none" w:color="FFFFFF" w:sz="0"/>
                    <w:right w:val="none" w:color="FFFFFF" w:sz="0"/>
                  </w:tcBorders>
                  <w:tcMar>
                    <w:top w:type="dxa" w:w="30"/>
                    <w:left w:type="dxa" w:w="0"/>
                    <w:bottom w:type="dxa" w:w="30"/>
                    <w:right w:type="dxa" w:w="120"/>
                  </w:tcMar>
                </w:tcPr>
                <w:p>
                  <w:r>
                    <w:rPr>
                      <w:rFonts w:ascii="Arial" w:cs="Arial" w:eastAsia="Arial" w:hAnsi="Arial"/>
                      <w:b/>
                      <w:bCs/>
                      <w:i w:val="false"/>
                      <w:iCs w:val="false"/>
                      <w:color w:val="6C3483"/>
                      <w:sz w:val="19"/>
                      <w:szCs w:val="19"/>
                    </w:rPr>
                    <w:t xml:space="preserve">Tamper detection</w:t>
                  </w:r>
                </w:p>
              </w:tc>
              <w:tc>
                <w:tcPr>
                  <w:tcW w:type="dxa" w:w="600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80"/>
                  </w:pPr>
                  <w:r>
                    <w:rPr>
                      <w:rFonts w:ascii="Arial" w:cs="Arial" w:eastAsia="Arial" w:hAnsi="Arial"/>
                      <w:b w:val="false"/>
                      <w:bCs w:val="false"/>
                      <w:i w:val="false"/>
                      <w:iCs w:val="false"/>
                      <w:color w:val="1C2833"/>
                      <w:sz w:val="19"/>
                      <w:szCs w:val="19"/>
                    </w:rPr>
                    <w:t xml:space="preserve">Hardware fingerprinting prevents edge agent from running on unauthorised devices. Licence enforcement at hardware level.</w:t>
                  </w:r>
                </w:p>
              </w:tc>
            </w:tr>
          </w:tbl>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4.5  V3 24-Month Delivery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6C3483" w:sz="6"/>
              <w:left w:val="single" w:color="6C3483" w:sz="2"/>
              <w:bottom w:val="single" w:color="6C3483" w:sz="2"/>
              <w:right w:val="single" w:color="6C3483" w:sz="2"/>
            </w:tcBorders>
            <w:shd w:fill="F5EE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M9</w:t>
            </w:r>
          </w:p>
          <w:p>
            <w:pPr>
              <w:spacing w:before="0" w:after="0"/>
              <w:jc w:val="center"/>
            </w:pPr>
            <w:r>
              <w:rPr>
                <w:rFonts w:ascii="Arial" w:cs="Arial" w:eastAsia="Arial" w:hAnsi="Arial"/>
                <w:b w:val="false"/>
                <w:bCs w:val="false"/>
                <w:i w:val="false"/>
                <w:iCs w:val="false"/>
                <w:color w:val="1C2833"/>
                <w:sz w:val="17"/>
                <w:szCs w:val="17"/>
              </w:rPr>
              <w:t xml:space="preserve">Multi-tenancy
Foundation
(EKS + IAM)</w:t>
            </w:r>
          </w:p>
        </w:tc>
        <w:tc>
          <w:tcPr>
            <w:tcW w:type="dxa" w:w="1170"/>
            <w:tcBorders>
              <w:top w:val="single" w:color="6C3483" w:sz="6"/>
              <w:left w:val="single" w:color="6C3483" w:sz="2"/>
              <w:bottom w:val="single" w:color="6C3483" w:sz="2"/>
              <w:right w:val="single" w:color="6C3483" w:sz="2"/>
            </w:tcBorders>
            <w:shd w:fill="F5EE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M10</w:t>
            </w:r>
          </w:p>
          <w:p>
            <w:pPr>
              <w:spacing w:before="0" w:after="0"/>
              <w:jc w:val="center"/>
            </w:pPr>
            <w:r>
              <w:rPr>
                <w:rFonts w:ascii="Arial" w:cs="Arial" w:eastAsia="Arial" w:hAnsi="Arial"/>
                <w:b w:val="false"/>
                <w:bCs w:val="false"/>
                <w:i w:val="false"/>
                <w:iCs w:val="false"/>
                <w:color w:val="1C2833"/>
                <w:sz w:val="17"/>
                <w:szCs w:val="17"/>
              </w:rPr>
              <w:t xml:space="preserve">Customer
Dashboard
v1 (React)</w:t>
            </w:r>
          </w:p>
        </w:tc>
        <w:tc>
          <w:tcPr>
            <w:tcW w:type="dxa" w:w="1170"/>
            <w:tcBorders>
              <w:top w:val="single" w:color="6C3483" w:sz="6"/>
              <w:left w:val="single" w:color="6C3483" w:sz="2"/>
              <w:bottom w:val="single" w:color="6C3483" w:sz="2"/>
              <w:right w:val="single" w:color="6C3483" w:sz="2"/>
            </w:tcBorders>
            <w:shd w:fill="EDE8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M11</w:t>
            </w:r>
          </w:p>
          <w:p>
            <w:pPr>
              <w:spacing w:before="0" w:after="0"/>
              <w:jc w:val="center"/>
            </w:pPr>
            <w:r>
              <w:rPr>
                <w:rFonts w:ascii="Arial" w:cs="Arial" w:eastAsia="Arial" w:hAnsi="Arial"/>
                <w:b w:val="false"/>
                <w:bCs w:val="false"/>
                <w:i w:val="false"/>
                <w:iCs w:val="false"/>
                <w:color w:val="1C2833"/>
                <w:sz w:val="17"/>
                <w:szCs w:val="17"/>
              </w:rPr>
              <w:t xml:space="preserve">Billing
Integration
(Stripe)</w:t>
            </w:r>
          </w:p>
        </w:tc>
        <w:tc>
          <w:tcPr>
            <w:tcW w:type="dxa" w:w="1170"/>
            <w:tcBorders>
              <w:top w:val="single" w:color="6C3483" w:sz="6"/>
              <w:left w:val="single" w:color="6C3483" w:sz="2"/>
              <w:bottom w:val="single" w:color="6C3483" w:sz="2"/>
              <w:right w:val="single" w:color="6C3483" w:sz="2"/>
            </w:tcBorders>
            <w:shd w:fill="F5EE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M12</w:t>
            </w:r>
          </w:p>
          <w:p>
            <w:pPr>
              <w:spacing w:before="0" w:after="0"/>
              <w:jc w:val="center"/>
            </w:pPr>
            <w:r>
              <w:rPr>
                <w:rFonts w:ascii="Arial" w:cs="Arial" w:eastAsia="Arial" w:hAnsi="Arial"/>
                <w:b w:val="false"/>
                <w:bCs w:val="false"/>
                <w:i w:val="false"/>
                <w:iCs w:val="false"/>
                <w:color w:val="1C2833"/>
                <w:sz w:val="17"/>
                <w:szCs w:val="17"/>
              </w:rPr>
              <w:t xml:space="preserve">Self-service
Onboarding
5 customers</w:t>
            </w:r>
          </w:p>
        </w:tc>
        <w:tc>
          <w:tcPr>
            <w:tcW w:type="dxa" w:w="1170"/>
            <w:tcBorders>
              <w:top w:val="single" w:color="6C3483" w:sz="6"/>
              <w:left w:val="single" w:color="6C3483" w:sz="2"/>
              <w:bottom w:val="single" w:color="6C3483" w:sz="2"/>
              <w:right w:val="single" w:color="6C3483" w:sz="2"/>
            </w:tcBorders>
            <w:shd w:fill="F5EE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M14</w:t>
            </w:r>
          </w:p>
          <w:p>
            <w:pPr>
              <w:spacing w:before="0" w:after="0"/>
              <w:jc w:val="center"/>
            </w:pPr>
            <w:r>
              <w:rPr>
                <w:rFonts w:ascii="Arial" w:cs="Arial" w:eastAsia="Arial" w:hAnsi="Arial"/>
                <w:b w:val="false"/>
                <w:bCs w:val="false"/>
                <w:i w:val="false"/>
                <w:iCs w:val="false"/>
                <w:color w:val="1C2833"/>
                <w:sz w:val="17"/>
                <w:szCs w:val="17"/>
              </w:rPr>
              <w:t xml:space="preserve">Partner API
v1 + SCADA
Connectors</w:t>
            </w:r>
          </w:p>
        </w:tc>
        <w:tc>
          <w:tcPr>
            <w:tcW w:type="dxa" w:w="1170"/>
            <w:tcBorders>
              <w:top w:val="single" w:color="6C3483" w:sz="6"/>
              <w:left w:val="single" w:color="6C3483" w:sz="2"/>
              <w:bottom w:val="single" w:color="6C3483" w:sz="2"/>
              <w:right w:val="single" w:color="6C3483" w:sz="2"/>
            </w:tcBorders>
            <w:shd w:fill="EDE8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M16</w:t>
            </w:r>
          </w:p>
          <w:p>
            <w:pPr>
              <w:spacing w:before="0" w:after="0"/>
              <w:jc w:val="center"/>
            </w:pPr>
            <w:r>
              <w:rPr>
                <w:rFonts w:ascii="Arial" w:cs="Arial" w:eastAsia="Arial" w:hAnsi="Arial"/>
                <w:b w:val="false"/>
                <w:bCs w:val="false"/>
                <w:i w:val="false"/>
                <w:iCs w:val="false"/>
                <w:color w:val="1C2833"/>
                <w:sz w:val="17"/>
                <w:szCs w:val="17"/>
              </w:rPr>
              <w:t xml:space="preserve">MSK + EMR
Migration
Production</w:t>
            </w:r>
          </w:p>
        </w:tc>
        <w:tc>
          <w:tcPr>
            <w:tcW w:type="dxa" w:w="1170"/>
            <w:tcBorders>
              <w:top w:val="single" w:color="6C3483" w:sz="6"/>
              <w:left w:val="single" w:color="6C3483" w:sz="2"/>
              <w:bottom w:val="single" w:color="6C3483" w:sz="2"/>
              <w:right w:val="single" w:color="6C3483" w:sz="2"/>
            </w:tcBorders>
            <w:shd w:fill="F5EE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M18</w:t>
            </w:r>
          </w:p>
          <w:p>
            <w:pPr>
              <w:spacing w:before="0" w:after="0"/>
              <w:jc w:val="center"/>
            </w:pPr>
            <w:r>
              <w:rPr>
                <w:rFonts w:ascii="Arial" w:cs="Arial" w:eastAsia="Arial" w:hAnsi="Arial"/>
                <w:b w:val="false"/>
                <w:bCs w:val="false"/>
                <w:i w:val="false"/>
                <w:iCs w:val="false"/>
                <w:color w:val="1C2833"/>
                <w:sz w:val="17"/>
                <w:szCs w:val="17"/>
              </w:rPr>
              <w:t xml:space="preserve">15 Customers
£45K ARR
Conference</w:t>
            </w:r>
          </w:p>
        </w:tc>
        <w:tc>
          <w:tcPr>
            <w:tcW w:type="dxa" w:w="1170"/>
            <w:tcBorders>
              <w:top w:val="single" w:color="6C3483" w:sz="6"/>
              <w:left w:val="single" w:color="6C3483" w:sz="2"/>
              <w:bottom w:val="single" w:color="6C3483" w:sz="2"/>
              <w:right w:val="single" w:color="6C3483" w:sz="2"/>
            </w:tcBorders>
            <w:shd w:fill="EDE8F8" w:val="clear"/>
            <w:tcMar>
              <w:top w:type="dxa" w:w="100"/>
              <w:left w:type="dxa" w:w="80"/>
              <w:bottom w:type="dxa" w:w="100"/>
              <w:right w:type="dxa" w:w="80"/>
            </w:tcMar>
          </w:tcPr>
          <w:p>
            <w:pPr>
              <w:spacing w:before="0" w:after="30"/>
              <w:jc w:val="center"/>
            </w:pPr>
            <w:r>
              <w:rPr>
                <w:rFonts w:ascii="Arial" w:cs="Arial" w:eastAsia="Arial" w:hAnsi="Arial"/>
                <w:b/>
                <w:bCs/>
                <w:i w:val="false"/>
                <w:iCs w:val="false"/>
                <w:color w:val="6C3483"/>
                <w:sz w:val="17"/>
                <w:szCs w:val="17"/>
              </w:rPr>
              <w:t xml:space="preserve">M24</w:t>
            </w:r>
          </w:p>
          <w:p>
            <w:pPr>
              <w:spacing w:before="0" w:after="0"/>
              <w:jc w:val="center"/>
            </w:pPr>
            <w:r>
              <w:rPr>
                <w:rFonts w:ascii="Arial" w:cs="Arial" w:eastAsia="Arial" w:hAnsi="Arial"/>
                <w:b w:val="false"/>
                <w:bCs w:val="false"/>
                <w:i w:val="false"/>
                <w:iCs w:val="false"/>
                <w:color w:val="1C2833"/>
                <w:sz w:val="17"/>
                <w:szCs w:val="17"/>
              </w:rPr>
              <w:t xml:space="preserve">Series A
Readiness
30 Customers</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4.6  V3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Channel</w:t>
            </w:r>
          </w:p>
        </w:tc>
        <w:tc>
          <w:tcPr>
            <w:tcW w:type="dxa" w:w="32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Approach</w:t>
            </w:r>
          </w:p>
        </w:tc>
        <w:tc>
          <w:tcPr>
            <w:tcW w:type="dxa" w:w="16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Timeline</w:t>
            </w:r>
          </w:p>
        </w:tc>
        <w:tc>
          <w:tcPr>
            <w:tcW w:type="dxa" w:w="29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Cost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Direct outreach — Sri Lanka</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University of Moratuwa industry network. Target 20 manufacturing contacts for pilot conversations.</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9–12</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 founder time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LinkedIn content marketing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Weekly posts on industrial IoT, edge computing, anomaly detection. Build authority before selling.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9 onwards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 founder time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IEEE conference presentation</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Present V1 thesis results at IEEE IES or IoT conference. Credibility + visibility with industrial engineers.</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12–15</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£500–1,500 travel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South Asia expansion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India manufacturing sector — Bangalore, Chennai, Pune. Partner with local system integrators who sell to factories.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15–18</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£2,000–5,000</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Product Hunt launch</w:t>
            </w:r>
          </w:p>
        </w:tc>
        <w:tc>
          <w:tcPr>
            <w:tcW w:type="dxa" w:w="3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Launch on Product Hunt for developer/startup visibility. Target developer tier customers.</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12</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Accelerator application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Apply to Hardware-focused accelerators: HAX, Bolt, Paua Ventures. Non-dilutive grant funding in parallel.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12–18</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Application time only</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4.7  V3 Investor Readiness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Month</w:t>
            </w:r>
          </w:p>
        </w:tc>
        <w:tc>
          <w:tcPr>
            <w:tcW w:type="dxa" w:w="40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Milestone</w:t>
            </w:r>
          </w:p>
        </w:tc>
        <w:tc>
          <w:tcPr>
            <w:tcW w:type="dxa" w:w="43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It Matters to Investors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2</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Thesis defended, V1 complete, GitHub public</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Technical credibility — peer-reviewed proof of concept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 deployed on real hardware at pilot customer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De-risks hardware claim — not just simulation</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9</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IEEE paper accepted or published</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Academic validation — third-party confirmation of novelty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First paying customer — any tier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Proves willingness to pay. Changes every investor conversation.</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15</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£20,000 ARR, 5+ paying customers</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Early traction. Cohort retention data available.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£45,000 ARR, 15 customers, 2+ geographies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Growth rate visible. Unit economics calculable.</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20</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Hire first employee (sales or engineering)</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Founder can delegate — company is not founder-dependent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24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£120,000 ARR, 30 customers, Series A deck ready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3x ARR growth rate. Investor-grade metrics. Raise £1–3M.</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6C3483"/>
          <w:sz w:val="27"/>
          <w:szCs w:val="27"/>
        </w:rPr>
        <w:t xml:space="preserve">4.8  V3 Definition of Done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000"/>
      </w:tblGrid>
      <w:tr>
        <w:tc>
          <w:tcPr>
            <w:tcW w:type="dxa" w:w="3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42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Criterion</w:t>
            </w:r>
          </w:p>
        </w:tc>
        <w:tc>
          <w:tcPr>
            <w:tcW w:type="dxa" w:w="50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Verification</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Multi-tenant platform — customer A cannot see customer B data</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Penetration test + AWS Lake Formation row-level security audit</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Self-service onboarding in under 30 minutes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Timed onboarding test with 3 non-technical users</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Stripe billing live — subscriptions charge automatically</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Live Stripe dashboard showing recurring revenue</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30 paying customers across at least 2 geographies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CRM shows 30 active subscriptions with payment history</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£120,000 ARR</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Stripe MRR = £10,000+</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99.5% platform uptime over rolling 30 days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CloudWatch alarms + uptime monitoring log</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7</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Partner API documented and used by at least one integration</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Third-party SCADA connector live at customer site</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agent OTA updates working across all customer devices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Update deployed to all devices within 24 hours of release</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9</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Series A investor deck complete and rehearsed</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 investor meetings booked</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First employee hired</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Employment contract signed</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p>
      <w:pPr>
        <w:pStyle w:val="Heading1"/>
        <w:spacing w:before="440" w:after="160"/>
      </w:pPr>
      <w:r>
        <w:rPr>
          <w:rFonts w:ascii="Arial" w:cs="Arial" w:eastAsia="Arial" w:hAnsi="Arial"/>
          <w:b/>
          <w:bCs/>
          <w:i w:val="false"/>
          <w:iCs w:val="false"/>
          <w:color w:val="0D1B2A"/>
          <w:sz w:val="34"/>
          <w:szCs w:val="34"/>
        </w:rPr>
        <w:t xml:space="preserve">5.  Cross-Phase Architecture Evolution</w:t>
      </w:r>
    </w:p>
    <w:p>
      <w:pPr>
        <w:pStyle w:val="Heading2"/>
        <w:spacing w:before="300" w:after="120"/>
      </w:pPr>
      <w:r>
        <w:rPr>
          <w:rFonts w:ascii="Arial" w:cs="Arial" w:eastAsia="Arial" w:hAnsi="Arial"/>
          <w:b/>
          <w:bCs/>
          <w:i w:val="false"/>
          <w:iCs w:val="false"/>
          <w:color w:val="1B4F8A"/>
          <w:sz w:val="27"/>
          <w:szCs w:val="27"/>
        </w:rPr>
        <w:t xml:space="preserve">5.1  How Each Component Evolves Across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Component</w:t>
            </w:r>
          </w:p>
        </w:tc>
        <w:tc>
          <w:tcPr>
            <w:tcW w:type="dxa" w:w="24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V1 — Thesis MVP</w:t>
            </w:r>
          </w:p>
        </w:tc>
        <w:tc>
          <w:tcPr>
            <w:tcW w:type="dxa" w:w="24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 — Product</w:t>
            </w:r>
          </w:p>
        </w:tc>
        <w:tc>
          <w:tcPr>
            <w:tcW w:type="dxa" w:w="276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V3 — Startup</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Sensor input</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Synthetic CWRU/SKAB dataset replay</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OPC-UA + Modbus sensor SDK</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Any sensor via partner connector SDK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hardware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Docker container (1vCPU/4GB simulated)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NVIDIA Jetson Nano physical device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Jetson Nano + RPi4 + x86 industrial PC</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Inference engine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Isolation Forest, single model</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IF + LSTM option, per-sensor tuning</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Auto-selected model per sensor type via AutoML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Policy executor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 modes, 2 thresholds, file-based logging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 modes, calibrated thresholds, REST configurable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 modes, customer-configurable, A/B testable policies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Message bus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NATS JetStream local</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NATS + MQTT full stack</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NATS edge + AWS MSK cloud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Cloud streaming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Kafka in Docker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Kafka in Docker + MSK pilot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MSK fully managed</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Stream processing</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Spark 3.5 in Docker</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Spark in Docker + EMR pilot</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EMR Serverless / Databricks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Storage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on S3 (single tenant)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on S3 (per-customer prefix)</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Delta Lake + Unity Catalog (row-level security)</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Monitoring</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CloudWatch 5 metrics + Matplotlib</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 Prometheus + CloudWatch</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Grafana Cloud per customer + SLA monitoring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Alerting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FastAPI dashboard + Lambda 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MQTT + FastAPI + Lambda SES + Slack</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Full channel matrix + customer-configured webhooks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Explainability</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TreeExplainer on anomalies</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 natural language explanation (LLM layer)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Model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JSON log files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MLflow full lifecycle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Databricks MLflow + auto-promotion</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Customer access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 (researcher only)</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REST API + Grafana dashboard</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Self-service portal + mobile app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Deployment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Manual Docker Compose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Semi-automated + Docker Hub</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Terraform + GitOps + OTA updates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Multi-tenancy</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 (single customer pilot)</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Full EKS namespace isolation + IAM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Billing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None (pilot is free)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Stripe subscriptions + usage metering</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5.2  Technology Decisions That Never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1B2A" w:sz="18"/>
              <w:bottom w:val="none" w:color="FFFFFF" w:sz="0"/>
              <w:right w:val="none" w:color="FFFFFF" w:sz="0"/>
            </w:tcBorders>
            <w:shd w:fill="F2F3F4" w:val="clear"/>
            <w:tcMar>
              <w:top w:type="dxa" w:w="140"/>
              <w:left w:type="dxa" w:w="220"/>
              <w:bottom w:type="dxa" w:w="140"/>
              <w:right w:type="dxa" w:w="180"/>
            </w:tcMar>
          </w:tcPr>
          <w:p>
            <w:pPr>
              <w:spacing w:before="0" w:after="80"/>
            </w:pPr>
            <w:r>
              <w:rPr>
                <w:rFonts w:ascii="Arial" w:cs="Arial" w:eastAsia="Arial" w:hAnsi="Arial"/>
                <w:b/>
                <w:bCs/>
                <w:i w:val="false"/>
                <w:iCs w:val="false"/>
                <w:color w:val="0D1B2A"/>
                <w:sz w:val="21"/>
                <w:szCs w:val="21"/>
              </w:rPr>
              <w:t xml:space="preserve">These decisions are made in V1 and are permanent across all three phases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Python as the primary language — consistency across edge and cloud components. No language boundary to debug.</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NATS JetStream as the internal message bus — at-least-once delivery, persistent streams, works offline. Never replaced.</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Delta Lake as the storage format — ACID semantics, time travel, schema evolution. The investment in V1 pays dividends in V3.</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Event-driven architecture throughout — every component communicates via events, never direct function calls between services.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Structured JSON logging everywhere — every component writes machine-readable logs from Day 1. Never retrofitted.</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Config-driven thresholds — nothing hardcoded. Every threshold in config/settings.py from V1. Enables customer customisation in V3.</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Docker as the deployment unit — edge agent is a Docker image in V1, V2, and V3. The abstraction never changes.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AWS ap-south-1 as primary region — closest to target market (South Asia). Stays unless expansion requires otherwise.</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5.3  The Code That Never Gets Thrown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EF5E7"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The Policy Executor written in Week 3 of V1 is the same Policy Executor running in V3 production. It gets more configurable, more observable, and more tested — but the core runtime decision logic is permanent. This is the architectural principle that justifies writing it carefully in V1. Every shortcut taken in Week 3 becomes technical debt in Month 18.</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p>
      <w:pPr>
        <w:pStyle w:val="Heading1"/>
        <w:spacing w:before="440" w:after="160"/>
      </w:pPr>
      <w:r>
        <w:rPr>
          <w:rFonts w:ascii="Arial" w:cs="Arial" w:eastAsia="Arial" w:hAnsi="Arial"/>
          <w:b/>
          <w:bCs/>
          <w:i w:val="false"/>
          <w:iCs w:val="false"/>
          <w:color w:val="0D1B2A"/>
          <w:sz w:val="34"/>
          <w:szCs w:val="34"/>
        </w:rPr>
        <w:t xml:space="preserve">6.  Competitive Landscape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600"/>
        <w:gridCol w:w="1200"/>
        <w:gridCol w:w="2160"/>
      </w:tblGrid>
      <w:tr>
        <w:tc>
          <w:tcPr>
            <w:tcW w:type="dxa" w:w="16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Competitor</w:t>
            </w:r>
          </w:p>
        </w:tc>
        <w:tc>
          <w:tcPr>
            <w:tcW w:type="dxa" w:w="14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Category</w:t>
            </w:r>
          </w:p>
        </w:tc>
        <w:tc>
          <w:tcPr>
            <w:tcW w:type="dxa" w:w="12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Price</w:t>
            </w:r>
          </w:p>
        </w:tc>
        <w:tc>
          <w:tcPr>
            <w:tcW w:type="dxa" w:w="12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Edge Autonomy</w:t>
            </w:r>
          </w:p>
        </w:tc>
        <w:tc>
          <w:tcPr>
            <w:tcW w:type="dxa" w:w="16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Adaptive Orchestration</w:t>
            </w:r>
          </w:p>
        </w:tc>
        <w:tc>
          <w:tcPr>
            <w:tcW w:type="dxa" w:w="12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SME Accessible</w:t>
            </w:r>
          </w:p>
        </w:tc>
        <w:tc>
          <w:tcPr>
            <w:tcW w:type="dxa" w:w="216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Our Advantage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Siemens MindSphere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Enterprise IIoT</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£50K+/year</w:t>
            </w:r>
          </w:p>
        </w:tc>
        <w:tc>
          <w:tcPr>
            <w:tcW w:type="dxa" w:w="1200"/>
            <w:tcBorders>
              <w:top w:val="single" w:color="CCCCCC" w:sz="4"/>
              <w:left w:val="single" w:color="CCCCCC" w:sz="4"/>
              <w:bottom w:val="single" w:color="CCCCCC" w:sz="4"/>
              <w:right w:val="single" w:color="CCCCCC" w:sz="4"/>
            </w:tcBorders>
            <w:shd w:fill="FEFCE8"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Partial</w:t>
            </w:r>
          </w:p>
        </w:tc>
        <w:tc>
          <w:tcPr>
            <w:tcW w:type="dxa" w:w="16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Static</w:t>
            </w:r>
          </w:p>
        </w:tc>
        <w:tc>
          <w:tcPr>
            <w:tcW w:type="dxa" w:w="12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Enterprise only</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10x cheaper, works offline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GE Predix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Enterprise IIoT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£100K+/year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Limited</w:t>
            </w:r>
          </w:p>
        </w:tc>
        <w:tc>
          <w:tcPr>
            <w:tcW w:type="dxa" w:w="16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Static</w:t>
            </w:r>
          </w:p>
        </w:tc>
        <w:tc>
          <w:tcPr>
            <w:tcW w:type="dxa" w:w="12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Enterprise only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100x cheaper, no vendor lock-in</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IoT Greengrass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Developer platform</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Pay-per-use</w:t>
            </w:r>
          </w:p>
        </w:tc>
        <w:tc>
          <w:tcPr>
            <w:tcW w:type="dxa" w:w="12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Yes</w:t>
            </w:r>
          </w:p>
        </w:tc>
        <w:tc>
          <w:tcPr>
            <w:tcW w:type="dxa" w:w="16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Static rules</w:t>
            </w:r>
          </w:p>
        </w:tc>
        <w:tc>
          <w:tcPr>
            <w:tcW w:type="dxa" w:w="1200"/>
            <w:tcBorders>
              <w:top w:val="single" w:color="CCCCCC" w:sz="4"/>
              <w:left w:val="single" w:color="CCCCCC" w:sz="4"/>
              <w:bottom w:val="single" w:color="CCCCCC" w:sz="4"/>
              <w:right w:val="single" w:color="CCCCCC" w:sz="4"/>
            </w:tcBorders>
            <w:shd w:fill="FEFCE8"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Requires AWS expertise</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Adaptive logic, lower expertise barrier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Azure IoT Edge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Developer platform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Pay-per-use</w:t>
            </w:r>
          </w:p>
        </w:tc>
        <w:tc>
          <w:tcPr>
            <w:tcW w:type="dxa" w:w="12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Yes</w:t>
            </w:r>
          </w:p>
        </w:tc>
        <w:tc>
          <w:tcPr>
            <w:tcW w:type="dxa" w:w="16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Static</w:t>
            </w:r>
          </w:p>
        </w:tc>
        <w:tc>
          <w:tcPr>
            <w:tcW w:type="dxa" w:w="1200"/>
            <w:tcBorders>
              <w:top w:val="single" w:color="CCCCCC" w:sz="4"/>
              <w:left w:val="single" w:color="CCCCCC" w:sz="4"/>
              <w:bottom w:val="single" w:color="CCCCCC" w:sz="4"/>
              <w:right w:val="single" w:color="CCCCCC" w:sz="4"/>
            </w:tcBorders>
            <w:shd w:fill="FEFCE8"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Requires Azure expertise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Platform-agnostic, adaptive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Bosch IoT Suite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Industrial IoT</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£20K+/year</w:t>
            </w:r>
          </w:p>
        </w:tc>
        <w:tc>
          <w:tcPr>
            <w:tcW w:type="dxa" w:w="1200"/>
            <w:tcBorders>
              <w:top w:val="single" w:color="CCCCCC" w:sz="4"/>
              <w:left w:val="single" w:color="CCCCCC" w:sz="4"/>
              <w:bottom w:val="single" w:color="CCCCCC" w:sz="4"/>
              <w:right w:val="single" w:color="CCCCCC" w:sz="4"/>
            </w:tcBorders>
            <w:shd w:fill="FEFCE8"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Partial</w:t>
            </w:r>
          </w:p>
        </w:tc>
        <w:tc>
          <w:tcPr>
            <w:tcW w:type="dxa" w:w="16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Static</w:t>
            </w:r>
          </w:p>
        </w:tc>
        <w:tc>
          <w:tcPr>
            <w:tcW w:type="dxa" w:w="12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SME-difficult</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Simpler, adaptive, cheaper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 build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DIY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Engineering cost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Varies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Custom</w:t>
            </w:r>
          </w:p>
        </w:tc>
        <w:tc>
          <w:tcPr>
            <w:tcW w:type="dxa" w:w="1200"/>
            <w:tcBorders>
              <w:top w:val="single" w:color="CCCCCC" w:sz="4"/>
              <w:left w:val="single" w:color="CCCCCC" w:sz="4"/>
              <w:bottom w:val="single" w:color="CCCCCC" w:sz="4"/>
              <w:right w:val="single" w:color="CCCCCC" w:sz="4"/>
            </w:tcBorders>
            <w:shd w:fill="FDEDEC"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Requires team</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Our SaaS vs their 6-month project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AdaptiveOrchestrator</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Edge-native SaaS</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£199–499/mo</w:t>
            </w:r>
          </w:p>
        </w:tc>
        <w:tc>
          <w:tcPr>
            <w:tcW w:type="dxa" w:w="12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Yes</w:t>
            </w:r>
          </w:p>
        </w:tc>
        <w:tc>
          <w:tcPr>
            <w:tcW w:type="dxa" w:w="16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Runtime adaptive</w:t>
            </w:r>
          </w:p>
        </w:tc>
        <w:tc>
          <w:tcPr>
            <w:tcW w:type="dxa" w:w="1200"/>
            <w:tcBorders>
              <w:top w:val="single" w:color="CCCCCC" w:sz="4"/>
              <w:left w:val="single" w:color="CCCCCC" w:sz="4"/>
              <w:bottom w:val="single" w:color="CCCCCC" w:sz="4"/>
              <w:right w:val="single" w:color="CCCCCC" w:sz="4"/>
            </w:tcBorders>
            <w:shd w:fill="E9F7E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 Yes — designed for SME</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Only runtime-adaptive, SME-priced platform</w:t>
            </w:r>
          </w:p>
        </w:tc>
      </w:tr>
    </w:tbl>
    <w:p>
      <w:pPr>
        <w:spacing w:before="8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8"/>
              <w:bottom w:val="none" w:color="FFFFFF" w:sz="0"/>
              <w:right w:val="none" w:color="FFFFFF" w:sz="0"/>
            </w:tcBorders>
            <w:shd w:fill="F5EEF8" w:val="clear"/>
            <w:tcMar>
              <w:top w:type="dxa" w:w="140"/>
              <w:left w:type="dxa" w:w="220"/>
              <w:bottom w:type="dxa" w:w="140"/>
              <w:right w:type="dxa" w:w="180"/>
            </w:tcMar>
          </w:tcPr>
          <w:p>
            <w:pPr>
              <w:spacing w:before="0" w:after="80"/>
            </w:pPr>
            <w:r>
              <w:rPr>
                <w:rFonts w:ascii="Arial" w:cs="Arial" w:eastAsia="Arial" w:hAnsi="Arial"/>
                <w:b/>
                <w:bCs/>
                <w:i w:val="false"/>
                <w:iCs w:val="false"/>
                <w:color w:val="6C3483"/>
                <w:sz w:val="21"/>
                <w:szCs w:val="21"/>
              </w:rPr>
              <w:t xml:space="preserve">Our Defensible Moat</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The runtime-adaptive orchestration algorithm is novel — validated by systematic literature review of 9 IEEE papers. No competitor does this.</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Edge-first design means our system works when competitors' systems fail. That is a sales conversation, not a feature comparison.</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Data flywheel: every customer deployment generates more training data, improving models for all customers. Gets better at scale.</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Academic foundation: peer-reviewed publication creates credibility that no amount of marketing budget can buy for a startup.</w:t>
            </w:r>
          </w:p>
          <w:p>
            <w:pPr>
              <w:pStyle w:val="ListParagraph"/>
              <w:numPr>
                <w:ilvl w:val="0"/>
                <w:numId w:val="2"/>
              </w:numPr>
              <w:spacing w:before="40" w:after="40" w:line="290"/>
            </w:pPr>
            <w:r>
              <w:rPr>
                <w:rFonts w:ascii="Arial" w:cs="Arial" w:eastAsia="Arial" w:hAnsi="Arial"/>
                <w:b w:val="false"/>
                <w:bCs w:val="false"/>
                <w:i w:val="false"/>
                <w:iCs w:val="false"/>
                <w:color w:val="566573"/>
                <w:sz w:val="20"/>
                <w:szCs w:val="20"/>
              </w:rPr>
              <w:t xml:space="preserve">Price point: we are 10–100x cheaper than enterprise competitors. The SME market is large and completely unserved.</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p>
      <w:pPr>
        <w:pStyle w:val="Heading1"/>
        <w:spacing w:before="440" w:after="160"/>
      </w:pPr>
      <w:r>
        <w:rPr>
          <w:rFonts w:ascii="Arial" w:cs="Arial" w:eastAsia="Arial" w:hAnsi="Arial"/>
          <w:b/>
          <w:bCs/>
          <w:i w:val="false"/>
          <w:iCs w:val="false"/>
          <w:color w:val="0D1B2A"/>
          <w:sz w:val="34"/>
          <w:szCs w:val="34"/>
        </w:rPr>
        <w:t xml:space="preserve">7.  Financial Projections</w:t>
      </w:r>
    </w:p>
    <w:p>
      <w:pPr>
        <w:pStyle w:val="Heading2"/>
        <w:spacing w:before="300" w:after="120"/>
      </w:pPr>
      <w:r>
        <w:rPr>
          <w:rFonts w:ascii="Arial" w:cs="Arial" w:eastAsia="Arial" w:hAnsi="Arial"/>
          <w:b/>
          <w:bCs/>
          <w:i w:val="false"/>
          <w:iCs w:val="false"/>
          <w:color w:val="1B4F8A"/>
          <w:sz w:val="27"/>
          <w:szCs w:val="27"/>
        </w:rPr>
        <w:t xml:space="preserve">7.1  Cost Structure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Cost Item</w:t>
            </w:r>
          </w:p>
        </w:tc>
        <w:tc>
          <w:tcPr>
            <w:tcW w:type="dxa" w:w="20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V1 (Months 1–2)</w:t>
            </w:r>
          </w:p>
        </w:tc>
        <w:tc>
          <w:tcPr>
            <w:tcW w:type="dxa" w:w="24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 (Months 3–8)</w:t>
            </w:r>
          </w:p>
        </w:tc>
        <w:tc>
          <w:tcPr>
            <w:tcW w:type="dxa" w:w="276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V3 (Months 9–24)</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(S3+CloudWatch+Lambda)</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&lt; £5/month</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&lt; £20/month</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£200–800/month (scales with customers)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Hardware (Jetson Nano)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(Docker sim)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£150–300 (1–2 devices)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£1,500 (10 pilot devices + spares)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Domain + hosting</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£10/month</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£50/month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Development tools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(free tier)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£0–50/month</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£200/month (GitHub Teams, etc.)</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MSK + EMR</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(not used)</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 (not used)</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£500–2,000/month (production)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Stripe billing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2.9% + 30p per transaction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First employee</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£0</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£2,500–4,000/month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Total monthly burn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&lt; £10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&lt; £400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£3,500–8,000 (pre-revenue-positive)</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2"/>
        <w:spacing w:before="300" w:after="120"/>
      </w:pPr>
      <w:r>
        <w:rPr>
          <w:rFonts w:ascii="Arial" w:cs="Arial" w:eastAsia="Arial" w:hAnsi="Arial"/>
          <w:b/>
          <w:bCs/>
          <w:i w:val="false"/>
          <w:iCs w:val="false"/>
          <w:color w:val="1B4F8A"/>
          <w:sz w:val="27"/>
          <w:szCs w:val="27"/>
        </w:rPr>
        <w:t xml:space="preserve">7.2  Revenue Projections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1600"/>
        <w:gridCol w:w="1600"/>
        <w:gridCol w:w="2960"/>
      </w:tblGrid>
      <w:tr>
        <w:tc>
          <w:tcPr>
            <w:tcW w:type="dxa" w:w="9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Month</w:t>
            </w:r>
          </w:p>
        </w:tc>
        <w:tc>
          <w:tcPr>
            <w:tcW w:type="dxa" w:w="12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Customers</w:t>
            </w:r>
          </w:p>
        </w:tc>
        <w:tc>
          <w:tcPr>
            <w:tcW w:type="dxa" w:w="20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Mix</w:t>
            </w:r>
          </w:p>
        </w:tc>
        <w:tc>
          <w:tcPr>
            <w:tcW w:type="dxa" w:w="16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MRR</w:t>
            </w:r>
          </w:p>
        </w:tc>
        <w:tc>
          <w:tcPr>
            <w:tcW w:type="dxa" w:w="160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ARR</w:t>
            </w:r>
          </w:p>
        </w:tc>
        <w:tc>
          <w:tcPr>
            <w:tcW w:type="dxa" w:w="2960"/>
            <w:tcBorders>
              <w:top w:val="single" w:color="CCCCCC" w:sz="4"/>
              <w:left w:val="single" w:color="CCCCCC" w:sz="4"/>
              <w:bottom w:val="single" w:color="CCCCCC" w:sz="4"/>
              <w:right w:val="single" w:color="CCCCCC" w:sz="4"/>
            </w:tcBorders>
            <w:shd w:fill="6C3483"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Notes</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12</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3×Starter, 2×Pro</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£1,595</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£19,140</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First paying customers — direct outreach</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7×Starter, 4×Pro, 1×Multi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£5,890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£70,680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South Asia expansion begins</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18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20</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10×Starter, 7×Pro, 3×Multi</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£10,880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£130,560</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Conference leads converting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21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12×Starter, 9×Pro, 5×Multi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£14,850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£178,200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Partner channel contributing</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Month 24</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35</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15×Starter, 12×Pro, 8×Multi</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£21,585</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£259,020</w:t>
            </w:r>
          </w:p>
        </w:tc>
        <w:tc>
          <w:tcPr>
            <w:tcW w:type="dxa" w:w="29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Series A conversation target</w:t>
            </w:r>
          </w:p>
        </w:tc>
      </w:tr>
    </w:tbl>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8"/>
              <w:bottom w:val="none" w:color="FFFFFF" w:sz="0"/>
              <w:right w:val="none" w:color="FFFFFF" w:sz="0"/>
            </w:tcBorders>
            <w:shd w:fill="F5EEF8"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66573"/>
                <w:sz w:val="20"/>
                <w:szCs w:val="20"/>
              </w:rPr>
              <w:t xml:space="preserve">These projections assume zero paid marketing — direct outreach and conference presence only. Series A investors typically want to see £300K+ ARR with 3x year-over-year growth and strong retention (NRR &gt; 110%). Month 24 puts us in the Series A conversation. The raise funds the marketing and sales team that drives the next 3x.</w:t>
            </w:r>
          </w:p>
        </w:tc>
      </w:tr>
    </w:tbl>
    <w:p>
      <w:pPr>
        <w:spacing w:before="80" w:after="0"/>
      </w:pPr>
      <w:r>
        <w:rPr>
          <w:rFonts w:ascii="Arial" w:cs="Arial" w:eastAsia="Arial" w:hAnsi="Arial"/>
          <w:b w:val="false"/>
          <w:bCs w:val="false"/>
          <w:i w:val="false"/>
          <w:iCs w:val="false"/>
          <w:color w:val="0D0D0D"/>
          <w:sz w:val="22"/>
          <w:szCs w:val="22"/>
        </w:rPr>
        <w:t xml:space="preserve"/>
      </w:r>
    </w:p>
    <w:p>
      <w:r>
        <w:br w:type="page"/>
      </w:r>
    </w:p>
    <w:p>
      <w:pPr>
        <w:pStyle w:val="Heading1"/>
        <w:spacing w:before="440" w:after="160"/>
      </w:pPr>
      <w:r>
        <w:rPr>
          <w:rFonts w:ascii="Arial" w:cs="Arial" w:eastAsia="Arial" w:hAnsi="Arial"/>
          <w:b/>
          <w:bCs/>
          <w:i w:val="false"/>
          <w:iCs w:val="false"/>
          <w:color w:val="0D1B2A"/>
          <w:sz w:val="34"/>
          <w:szCs w:val="34"/>
        </w:rPr>
        <w:t xml:space="preserve">8.  Risk Register —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800"/>
        <w:gridCol w:w="800"/>
        <w:gridCol w:w="5000"/>
      </w:tblGrid>
      <w:tr>
        <w:tc>
          <w:tcPr>
            <w:tcW w:type="dxa" w:w="36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Risk</w:t>
            </w:r>
          </w:p>
        </w:tc>
        <w:tc>
          <w:tcPr>
            <w:tcW w:type="dxa" w:w="8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Phase</w:t>
            </w:r>
          </w:p>
        </w:tc>
        <w:tc>
          <w:tcPr>
            <w:tcW w:type="dxa" w:w="8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Severity</w:t>
            </w:r>
          </w:p>
        </w:tc>
        <w:tc>
          <w:tcPr>
            <w:tcW w:type="dxa" w:w="5000"/>
            <w:tcBorders>
              <w:top w:val="single" w:color="CCCCCC" w:sz="4"/>
              <w:left w:val="single" w:color="CCCCCC" w:sz="4"/>
              <w:bottom w:val="single" w:color="CCCCCC" w:sz="4"/>
              <w:right w:val="single" w:color="CCCCCC" w:sz="4"/>
            </w:tcBorders>
            <w:shd w:fill="0D1B2A"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Mitigation</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R1</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Thesis not accepted — examiner rejects contribution claim</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Critical</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Scope claim precisely. Policy Executor code is evidence. Five quantified metrics leave no room for doubt.</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Integration instability prevents V1 completion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13 components only. Hard gates at Weeks 1, 3, 6. Stop and fix before proceeding.</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R3</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Spark memory pressure distorts V1 evaluation results</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WSL2 memory increased to 10GB. Spark worker limited to 1GB. Results disclosed in thesis methodology.</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Real sensor integration fails in V2 — OPC-UA compatibility issues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Budget 3 weeks for sensor SDK work. Have Modbus as fallback if OPC-UA problematic.</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R5</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Pilot customer does not materialise in V2 timeline</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Start outreach in Month 3 — 6 months before pilot target. University connections as primary channel.</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SHAP latency exceeds 500ms on real hardware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Medium</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Benchmark on Jetson Nano before committing to feature. Fallback: feature_importances_ as explanation.</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R7</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AWS costs escalate beyond free tier in V1</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Medium</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Billing alert at $10. Spark 5-minute trigger limits S3 PUTs. All heavy compute stays local.</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Competitor launches similar product during V2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Medium</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Academic paper establishes prior art. Focus on SME market which competitors ignore.</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R9</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Multi-tenancy data isolation failure in V3</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V3</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Lake Formation + IAM from Day 1 of V3. Penetration test before first paid customer.</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Series A not achievable on projected ARR</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Target non-dilutive grant funding (Innovate UK, EU Horizon) as parallel path. Bootstrap to profitability if needed.</w:t>
            </w:r>
          </w:p>
        </w:tc>
      </w:tr>
      <w:tr>
        <w:tc>
          <w:tcPr>
            <w:tcW w:type="dxa" w:w="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R11</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Founder bandwidth — thesis + startup simultaneously</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V1–V2</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High</w:t>
            </w:r>
          </w:p>
        </w:tc>
        <w:tc>
          <w:tcPr>
            <w:tcW w:type="dxa" w:w="5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V1 is explicitly the startup foundation. No wasted effort. Thesis and startup are the same work.</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Edge hardware supply chain issues (Jetson Nano shortage)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V2–V3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Medium</w:t>
            </w:r>
          </w:p>
        </w:tc>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0D0D0D"/>
                <w:sz w:val="19"/>
                <w:szCs w:val="19"/>
              </w:rPr>
              <w:t xml:space="preserve">Raspberry Pi 4 as backup hardware. Architecture is hardware-agnostic by V2 design.</w:t>
            </w:r>
          </w:p>
        </w:tc>
      </w:tr>
    </w:tbl>
    <w:p>
      <w:pPr>
        <w:spacing w:before="80" w:after="0"/>
      </w:pPr>
      <w:r>
        <w:rPr>
          <w:rFonts w:ascii="Arial" w:cs="Arial" w:eastAsia="Arial" w:hAnsi="Arial"/>
          <w:b w:val="false"/>
          <w:bCs w:val="false"/>
          <w:i w:val="false"/>
          <w:iCs w:val="false"/>
          <w:color w:val="0D0D0D"/>
          <w:sz w:val="22"/>
          <w:szCs w:val="22"/>
        </w:rPr>
        <w:t xml:space="preserve"/>
      </w:r>
    </w:p>
    <w:p>
      <w:pPr>
        <w:pStyle w:val="Heading1"/>
        <w:spacing w:before="440" w:after="160"/>
      </w:pPr>
      <w:r>
        <w:rPr>
          <w:rFonts w:ascii="Arial" w:cs="Arial" w:eastAsia="Arial" w:hAnsi="Arial"/>
          <w:b/>
          <w:bCs/>
          <w:i w:val="false"/>
          <w:iCs w:val="false"/>
          <w:color w:val="0D1B2A"/>
          <w:sz w:val="34"/>
          <w:szCs w:val="34"/>
        </w:rPr>
        <w:t xml:space="preserve">9.  The Founding Narrative</w:t>
      </w:r>
    </w:p>
    <w:p>
      <w:pPr>
        <w:spacing w:before="60" w:after="100" w:line="320"/>
        <w:jc w:val="both"/>
      </w:pPr>
      <w:r>
        <w:rPr>
          <w:rFonts w:ascii="Arial" w:cs="Arial" w:eastAsia="Arial" w:hAnsi="Arial"/>
          <w:b w:val="false"/>
          <w:bCs w:val="false"/>
          <w:i w:val="false"/>
          <w:iCs w:val="false"/>
          <w:color w:val="0D0D0D"/>
          <w:sz w:val="22"/>
          <w:szCs w:val="22"/>
        </w:rPr>
        <w:t xml:space="preserve">Every investor, every customer, and every potential co-founder will ask the same question: why you, why this, why now?</w:t>
      </w:r>
    </w:p>
    <w:p>
      <w:pPr>
        <w:spacing w:before="60" w:after="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2"/>
              <w:left w:val="single" w:color="6C3483" w:sz="14"/>
              <w:bottom w:val="single" w:color="6C3483" w:sz="2"/>
              <w:right w:val="single" w:color="6C3483" w:sz="2"/>
            </w:tcBorders>
            <w:shd w:fill="0A0F1A" w:val="clear"/>
            <w:tcMar>
              <w:top w:type="dxa" w:w="160"/>
              <w:left w:type="dxa" w:w="220"/>
              <w:bottom w:type="dxa" w:w="160"/>
              <w:right w:type="dxa" w:w="220"/>
            </w:tcMar>
          </w:tcPr>
          <w:p>
            <w:pPr>
              <w:spacing w:before="14" w:after="14"/>
            </w:pPr>
            <w:r>
              <w:rPr>
                <w:rFonts w:ascii="Courier New" w:cs="Courier New" w:eastAsia="Courier New" w:hAnsi="Courier New"/>
                <w:b w:val="false"/>
                <w:bCs w:val="false"/>
                <w:color w:val="7FDBFF"/>
                <w:sz w:val="17"/>
                <w:szCs w:val="17"/>
              </w:rPr>
              <w:t xml:space="preserve">  WHY THIS PROBLEM:</w:t>
            </w:r>
          </w:p>
          <w:p>
            <w:pPr>
              <w:spacing w:before="14" w:after="14"/>
            </w:pPr>
            <w:r>
              <w:rPr>
                <w:rFonts w:ascii="Courier New" w:cs="Courier New" w:eastAsia="Courier New" w:hAnsi="Courier New"/>
                <w:b w:val="false"/>
                <w:bCs w:val="false"/>
                <w:color w:val="7FDBFF"/>
                <w:sz w:val="17"/>
                <w:szCs w:val="17"/>
              </w:rPr>
              <w:t xml:space="preserve">  72% of industrial manufacturers cannot afford enterprise IIoT platforms.</w:t>
            </w:r>
          </w:p>
          <w:p>
            <w:pPr>
              <w:spacing w:before="14" w:after="14"/>
            </w:pPr>
            <w:r>
              <w:rPr>
                <w:rFonts w:ascii="Courier New" w:cs="Courier New" w:eastAsia="Courier New" w:hAnsi="Courier New"/>
                <w:b w:val="false"/>
                <w:bCs w:val="false"/>
                <w:color w:val="7FDBFF"/>
                <w:sz w:val="17"/>
                <w:szCs w:val="17"/>
              </w:rPr>
              <w:t xml:space="preserve">  Every one of them has sensors. Every one of them has connectivity problems.</w:t>
            </w:r>
          </w:p>
          <w:p>
            <w:pPr>
              <w:spacing w:before="14" w:after="14"/>
            </w:pPr>
            <w:r>
              <w:rPr>
                <w:rFonts w:ascii="Courier New" w:cs="Courier New" w:eastAsia="Courier New" w:hAnsi="Courier New"/>
                <w:b w:val="false"/>
                <w:bCs w:val="false"/>
                <w:color w:val="7FDBFF"/>
                <w:sz w:val="17"/>
                <w:szCs w:val="17"/>
              </w:rPr>
              <w:t xml:space="preserve">  Not one of them has anomaly detection that keeps working when the internet goes down.</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WHY YOU:</w:t>
            </w:r>
          </w:p>
          <w:p>
            <w:pPr>
              <w:spacing w:before="14" w:after="14"/>
            </w:pPr>
            <w:r>
              <w:rPr>
                <w:rFonts w:ascii="Courier New" w:cs="Courier New" w:eastAsia="Courier New" w:hAnsi="Courier New"/>
                <w:b w:val="false"/>
                <w:bCs w:val="false"/>
                <w:color w:val="7FDBFF"/>
                <w:sz w:val="17"/>
                <w:szCs w:val="17"/>
              </w:rPr>
              <w:t xml:space="preserve">  Ajith built and proved the core technology as part of a peer-reviewed M.Sc. thesis.</w:t>
            </w:r>
          </w:p>
          <w:p>
            <w:pPr>
              <w:spacing w:before="14" w:after="14"/>
            </w:pPr>
            <w:r>
              <w:rPr>
                <w:rFonts w:ascii="Courier New" w:cs="Courier New" w:eastAsia="Courier New" w:hAnsi="Courier New"/>
                <w:b w:val="false"/>
                <w:bCs w:val="false"/>
                <w:color w:val="7FDBFF"/>
                <w:sz w:val="17"/>
                <w:szCs w:val="17"/>
              </w:rPr>
              <w:t xml:space="preserve">  Not a side project. Not a prototype. A systematically validated research contribution</w:t>
            </w:r>
          </w:p>
          <w:p>
            <w:pPr>
              <w:spacing w:before="14" w:after="14"/>
            </w:pPr>
            <w:r>
              <w:rPr>
                <w:rFonts w:ascii="Courier New" w:cs="Courier New" w:eastAsia="Courier New" w:hAnsi="Courier New"/>
                <w:b w:val="false"/>
                <w:bCs w:val="false"/>
                <w:color w:val="7FDBFF"/>
                <w:sz w:val="17"/>
                <w:szCs w:val="17"/>
              </w:rPr>
              <w:t xml:space="preserve">  with five quantified evaluation metrics and a literature review proving no one else</w:t>
            </w:r>
          </w:p>
          <w:p>
            <w:pPr>
              <w:spacing w:before="14" w:after="14"/>
            </w:pPr>
            <w:r>
              <w:rPr>
                <w:rFonts w:ascii="Courier New" w:cs="Courier New" w:eastAsia="Courier New" w:hAnsi="Courier New"/>
                <w:b w:val="false"/>
                <w:bCs w:val="false"/>
                <w:color w:val="7FDBFF"/>
                <w:sz w:val="17"/>
                <w:szCs w:val="17"/>
              </w:rPr>
              <w:t xml:space="preserve">  has solved this problem. That is the strongest possible technical foundation.</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WHY NOW:</w:t>
            </w:r>
          </w:p>
          <w:p>
            <w:pPr>
              <w:spacing w:before="14" w:after="14"/>
            </w:pPr>
            <w:r>
              <w:rPr>
                <w:rFonts w:ascii="Courier New" w:cs="Courier New" w:eastAsia="Courier New" w:hAnsi="Courier New"/>
                <w:b w:val="false"/>
                <w:bCs w:val="false"/>
                <w:color w:val="7FDBFF"/>
                <w:sz w:val="17"/>
                <w:szCs w:val="17"/>
              </w:rPr>
              <w:t xml:space="preserve">  Industrial IoT is growing at 23% CAGR. Edge computing is finally cheap enough</w:t>
            </w:r>
          </w:p>
          <w:p>
            <w:pPr>
              <w:spacing w:before="14" w:after="14"/>
            </w:pPr>
            <w:r>
              <w:rPr>
                <w:rFonts w:ascii="Courier New" w:cs="Courier New" w:eastAsia="Courier New" w:hAnsi="Courier New"/>
                <w:b w:val="false"/>
                <w:bCs w:val="false"/>
                <w:color w:val="7FDBFF"/>
                <w:sz w:val="17"/>
                <w:szCs w:val="17"/>
              </w:rPr>
              <w:t xml:space="preserve">  (Jetson Nano at £150). Cloud costs are finally visible enough that manufacturers</w:t>
            </w:r>
          </w:p>
          <w:p>
            <w:pPr>
              <w:spacing w:before="14" w:after="14"/>
            </w:pPr>
            <w:r>
              <w:rPr>
                <w:rFonts w:ascii="Courier New" w:cs="Courier New" w:eastAsia="Courier New" w:hAnsi="Courier New"/>
                <w:b w:val="false"/>
                <w:bCs w:val="false"/>
                <w:color w:val="7FDBFF"/>
                <w:sz w:val="17"/>
                <w:szCs w:val="17"/>
              </w:rPr>
              <w:t xml:space="preserve">  are looking for alternatives. The timing has never been better.</w:t>
            </w:r>
          </w:p>
          <w:p>
            <w:pPr>
              <w:spacing w:before="14" w:after="14"/>
            </w:pPr>
            <w:r>
              <w:rPr>
                <w:rFonts w:ascii="Courier New" w:cs="Courier New" w:eastAsia="Courier New" w:hAnsi="Courier New"/>
                <w:b w:val="false"/>
                <w:bCs w:val="false"/>
                <w:color w:val="7FDBFF"/>
                <w:sz w:val="17"/>
                <w:szCs w:val="17"/>
              </w:rPr>
              <w:t xml:space="preserve">  </w:t>
            </w:r>
          </w:p>
          <w:p>
            <w:pPr>
              <w:spacing w:before="14" w:after="14"/>
            </w:pPr>
            <w:r>
              <w:rPr>
                <w:rFonts w:ascii="Courier New" w:cs="Courier New" w:eastAsia="Courier New" w:hAnsi="Courier New"/>
                <w:b w:val="false"/>
                <w:bCs w:val="false"/>
                <w:color w:val="7FDBFF"/>
                <w:sz w:val="17"/>
                <w:szCs w:val="17"/>
              </w:rPr>
              <w:t xml:space="preserve">  THE ONE THING WE DO BETTER THAN ANYONE ELSE:</w:t>
            </w:r>
          </w:p>
          <w:p>
            <w:pPr>
              <w:spacing w:before="14" w:after="14"/>
            </w:pPr>
            <w:r>
              <w:rPr>
                <w:rFonts w:ascii="Courier New" w:cs="Courier New" w:eastAsia="Courier New" w:hAnsi="Courier New"/>
                <w:b w:val="false"/>
                <w:bCs w:val="false"/>
                <w:color w:val="7FDBFF"/>
                <w:sz w:val="17"/>
                <w:szCs w:val="17"/>
              </w:rPr>
              <w:t xml:space="preserve">  Our system keeps detecting anomalies when the internet goes down.</w:t>
            </w:r>
          </w:p>
          <w:p>
            <w:pPr>
              <w:spacing w:before="14" w:after="14"/>
            </w:pPr>
            <w:r>
              <w:rPr>
                <w:rFonts w:ascii="Courier New" w:cs="Courier New" w:eastAsia="Courier New" w:hAnsi="Courier New"/>
                <w:b w:val="false"/>
                <w:bCs w:val="false"/>
                <w:color w:val="7FDBFF"/>
                <w:sz w:val="17"/>
                <w:szCs w:val="17"/>
              </w:rPr>
              <w:t xml:space="preserve">  No competitor can say that. We can prove it.</w:t>
            </w:r>
          </w:p>
        </w:tc>
      </w:tr>
    </w:tbl>
    <w:p>
      <w:pPr>
        <w:spacing w:before="80" w:after="0"/>
      </w:pPr>
      <w:r>
        <w:rPr>
          <w:rFonts w:ascii="Arial" w:cs="Arial" w:eastAsia="Arial" w:hAnsi="Arial"/>
          <w:b w:val="false"/>
          <w:bCs w:val="false"/>
          <w:i w:val="false"/>
          <w:iCs w:val="false"/>
          <w:color w:val="0D0D0D"/>
          <w:sz w:val="22"/>
          <w:szCs w:val="22"/>
        </w:rPr>
        <w:t xml:space="preserve"/>
      </w:r>
    </w:p>
    <w:p>
      <w:pPr>
        <w:pBdr>
          <w:bottom w:val="single" w:color="C0392B" w:sz="10" w:space="1"/>
        </w:pBdr>
        <w:spacing w:before="180" w:after="180"/>
      </w:pPr>
      <w:r>
        <w:rPr>
          <w:rFonts w:ascii="Arial" w:cs="Arial" w:eastAsia="Arial" w:hAnsi="Arial"/>
          <w:b w:val="false"/>
          <w:bCs w:val="false"/>
          <w:i w:val="false"/>
          <w:iCs w:val="false"/>
          <w:color w:val="0D0D0D"/>
          <w:sz w:val="22"/>
          <w:szCs w:val="22"/>
        </w:rPr>
        <w:t xml:space="preserve"/>
      </w:r>
    </w:p>
    <w:p>
      <w:pPr>
        <w:spacing w:before="80" w:after="0"/>
      </w:pPr>
      <w:r>
        <w:rPr>
          <w:rFonts w:ascii="Arial" w:cs="Arial" w:eastAsia="Arial" w:hAnsi="Arial"/>
          <w:b w:val="false"/>
          <w:bCs w:val="false"/>
          <w:i w:val="false"/>
          <w:iCs w:val="false"/>
          <w:color w:val="0D0D0D"/>
          <w:sz w:val="22"/>
          <w:szCs w:val="22"/>
        </w:rPr>
        <w:t xml:space="preserve"/>
      </w:r>
    </w:p>
    <w:p>
      <w:pPr>
        <w:spacing w:before="0" w:after="60"/>
        <w:jc w:val="center"/>
      </w:pPr>
      <w:r>
        <w:rPr>
          <w:rFonts w:ascii="Arial" w:cs="Arial" w:eastAsia="Arial" w:hAnsi="Arial"/>
          <w:b/>
          <w:bCs/>
          <w:i w:val="false"/>
          <w:iCs w:val="false"/>
          <w:color w:val="0D1B2A"/>
          <w:sz w:val="26"/>
          <w:szCs w:val="26"/>
        </w:rPr>
        <w:t xml:space="preserve">The thesis proves the technology.</w:t>
      </w:r>
    </w:p>
    <w:p>
      <w:pPr>
        <w:spacing w:before="0" w:after="60"/>
        <w:jc w:val="center"/>
      </w:pPr>
      <w:r>
        <w:rPr>
          <w:rFonts w:ascii="Arial" w:cs="Arial" w:eastAsia="Arial" w:hAnsi="Arial"/>
          <w:b/>
          <w:bCs/>
          <w:i w:val="false"/>
          <w:iCs w:val="false"/>
          <w:color w:val="117A65"/>
          <w:sz w:val="26"/>
          <w:szCs w:val="26"/>
        </w:rPr>
        <w:t xml:space="preserve">The product delivers the technology.</w:t>
      </w:r>
    </w:p>
    <w:p>
      <w:pPr>
        <w:spacing w:before="0" w:after="80"/>
        <w:jc w:val="center"/>
      </w:pPr>
      <w:r>
        <w:rPr>
          <w:rFonts w:ascii="Arial" w:cs="Arial" w:eastAsia="Arial" w:hAnsi="Arial"/>
          <w:b/>
          <w:bCs/>
          <w:i w:val="false"/>
          <w:iCs w:val="false"/>
          <w:color w:val="6C3483"/>
          <w:sz w:val="26"/>
          <w:szCs w:val="26"/>
        </w:rPr>
        <w:t xml:space="preserve">The startup scales the technology.</w:t>
      </w:r>
    </w:p>
    <w:p>
      <w:pPr>
        <w:pBdr>
          <w:bottom w:val="single" w:color="BFC9CA" w:sz="2" w:space="1"/>
        </w:pBdr>
        <w:spacing w:before="80" w:after="80"/>
      </w:pPr>
      <w:r>
        <w:rPr>
          <w:rFonts w:ascii="Arial" w:cs="Arial" w:eastAsia="Arial" w:hAnsi="Arial"/>
          <w:b w:val="false"/>
          <w:bCs w:val="false"/>
          <w:i w:val="false"/>
          <w:iCs w:val="false"/>
          <w:color w:val="0D0D0D"/>
          <w:sz w:val="22"/>
          <w:szCs w:val="22"/>
        </w:rPr>
        <w:t xml:space="preserve"/>
      </w:r>
    </w:p>
    <w:p>
      <w:pPr>
        <w:spacing w:before="40" w:after="0"/>
      </w:pPr>
      <w:r>
        <w:rPr>
          <w:rFonts w:ascii="Arial" w:cs="Arial" w:eastAsia="Arial" w:hAnsi="Arial"/>
          <w:b w:val="false"/>
          <w:bCs w:val="false"/>
          <w:i w:val="false"/>
          <w:iCs w:val="false"/>
          <w:color w:val="0D0D0D"/>
          <w:sz w:val="22"/>
          <w:szCs w:val="22"/>
        </w:rPr>
        <w:t xml:space="preserve"/>
      </w:r>
    </w:p>
    <w:p>
      <w:pPr>
        <w:spacing w:before="0" w:after="40"/>
        <w:jc w:val="center"/>
      </w:pPr>
      <w:r>
        <w:rPr>
          <w:rFonts w:ascii="Arial" w:cs="Arial" w:eastAsia="Arial" w:hAnsi="Arial"/>
          <w:b w:val="false"/>
          <w:bCs w:val="false"/>
          <w:i/>
          <w:iCs/>
          <w:color w:val="AAAAAA"/>
          <w:sz w:val="18"/>
          <w:szCs w:val="18"/>
        </w:rPr>
        <w:t xml:space="preserve">AdaptiveOrchestrator  |  Ajith Kumara  |  Founder &amp; CTO  |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before="80"/>
      <w:jc w:val="center"/>
    </w:pPr>
    <w:r>
      <w:rPr>
        <w:rFonts w:ascii="Arial" w:cs="Arial" w:eastAsia="Arial" w:hAnsi="Arial"/>
        <w:b w:val="false"/>
        <w:bCs w:val="false"/>
        <w:i w:val="false"/>
        <w:iCs w:val="false"/>
        <w:color w:val="888888"/>
        <w:sz w:val="16"/>
        <w:szCs w:val="16"/>
      </w:rPr>
      <w:t xml:space="preserve">Ajith Kumara  |  Founder &amp; CTO  |  AdaptiveOrchestrator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tabs>
        <w:tab w:val="right" w:pos="9360"/>
      </w:tabs>
      <w:spacing w:after="80"/>
    </w:pPr>
    <w:r>
      <w:rPr>
        <w:rFonts w:ascii="Arial" w:cs="Arial" w:eastAsia="Arial" w:hAnsi="Arial"/>
        <w:b/>
        <w:bCs/>
        <w:i w:val="false"/>
        <w:iCs w:val="false"/>
        <w:color w:val="1B4F8A"/>
        <w:sz w:val="18"/>
        <w:szCs w:val="18"/>
      </w:rPr>
      <w:t xml:space="preserve">AdaptiveOrchestrator — Product Roadmap</w:t>
    </w:r>
    <w:r>
      <w:rPr>
        <w:rFonts w:ascii="Arial" w:cs="Arial" w:eastAsia="Arial" w:hAnsi="Arial"/>
        <w:b w:val="false"/>
        <w:bCs w:val="false"/>
        <w:i w:val="false"/>
        <w:iCs w:val="false"/>
        <w:color w:val="0D0D0D"/>
        <w:sz w:val="22"/>
        <w:szCs w:val="22"/>
      </w:rPr>
      <w:t xml:space="preserve">	</w:t>
    </w:r>
    <w:r>
      <w:rPr>
        <w:rFonts w:ascii="Arial" w:cs="Arial" w:eastAsia="Arial" w:hAnsi="Arial"/>
        <w:b w:val="false"/>
        <w:bCs w:val="false"/>
        <w:i w:val="false"/>
        <w:iCs w:val="false"/>
        <w:color w:val="888888"/>
        <w:sz w:val="16"/>
        <w:szCs w:val="16"/>
      </w:rPr>
      <w:t xml:space="preserve">Confidential  |  Version 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D1B2A"/>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B4F8A"/>
      <w:sz w:val="27"/>
      <w:szCs w:val="27"/>
    </w:rPr>
  </w:style>
  <w:style w:type="paragraph" w:styleId="Heading3">
    <w:name w:val="Heading 3"/>
    <w:basedOn w:val="Normal"/>
    <w:next w:val="Normal"/>
    <w:qFormat/>
    <w:pPr>
      <w:spacing w:before="220" w:after="90"/>
      <w:outlineLvl w:val="2"/>
    </w:pPr>
    <w:rPr>
      <w:rFonts w:ascii="Arial" w:cs="Arial" w:eastAsia="Arial" w:hAnsi="Arial"/>
      <w:b/>
      <w:bCs/>
      <w:color w:val="117A65"/>
      <w:sz w:val="23"/>
      <w:szCs w:val="23"/>
    </w:rPr>
  </w:style>
  <w:style w:type="paragraph" w:styleId="Heading4">
    <w:name w:val="Heading 4"/>
    <w:basedOn w:val="Normal"/>
    <w:next w:val="Normal"/>
    <w:qFormat/>
    <w:pPr>
      <w:spacing w:before="160" w:after="60"/>
      <w:outlineLvl w:val="3"/>
    </w:pPr>
    <w:rPr>
      <w:rFonts w:ascii="Arial" w:cs="Arial" w:eastAsia="Arial" w:hAnsi="Arial"/>
      <w:b/>
      <w:bCs/>
      <w:color w:val="D4680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2026-02-26T17:12:53.975Z</dcterms:created>
  <dcterms:modified xsi:type="dcterms:W3CDTF">2026-02-26T17:12:53.977Z</dcterms:modified>
</cp:coreProperties>
</file>

<file path=docProps/custom.xml><?xml version="1.0" encoding="utf-8"?>
<Properties xmlns="http://schemas.openxmlformats.org/officeDocument/2006/custom-properties" xmlns:vt="http://schemas.openxmlformats.org/officeDocument/2006/docPropsVTypes"/>
</file>