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r>
        <w:rPr>
          <w:rFonts w:ascii="Arial" w:cs="Arial" w:eastAsia="Arial" w:hAnsi="Arial"/>
          <w:b w:val="false"/>
          <w:bCs w:val="false"/>
          <w:i w:val="false"/>
          <w:iCs w:val="false"/>
          <w:color w:val="111111"/>
          <w:sz w:val="22"/>
          <w:szCs w:val="22"/>
        </w:rPr>
        <w:t xml:space="preserve"/>
      </w:r>
    </w:p>
    <w:p>
      <w:pPr>
        <w:spacing w:before="0" w:after="40"/>
        <w:jc w:val="center"/>
      </w:pPr>
      <w:r>
        <w:rPr>
          <w:rFonts w:ascii="Arial" w:cs="Arial" w:eastAsia="Arial" w:hAnsi="Arial"/>
          <w:b/>
          <w:bCs/>
          <w:i w:val="false"/>
          <w:iCs w:val="false"/>
          <w:color w:val="1F3864"/>
          <w:sz w:val="52"/>
          <w:szCs w:val="52"/>
        </w:rPr>
        <w:t xml:space="preserve">PRODUCT ROADMAP</w:t>
      </w:r>
    </w:p>
    <w:p>
      <w:pPr>
        <w:pBdr>
          <w:bottom w:val="single" w:color="C55A11" w:sz="20" w:space="1"/>
        </w:pBdr>
        <w:spacing w:before="0" w:after="80"/>
        <w:jc w:val="center"/>
      </w:pPr>
      <w:r>
        <w:rPr>
          <w:rFonts w:ascii="Arial" w:cs="Arial" w:eastAsia="Arial" w:hAnsi="Arial"/>
          <w:b/>
          <w:bCs/>
          <w:i/>
          <w:iCs/>
          <w:color w:val="2E5FA3"/>
          <w:sz w:val="34"/>
          <w:szCs w:val="34"/>
        </w:rPr>
        <w:t xml:space="preserve">AdaptiveOrchestrator</w:t>
      </w:r>
    </w:p>
    <w:p>
      <w:pPr>
        <w:spacing w:before="80" w:after="0"/>
      </w:pPr>
      <w:r>
        <w:rPr>
          <w:rFonts w:ascii="Arial" w:cs="Arial" w:eastAsia="Arial" w:hAnsi="Arial"/>
          <w:b w:val="false"/>
          <w:bCs w:val="false"/>
          <w:i w:val="false"/>
          <w:iCs w:val="false"/>
          <w:color w:val="111111"/>
          <w:sz w:val="22"/>
          <w:szCs w:val="22"/>
        </w:rPr>
        <w:t xml:space="preserve"/>
      </w:r>
    </w:p>
    <w:p>
      <w:pPr>
        <w:spacing w:before="0" w:after="40"/>
        <w:jc w:val="center"/>
      </w:pPr>
      <w:r>
        <w:rPr>
          <w:rFonts w:ascii="Arial" w:cs="Arial" w:eastAsia="Arial" w:hAnsi="Arial"/>
          <w:b w:val="false"/>
          <w:bCs w:val="false"/>
          <w:i w:val="false"/>
          <w:iCs w:val="false"/>
          <w:color w:val="444444"/>
          <w:sz w:val="24"/>
          <w:szCs w:val="24"/>
        </w:rPr>
        <w:t xml:space="preserve">From Research Thesis to Industrial SaaS Platform</w:t>
      </w:r>
    </w:p>
    <w:p>
      <w:pPr>
        <w:spacing w:before="0" w:after="40"/>
        <w:jc w:val="center"/>
      </w:pPr>
      <w:r>
        <w:rPr>
          <w:rFonts w:ascii="Arial" w:cs="Arial" w:eastAsia="Arial" w:hAnsi="Arial"/>
          <w:b w:val="false"/>
          <w:bCs w:val="false"/>
          <w:i/>
          <w:iCs/>
          <w:color w:val="666666"/>
          <w:sz w:val="20"/>
          <w:szCs w:val="20"/>
        </w:rPr>
        <w:t xml:space="preserve">V1 Thesis MVP  ·  V2 Product Hardening  ·  V3 Startup Launch</w:t>
      </w:r>
    </w:p>
    <w:p>
      <w:pPr>
        <w:spacing w:before="0" w:after="220"/>
        <w:jc w:val="center"/>
      </w:pPr>
      <w:r>
        <w:rPr>
          <w:rFonts w:ascii="Arial" w:cs="Arial" w:eastAsia="Arial" w:hAnsi="Arial"/>
          <w:b w:val="false"/>
          <w:bCs w:val="false"/>
          <w:i/>
          <w:iCs/>
          <w:color w:val="C55A11"/>
          <w:sz w:val="18"/>
          <w:szCs w:val="18"/>
        </w:rPr>
        <w:t xml:space="preserve">Version 2.0 — Revised with corrected architecture philosophy, unit economics, and realistic revenue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20"/>
        <w:gridCol w:w="3020"/>
        <w:gridCol w:w="3320"/>
      </w:tblGrid>
      <w:tr>
        <w:tc>
          <w:tcPr>
            <w:tcW w:type="dxa" w:w="3020"/>
            <w:tcBorders>
              <w:top w:val="single" w:color="1A5276" w:sz="4"/>
              <w:left w:val="single" w:color="1A5276" w:sz="4"/>
              <w:bottom w:val="single" w:color="1A5276" w:sz="4"/>
              <w:right w:val="single" w:color="1A5276" w:sz="4"/>
            </w:tcBorders>
            <w:shd w:fill="1A5276" w:val="clear"/>
            <w:tcMar>
              <w:top w:type="dxa" w:w="120"/>
              <w:left w:type="dxa" w:w="160"/>
              <w:bottom w:type="dxa" w:w="120"/>
              <w:right w:type="dxa" w:w="160"/>
            </w:tcMar>
          </w:tcPr>
          <w:p>
            <w:pPr>
              <w:jc w:val="center"/>
            </w:pPr>
            <w:r>
              <w:rPr>
                <w:rFonts w:ascii="Arial" w:cs="Arial" w:eastAsia="Arial" w:hAnsi="Arial"/>
                <w:b/>
                <w:bCs/>
                <w:i w:val="false"/>
                <w:iCs w:val="false"/>
                <w:color w:val="FFFFFF"/>
                <w:sz w:val="21"/>
                <w:szCs w:val="21"/>
              </w:rPr>
              <w:t xml:space="preserve">V1 — THESIS MVP</w:t>
            </w:r>
          </w:p>
          <w:p>
            <w:pPr>
              <w:jc w:val="center"/>
            </w:pPr>
            <w:r>
              <w:rPr>
                <w:rFonts w:ascii="Arial" w:cs="Arial" w:eastAsia="Arial" w:hAnsi="Arial"/>
                <w:b w:val="false"/>
                <w:bCs w:val="false"/>
                <w:i w:val="false"/>
                <w:iCs w:val="false"/>
                <w:color w:val="CCDDEE"/>
                <w:sz w:val="17"/>
                <w:szCs w:val="17"/>
              </w:rPr>
              <w:t xml:space="preserve">Weeks 1–8 (2 months)</w:t>
            </w:r>
          </w:p>
        </w:tc>
        <w:tc>
          <w:tcPr>
            <w:tcW w:type="dxa" w:w="3020"/>
            <w:tcBorders>
              <w:top w:val="single" w:color="1E6B3C" w:sz="4"/>
              <w:left w:val="single" w:color="1E6B3C" w:sz="4"/>
              <w:bottom w:val="single" w:color="1E6B3C" w:sz="4"/>
              <w:right w:val="single" w:color="1E6B3C" w:sz="4"/>
            </w:tcBorders>
            <w:shd w:fill="1E6B3C" w:val="clear"/>
            <w:tcMar>
              <w:top w:type="dxa" w:w="120"/>
              <w:left w:type="dxa" w:w="160"/>
              <w:bottom w:type="dxa" w:w="120"/>
              <w:right w:type="dxa" w:w="160"/>
            </w:tcMar>
          </w:tcPr>
          <w:p>
            <w:pPr>
              <w:jc w:val="center"/>
            </w:pPr>
            <w:r>
              <w:rPr>
                <w:rFonts w:ascii="Arial" w:cs="Arial" w:eastAsia="Arial" w:hAnsi="Arial"/>
                <w:b/>
                <w:bCs/>
                <w:i w:val="false"/>
                <w:iCs w:val="false"/>
                <w:color w:val="FFFFFF"/>
                <w:sz w:val="21"/>
                <w:szCs w:val="21"/>
              </w:rPr>
              <w:t xml:space="preserve">V2 — PRODUCT</w:t>
            </w:r>
          </w:p>
          <w:p>
            <w:pPr>
              <w:jc w:val="center"/>
            </w:pPr>
            <w:r>
              <w:rPr>
                <w:rFonts w:ascii="Arial" w:cs="Arial" w:eastAsia="Arial" w:hAnsi="Arial"/>
                <w:b w:val="false"/>
                <w:bCs w:val="false"/>
                <w:i w:val="false"/>
                <w:iCs w:val="false"/>
                <w:color w:val="CCEECC"/>
                <w:sz w:val="17"/>
                <w:szCs w:val="17"/>
              </w:rPr>
              <w:t xml:space="preserve">Months 3–8 (6 months)</w:t>
            </w:r>
          </w:p>
        </w:tc>
        <w:tc>
          <w:tcPr>
            <w:tcW w:type="dxa" w:w="3320"/>
            <w:tcBorders>
              <w:top w:val="single" w:color="6C1E7E" w:sz="4"/>
              <w:left w:val="single" w:color="6C1E7E" w:sz="4"/>
              <w:bottom w:val="single" w:color="6C1E7E" w:sz="4"/>
              <w:right w:val="single" w:color="6C1E7E" w:sz="4"/>
            </w:tcBorders>
            <w:shd w:fill="6C1E7E" w:val="clear"/>
            <w:tcMar>
              <w:top w:type="dxa" w:w="120"/>
              <w:left w:type="dxa" w:w="160"/>
              <w:bottom w:type="dxa" w:w="120"/>
              <w:right w:type="dxa" w:w="160"/>
            </w:tcMar>
          </w:tcPr>
          <w:p>
            <w:pPr>
              <w:jc w:val="center"/>
            </w:pPr>
            <w:r>
              <w:rPr>
                <w:rFonts w:ascii="Arial" w:cs="Arial" w:eastAsia="Arial" w:hAnsi="Arial"/>
                <w:b/>
                <w:bCs/>
                <w:i w:val="false"/>
                <w:iCs w:val="false"/>
                <w:color w:val="FFFFFF"/>
                <w:sz w:val="21"/>
                <w:szCs w:val="21"/>
              </w:rPr>
              <w:t xml:space="preserve">V3 — STARTUP LAUNCH</w:t>
            </w:r>
          </w:p>
          <w:p>
            <w:pPr>
              <w:jc w:val="center"/>
            </w:pPr>
            <w:r>
              <w:rPr>
                <w:rFonts w:ascii="Arial" w:cs="Arial" w:eastAsia="Arial" w:hAnsi="Arial"/>
                <w:b w:val="false"/>
                <w:bCs w:val="false"/>
                <w:i w:val="false"/>
                <w:iCs w:val="false"/>
                <w:color w:val="DDCCEE"/>
                <w:sz w:val="17"/>
                <w:szCs w:val="17"/>
              </w:rPr>
              <w:t xml:space="preserve">Months 9–24+ (16 months)</w:t>
            </w:r>
          </w:p>
        </w:tc>
      </w:tr>
      <w:tr>
        <w:tc>
          <w:tcPr>
            <w:tcW w:type="dxa" w:w="3020"/>
            <w:tcBorders>
              <w:top w:val="single" w:color="1A5276" w:sz="4"/>
              <w:left w:val="single" w:color="1A5276" w:sz="4"/>
              <w:bottom w:val="single" w:color="1A5276" w:sz="4"/>
              <w:right w:val="single" w:color="1A5276" w:sz="4"/>
            </w:tcBorders>
            <w:shd w:fill="D6EAF8" w:val="clear"/>
            <w:tcMar>
              <w:top w:type="dxa" w:w="100"/>
              <w:left w:type="dxa" w:w="160"/>
              <w:bottom w:type="dxa" w:w="100"/>
              <w:right w:type="dxa" w:w="160"/>
            </w:tcMar>
          </w:tcPr>
          <w:p>
            <w:pPr>
              <w:pStyle w:val="ListParagraph"/>
              <w:numPr>
                <w:ilvl w:val="0"/>
                <w:numId w:val="2"/>
              </w:numPr>
              <w:spacing w:before="30" w:after="30"/>
            </w:pPr>
            <w:r>
              <w:rPr>
                <w:rFonts w:ascii="Arial" w:cs="Arial" w:eastAsia="Arial" w:hAnsi="Arial"/>
                <w:b w:val="false"/>
                <w:bCs w:val="false"/>
                <w:i w:val="false"/>
                <w:iCs w:val="false"/>
                <w:color w:val="1A5276"/>
                <w:sz w:val="18"/>
                <w:szCs w:val="18"/>
              </w:rPr>
              <w:t xml:space="preserve">Prove the research contribution</w:t>
            </w:r>
          </w:p>
          <w:p>
            <w:pPr>
              <w:pStyle w:val="ListParagraph"/>
              <w:numPr>
                <w:ilvl w:val="0"/>
                <w:numId w:val="2"/>
              </w:numPr>
              <w:spacing w:before="30" w:after="30"/>
            </w:pPr>
            <w:r>
              <w:rPr>
                <w:rFonts w:ascii="Arial" w:cs="Arial" w:eastAsia="Arial" w:hAnsi="Arial"/>
                <w:b w:val="false"/>
                <w:bCs w:val="false"/>
                <w:i w:val="false"/>
                <w:iCs w:val="false"/>
                <w:color w:val="1A5276"/>
                <w:sz w:val="18"/>
                <w:szCs w:val="18"/>
              </w:rPr>
              <w:t xml:space="preserve">Single-developer</w:t>
            </w:r>
          </w:p>
          <w:p>
            <w:pPr>
              <w:pStyle w:val="ListParagraph"/>
              <w:numPr>
                <w:ilvl w:val="0"/>
                <w:numId w:val="2"/>
              </w:numPr>
              <w:spacing w:before="30" w:after="30"/>
            </w:pPr>
            <w:r>
              <w:rPr>
                <w:rFonts w:ascii="Arial" w:cs="Arial" w:eastAsia="Arial" w:hAnsi="Arial"/>
                <w:b w:val="false"/>
                <w:bCs w:val="false"/>
                <w:i w:val="false"/>
                <w:iCs w:val="false"/>
                <w:color w:val="1A5276"/>
                <w:sz w:val="18"/>
                <w:szCs w:val="18"/>
              </w:rPr>
              <w:t xml:space="preserve">Docker-local</w:t>
            </w:r>
          </w:p>
          <w:p>
            <w:pPr>
              <w:pStyle w:val="ListParagraph"/>
              <w:numPr>
                <w:ilvl w:val="0"/>
                <w:numId w:val="2"/>
              </w:numPr>
              <w:spacing w:before="30" w:after="30"/>
            </w:pPr>
            <w:r>
              <w:rPr>
                <w:rFonts w:ascii="Arial" w:cs="Arial" w:eastAsia="Arial" w:hAnsi="Arial"/>
                <w:b w:val="false"/>
                <w:bCs w:val="false"/>
                <w:i w:val="false"/>
                <w:iCs w:val="false"/>
                <w:color w:val="1A5276"/>
                <w:sz w:val="18"/>
                <w:szCs w:val="18"/>
              </w:rPr>
              <w:t xml:space="preserve">Academic validation</w:t>
            </w:r>
          </w:p>
        </w:tc>
        <w:tc>
          <w:tcPr>
            <w:tcW w:type="dxa" w:w="3020"/>
            <w:tcBorders>
              <w:top w:val="single" w:color="1E6B3C" w:sz="4"/>
              <w:left w:val="single" w:color="1E6B3C" w:sz="4"/>
              <w:bottom w:val="single" w:color="1E6B3C" w:sz="4"/>
              <w:right w:val="single" w:color="1E6B3C" w:sz="4"/>
            </w:tcBorders>
            <w:shd w:fill="D5F5E3" w:val="clear"/>
            <w:tcMar>
              <w:top w:type="dxa" w:w="100"/>
              <w:left w:type="dxa" w:w="160"/>
              <w:bottom w:type="dxa" w:w="100"/>
              <w:right w:type="dxa" w:w="160"/>
            </w:tcMar>
          </w:tcPr>
          <w:p>
            <w:pPr>
              <w:pStyle w:val="ListParagraph"/>
              <w:numPr>
                <w:ilvl w:val="0"/>
                <w:numId w:val="2"/>
              </w:numPr>
              <w:spacing w:before="30" w:after="30"/>
            </w:pPr>
            <w:r>
              <w:rPr>
                <w:rFonts w:ascii="Arial" w:cs="Arial" w:eastAsia="Arial" w:hAnsi="Arial"/>
                <w:b w:val="false"/>
                <w:bCs w:val="false"/>
                <w:i w:val="false"/>
                <w:iCs w:val="false"/>
                <w:color w:val="1E6B3C"/>
                <w:sz w:val="18"/>
                <w:szCs w:val="18"/>
              </w:rPr>
              <w:t xml:space="preserve">Harden to production grade</w:t>
            </w:r>
          </w:p>
          <w:p>
            <w:pPr>
              <w:pStyle w:val="ListParagraph"/>
              <w:numPr>
                <w:ilvl w:val="0"/>
                <w:numId w:val="2"/>
              </w:numPr>
              <w:spacing w:before="30" w:after="30"/>
            </w:pPr>
            <w:r>
              <w:rPr>
                <w:rFonts w:ascii="Arial" w:cs="Arial" w:eastAsia="Arial" w:hAnsi="Arial"/>
                <w:b w:val="false"/>
                <w:bCs w:val="false"/>
                <w:i w:val="false"/>
                <w:iCs w:val="false"/>
                <w:color w:val="1E6B3C"/>
                <w:sz w:val="18"/>
                <w:szCs w:val="18"/>
              </w:rPr>
              <w:t xml:space="preserve">Small team (2–3)</w:t>
            </w:r>
          </w:p>
          <w:p>
            <w:pPr>
              <w:pStyle w:val="ListParagraph"/>
              <w:numPr>
                <w:ilvl w:val="0"/>
                <w:numId w:val="2"/>
              </w:numPr>
              <w:spacing w:before="30" w:after="30"/>
            </w:pPr>
            <w:r>
              <w:rPr>
                <w:rFonts w:ascii="Arial" w:cs="Arial" w:eastAsia="Arial" w:hAnsi="Arial"/>
                <w:b w:val="false"/>
                <w:bCs w:val="false"/>
                <w:i w:val="false"/>
                <w:iCs w:val="false"/>
                <w:color w:val="1E6B3C"/>
                <w:sz w:val="18"/>
                <w:szCs w:val="18"/>
              </w:rPr>
              <w:t xml:space="preserve">AWS cloud-native</w:t>
            </w:r>
          </w:p>
          <w:p>
            <w:pPr>
              <w:pStyle w:val="ListParagraph"/>
              <w:numPr>
                <w:ilvl w:val="0"/>
                <w:numId w:val="2"/>
              </w:numPr>
              <w:spacing w:before="30" w:after="30"/>
            </w:pPr>
            <w:r>
              <w:rPr>
                <w:rFonts w:ascii="Arial" w:cs="Arial" w:eastAsia="Arial" w:hAnsi="Arial"/>
                <w:b w:val="false"/>
                <w:bCs w:val="false"/>
                <w:i w:val="false"/>
                <w:iCs w:val="false"/>
                <w:color w:val="1E6B3C"/>
                <w:sz w:val="18"/>
                <w:szCs w:val="18"/>
              </w:rPr>
              <w:t xml:space="preserve">First beta customers</w:t>
            </w:r>
          </w:p>
        </w:tc>
        <w:tc>
          <w:tcPr>
            <w:tcW w:type="dxa" w:w="3320"/>
            <w:tcBorders>
              <w:top w:val="single" w:color="6C1E7E" w:sz="4"/>
              <w:left w:val="single" w:color="6C1E7E" w:sz="4"/>
              <w:bottom w:val="single" w:color="6C1E7E" w:sz="4"/>
              <w:right w:val="single" w:color="6C1E7E" w:sz="4"/>
            </w:tcBorders>
            <w:shd w:fill="F4ECF7" w:val="clear"/>
            <w:tcMar>
              <w:top w:type="dxa" w:w="100"/>
              <w:left w:type="dxa" w:w="160"/>
              <w:bottom w:type="dxa" w:w="100"/>
              <w:right w:type="dxa" w:w="160"/>
            </w:tcMar>
          </w:tcPr>
          <w:p>
            <w:pPr>
              <w:pStyle w:val="ListParagraph"/>
              <w:numPr>
                <w:ilvl w:val="0"/>
                <w:numId w:val="2"/>
              </w:numPr>
              <w:spacing w:before="30" w:after="30"/>
            </w:pPr>
            <w:r>
              <w:rPr>
                <w:rFonts w:ascii="Arial" w:cs="Arial" w:eastAsia="Arial" w:hAnsi="Arial"/>
                <w:b w:val="false"/>
                <w:bCs w:val="false"/>
                <w:i w:val="false"/>
                <w:iCs w:val="false"/>
                <w:color w:val="6C1E7E"/>
                <w:sz w:val="18"/>
                <w:szCs w:val="18"/>
              </w:rPr>
              <w:t xml:space="preserve">Commercial SaaS platform</w:t>
            </w:r>
          </w:p>
          <w:p>
            <w:pPr>
              <w:pStyle w:val="ListParagraph"/>
              <w:numPr>
                <w:ilvl w:val="0"/>
                <w:numId w:val="2"/>
              </w:numPr>
              <w:spacing w:before="30" w:after="30"/>
            </w:pPr>
            <w:r>
              <w:rPr>
                <w:rFonts w:ascii="Arial" w:cs="Arial" w:eastAsia="Arial" w:hAnsi="Arial"/>
                <w:b w:val="false"/>
                <w:bCs w:val="false"/>
                <w:i w:val="false"/>
                <w:iCs w:val="false"/>
                <w:color w:val="6C1E7E"/>
                <w:sz w:val="18"/>
                <w:szCs w:val="18"/>
              </w:rPr>
              <w:t xml:space="preserve">Full team (8–12)</w:t>
            </w:r>
          </w:p>
          <w:p>
            <w:pPr>
              <w:pStyle w:val="ListParagraph"/>
              <w:numPr>
                <w:ilvl w:val="0"/>
                <w:numId w:val="2"/>
              </w:numPr>
              <w:spacing w:before="30" w:after="30"/>
            </w:pPr>
            <w:r>
              <w:rPr>
                <w:rFonts w:ascii="Arial" w:cs="Arial" w:eastAsia="Arial" w:hAnsi="Arial"/>
                <w:b w:val="false"/>
                <w:bCs w:val="false"/>
                <w:i w:val="false"/>
                <w:iCs w:val="false"/>
                <w:color w:val="6C1E7E"/>
                <w:sz w:val="18"/>
                <w:szCs w:val="18"/>
              </w:rPr>
              <w:t xml:space="preserve">Multi-cloud</w:t>
            </w:r>
          </w:p>
          <w:p>
            <w:pPr>
              <w:pStyle w:val="ListParagraph"/>
              <w:numPr>
                <w:ilvl w:val="0"/>
                <w:numId w:val="2"/>
              </w:numPr>
              <w:spacing w:before="30" w:after="30"/>
            </w:pPr>
            <w:r>
              <w:rPr>
                <w:rFonts w:ascii="Arial" w:cs="Arial" w:eastAsia="Arial" w:hAnsi="Arial"/>
                <w:b w:val="false"/>
                <w:bCs w:val="false"/>
                <w:i w:val="false"/>
                <w:iCs w:val="false"/>
                <w:color w:val="6C1E7E"/>
                <w:sz w:val="18"/>
                <w:szCs w:val="18"/>
              </w:rPr>
              <w:t xml:space="preserve">Paying customers + funding</w:t>
            </w:r>
          </w:p>
        </w:tc>
      </w:tr>
    </w:tbl>
    <w:p>
      <w:pPr>
        <w:spacing w:before="10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0"/>
              <w:left w:val="single" w:color="922B21" w:sz="4"/>
              <w:bottom w:val="single" w:color="922B21" w:sz="4"/>
              <w:right w:val="single" w:color="922B21" w:sz="4"/>
            </w:tcBorders>
            <w:shd w:fill="FDECEC" w:val="clear"/>
            <w:tcMar>
              <w:top w:type="dxa" w:w="150"/>
              <w:left w:type="dxa" w:w="220"/>
              <w:bottom w:type="dxa" w:w="150"/>
              <w:right w:type="dxa" w:w="180"/>
            </w:tcMar>
          </w:tcPr>
          <w:p>
            <w:pPr>
              <w:spacing w:before="0" w:after="80"/>
            </w:pPr>
            <w:r>
              <w:rPr>
                <w:rFonts w:ascii="Arial" w:cs="Arial" w:eastAsia="Arial" w:hAnsi="Arial"/>
                <w:b/>
                <w:bCs/>
                <w:i w:val="false"/>
                <w:iCs w:val="false"/>
                <w:color w:val="922B21"/>
                <w:sz w:val="21"/>
                <w:szCs w:val="21"/>
              </w:rPr>
              <w:t xml:space="preserve">⚠  What Changed in This Revision</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Section 5 completely rewritten — removed all 'never change' technology commitments. Replaced with the CTO's Three-Category Framework.</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Section 6 added — Unit Economics modelling per site per tier. Identifies MSK shared-cluster requirement and Delta Lake vs TimescaleDB decision gate.</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Section 7 completely rewritten — Three revenue scenarios (optimistic, realistic, conservative). Industrial sales cycle friction explicitly modelled.</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All Month 24 ARR projections revised downward to realistic range. Timeline extended by 1.5x–2x for industrial procurement reality.</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Risk register expanded with architecture rigidity, unit economics failure, and sales cycle risk as top-level items.</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Field</w:t>
            </w:r>
          </w:p>
        </w:tc>
        <w:tc>
          <w:tcPr>
            <w:tcW w:type="dxa" w:w="716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Detail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Document</w:t>
            </w:r>
          </w:p>
        </w:tc>
        <w:tc>
          <w:tcPr>
            <w:tcW w:type="dxa" w:w="71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Product Roadmap — Version 2.0 (Revised)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Author /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Ajith Kumara — Founder &amp; CTO</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Institution</w:t>
            </w:r>
          </w:p>
        </w:tc>
        <w:tc>
          <w:tcPr>
            <w:tcW w:type="dxa" w:w="71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University of Moratuwa — M.Sc. in Artificial Intelligence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Supervisor</w:t>
            </w:r>
          </w:p>
        </w:tc>
        <w:tc>
          <w:tcPr>
            <w:tcW w:type="dxa" w:w="7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Dr. Thushari Silva</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Total horizon</w:t>
            </w:r>
          </w:p>
        </w:tc>
        <w:tc>
          <w:tcPr>
            <w:tcW w:type="dxa" w:w="71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24–30 months — February 2026 to August 2028 (extended for industrial sales reality)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V1 duration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 weeks — Thesis MVP — Academic validation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V2 duration</w:t>
            </w:r>
          </w:p>
        </w:tc>
        <w:tc>
          <w:tcPr>
            <w:tcW w:type="dxa" w:w="71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6 months — Product Hardening — Beta customers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V3 duration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16–22 months — Startup Launch — Commercial SaaS (extended from v1.0)</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Key revision</w:t>
            </w:r>
          </w:p>
        </w:tc>
        <w:tc>
          <w:tcPr>
            <w:tcW w:type="dxa" w:w="71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Architecture decisions classified as principles vs current-best vs implementation — none permanently locked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Revenue model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Three scenarios: optimistic / realistic / conservative — all modelled explicitly</w:t>
            </w:r>
          </w:p>
        </w:tc>
      </w:tr>
    </w:tbl>
    <w:p>
      <w:r>
        <w:br w:type="page"/>
      </w:r>
    </w:p>
    <w:p>
      <w:pPr>
        <w:pStyle w:val="Heading1"/>
        <w:spacing w:before="440" w:after="160"/>
      </w:pPr>
      <w:r>
        <w:rPr>
          <w:rFonts w:ascii="Arial" w:cs="Arial" w:eastAsia="Arial" w:hAnsi="Arial"/>
          <w:b/>
          <w:bCs/>
          <w:i w:val="false"/>
          <w:iCs w:val="false"/>
          <w:color w:val="1F3864"/>
          <w:sz w:val="34"/>
          <w:szCs w:val="34"/>
        </w:rPr>
        <w:t xml:space="preserve">1.  The North Star Vision</w:t>
      </w:r>
    </w:p>
    <w:p>
      <w:pPr>
        <w:spacing w:before="60" w:after="100" w:line="320"/>
        <w:jc w:val="both"/>
      </w:pPr>
      <w:r>
        <w:rPr>
          <w:rFonts w:ascii="Arial" w:cs="Arial" w:eastAsia="Arial" w:hAnsi="Arial"/>
          <w:b w:val="false"/>
          <w:bCs w:val="false"/>
          <w:i w:val="false"/>
          <w:iCs w:val="false"/>
          <w:color w:val="111111"/>
          <w:sz w:val="22"/>
          <w:szCs w:val="22"/>
        </w:rPr>
        <w:t xml:space="preserve">AdaptiveOrchestrator is the only IIoT anomaly detection platform built for factories that cannot afford to lose detection capability when their internet connection fails. It routes computation between edge and cloud automatically, based on live conditions — without human intervention, without losing sensor events, and without running up unexpected cloud bills.</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1E7E" w:sz="10"/>
              <w:left w:val="single" w:color="6C1E7E" w:sz="4"/>
              <w:bottom w:val="single" w:color="6C1E7E" w:sz="4"/>
              <w:right w:val="single" w:color="6C1E7E" w:sz="4"/>
            </w:tcBorders>
            <w:shd w:fill="F4ECF7" w:val="clear"/>
            <w:tcMar>
              <w:top w:type="dxa" w:w="180"/>
              <w:left w:type="dxa" w:w="280"/>
              <w:bottom w:type="dxa" w:w="180"/>
              <w:right w:type="dxa" w:w="280"/>
            </w:tcMar>
          </w:tcPr>
          <w:p>
            <w:pPr>
              <w:spacing w:before="0" w:after="60"/>
              <w:jc w:val="center"/>
            </w:pPr>
            <w:r>
              <w:rPr>
                <w:rFonts w:ascii="Arial" w:cs="Arial" w:eastAsia="Arial" w:hAnsi="Arial"/>
                <w:b/>
                <w:bCs/>
                <w:i w:val="false"/>
                <w:iCs w:val="false"/>
                <w:color w:val="6C1E7E"/>
                <w:sz w:val="28"/>
                <w:szCs w:val="28"/>
              </w:rPr>
              <w:t xml:space="preserve">Every factory deserves anomaly detection that never sleeps.</w:t>
            </w:r>
          </w:p>
          <w:p>
            <w:pPr>
              <w:spacing w:before="0" w:after="0"/>
              <w:jc w:val="center"/>
            </w:pPr>
            <w:r>
              <w:rPr>
                <w:rFonts w:ascii="Arial" w:cs="Arial" w:eastAsia="Arial" w:hAnsi="Arial"/>
                <w:b w:val="false"/>
                <w:bCs w:val="false"/>
                <w:i/>
                <w:iCs/>
                <w:color w:val="555555"/>
                <w:sz w:val="20"/>
                <w:szCs w:val="20"/>
              </w:rPr>
              <w:t xml:space="preserve">Even when the satellite link drops. Even when the CPU is overloaded. Even at 3am with no one watching.</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Pillar</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What It Means</w:t>
            </w:r>
          </w:p>
        </w:tc>
        <w:tc>
          <w:tcPr>
            <w:tcW w:type="dxa" w:w="2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How We Prove It (Thesis)</w:t>
            </w:r>
          </w:p>
        </w:tc>
        <w:tc>
          <w:tcPr>
            <w:tcW w:type="dxa" w:w="316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How We Sell It (Startup)</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Resilience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Detection never stops during outages or overload</w:t>
            </w:r>
          </w:p>
        </w:tc>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S2: 30-min blackout. Edge autonomy &gt; 99%.</w:t>
            </w:r>
          </w:p>
        </w:tc>
        <w:tc>
          <w:tcPr>
            <w:tcW w:type="dxa" w:w="31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'Our platform kept detecting faults for 30 minutes after your internet went down'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Intelligence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System decides where to process — not the engineer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 mode history — all transitions logged</w:t>
            </w:r>
          </w:p>
        </w:tc>
        <w:tc>
          <w:tcPr>
            <w:tcW w:type="dxa" w:w="3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'Zero configuration. It adapts itself.'</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Economics</w:t>
            </w:r>
          </w:p>
        </w:tc>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Pay for cloud only when you need it</w:t>
            </w:r>
          </w:p>
        </w:tc>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S5: 40% cloud egress reduction vs static baseline</w:t>
            </w:r>
          </w:p>
        </w:tc>
        <w:tc>
          <w:tcPr>
            <w:tcW w:type="dxa" w:w="31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'Cut your cloud bill by 40% compared to always-on routing'</w:t>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1"/>
        <w:spacing w:before="440" w:after="160"/>
      </w:pPr>
      <w:r>
        <w:rPr>
          <w:rFonts w:ascii="Arial" w:cs="Arial" w:eastAsia="Arial" w:hAnsi="Arial"/>
          <w:b/>
          <w:bCs/>
          <w:i w:val="false"/>
          <w:iCs w:val="false"/>
          <w:color w:val="1F3864"/>
          <w:sz w:val="34"/>
          <w:szCs w:val="34"/>
        </w:rPr>
        <w:t xml:space="preserve">2.  Three-Phase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Dimension</w:t>
            </w:r>
          </w:p>
        </w:tc>
        <w:tc>
          <w:tcPr>
            <w:tcW w:type="dxa" w:w="2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V1 — Thesis MVP</w:t>
            </w:r>
          </w:p>
        </w:tc>
        <w:tc>
          <w:tcPr>
            <w:tcW w:type="dxa" w:w="2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V2 — Product Hardening</w:t>
            </w:r>
          </w:p>
        </w:tc>
        <w:tc>
          <w:tcPr>
            <w:tcW w:type="dxa" w:w="276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V3 — Startup Launch</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Primary objective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Prove runtime adaptive orchestration works</w:t>
            </w:r>
          </w:p>
        </w:tc>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Harden MVP into software a customer runs without you</w:t>
            </w:r>
          </w:p>
        </w:tc>
        <w:tc>
          <w:tcPr>
            <w:tcW w:type="dxa" w:w="2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Build commercial platform, acquire customers, raise funding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Duration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 weeks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6 months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16–22 months (industrial cycle adjusted)</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Team</w:t>
            </w:r>
          </w:p>
        </w:tc>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 — you</w:t>
            </w:r>
          </w:p>
        </w:tc>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2–3 (co-founder + 1 engineer)</w:t>
            </w:r>
          </w:p>
        </w:tc>
        <w:tc>
          <w:tcPr>
            <w:tcW w:type="dxa" w:w="2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8–12 (full engineering + commercial)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Infrastructure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Docker WSL2 laptop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cloud-native (EKS, MSK, EMR)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Multi-cloud + on-premises agent option</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Revenue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None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£0–£5k pilot agreements</w:t>
            </w:r>
          </w:p>
        </w:tc>
        <w:tc>
          <w:tcPr>
            <w:tcW w:type="dxa" w:w="2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£60k–£300k ARR (realistic scenario)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Key risk</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Integration instability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Customer data quality + onboarding complexity</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Industrial sales cycle length + unit economics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Success measure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Thesis defended. F1 &gt; 0.90. Autonomy &gt; 99%.</w:t>
            </w:r>
          </w:p>
        </w:tc>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 beta customers running 30+ days. Zero critical failures.</w:t>
            </w:r>
          </w:p>
        </w:tc>
        <w:tc>
          <w:tcPr>
            <w:tcW w:type="dxa" w:w="2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 paying customers. Seed funding secured. Positive unit economics.</w:t>
            </w:r>
          </w:p>
        </w:tc>
      </w:tr>
    </w:tbl>
    <w:p>
      <w:pPr>
        <w:spacing w:before="100" w:after="0"/>
      </w:pPr>
      <w:r>
        <w:rPr>
          <w:rFonts w:ascii="Arial" w:cs="Arial" w:eastAsia="Arial" w:hAnsi="Arial"/>
          <w:b w:val="false"/>
          <w:bCs w:val="false"/>
          <w:i w:val="false"/>
          <w:iCs w:val="false"/>
          <w:color w:val="11111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276" w:sz="4"/>
              <w:left w:val="single" w:color="1A5276" w:sz="4"/>
              <w:bottom w:val="single" w:color="1A5276" w:sz="4"/>
              <w:right w:val="single" w:color="1A5276" w:sz="4"/>
            </w:tcBorders>
            <w:shd w:fill="1A5276" w:val="clear"/>
            <w:tcMar>
              <w:top w:type="dxa" w:w="200"/>
              <w:left w:type="dxa" w:w="200"/>
              <w:bottom w:type="dxa" w:w="200"/>
              <w:right w:type="dxa" w:w="200"/>
            </w:tcMar>
          </w:tcPr>
          <w:p>
            <w:pPr>
              <w:spacing w:before="0" w:after="40"/>
              <w:jc w:val="center"/>
            </w:pPr>
            <w:r>
              <w:rPr>
                <w:rFonts w:ascii="Arial" w:cs="Arial" w:eastAsia="Arial" w:hAnsi="Arial"/>
                <w:b/>
                <w:bCs/>
                <w:i w:val="false"/>
                <w:iCs w:val="false"/>
                <w:color w:val="FFFFFF"/>
                <w:sz w:val="44"/>
                <w:szCs w:val="44"/>
              </w:rPr>
              <w:t xml:space="preserve">V1</w:t>
            </w:r>
          </w:p>
          <w:p>
            <w:pPr>
              <w:spacing w:before="0" w:after="0"/>
              <w:jc w:val="center"/>
            </w:pPr>
            <w:r>
              <w:rPr>
                <w:rFonts w:ascii="Arial" w:cs="Arial" w:eastAsia="Arial" w:hAnsi="Arial"/>
                <w:b w:val="false"/>
                <w:bCs w:val="false"/>
                <w:i w:val="false"/>
                <w:iCs w:val="false"/>
                <w:color w:val="DDDDDD"/>
                <w:sz w:val="17"/>
                <w:szCs w:val="17"/>
              </w:rPr>
              <w:t xml:space="preserve">Weeks 1–8 · Feb – Apr 2026</w:t>
            </w:r>
          </w:p>
        </w:tc>
        <w:tc>
          <w:tcPr>
            <w:tcW w:type="dxa" w:w="7160"/>
            <w:tcBorders>
              <w:top w:val="single" w:color="1A5276" w:sz="4"/>
              <w:left w:val="single" w:color="1A5276" w:sz="4"/>
              <w:bottom w:val="single" w:color="1A5276" w:sz="4"/>
              <w:right w:val="single" w:color="1A5276" w:sz="4"/>
            </w:tcBorders>
            <w:shd w:fill="D6EAF8" w:val="clear"/>
            <w:tcMar>
              <w:top w:type="dxa" w:w="180"/>
              <w:left w:type="dxa" w:w="240"/>
              <w:bottom w:type="dxa" w:w="180"/>
              <w:right w:type="dxa" w:w="200"/>
            </w:tcMar>
          </w:tcPr>
          <w:p>
            <w:pPr>
              <w:spacing w:before="0" w:after="60"/>
            </w:pPr>
            <w:r>
              <w:rPr>
                <w:rFonts w:ascii="Arial" w:cs="Arial" w:eastAsia="Arial" w:hAnsi="Arial"/>
                <w:b/>
                <w:bCs/>
                <w:i w:val="false"/>
                <w:iCs w:val="false"/>
                <w:color w:val="1A5276"/>
                <w:sz w:val="30"/>
                <w:szCs w:val="30"/>
              </w:rPr>
              <w:t xml:space="preserve">Thesis MVP</w:t>
            </w:r>
          </w:p>
          <w:p>
            <w:pPr>
              <w:spacing w:before="0" w:after="0"/>
            </w:pPr>
            <w:r>
              <w:rPr>
                <w:rFonts w:ascii="Arial" w:cs="Arial" w:eastAsia="Arial" w:hAnsi="Arial"/>
                <w:b w:val="false"/>
                <w:bCs w:val="false"/>
                <w:i/>
                <w:iCs/>
                <w:color w:val="555555"/>
                <w:sz w:val="20"/>
                <w:szCs w:val="20"/>
              </w:rPr>
              <w:t xml:space="preserve">Prove the core research contribution. Build the nucleus of the product.</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1A5276"/>
          <w:sz w:val="27"/>
          <w:szCs w:val="27"/>
        </w:rPr>
        <w:t xml:space="preserve">3.1  V1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276" w:sz="18"/>
              <w:bottom w:val="none" w:color="FFFFFF" w:sz="0"/>
              <w:right w:val="none" w:color="FFFFFF" w:sz="0"/>
            </w:tcBorders>
            <w:shd w:fill="D6EAF8" w:val="clear"/>
            <w:tcMar>
              <w:top w:type="dxa" w:w="120"/>
              <w:left w:type="dxa" w:w="220"/>
              <w:bottom w:type="dxa" w:w="120"/>
              <w:right w:type="dxa" w:w="180"/>
            </w:tcMar>
          </w:tcPr>
          <w:p>
            <w:pPr>
              <w:spacing w:before="0" w:after="0"/>
              <w:jc w:val="both"/>
            </w:pPr>
            <w:r>
              <w:rPr>
                <w:rFonts w:ascii="Arial" w:cs="Arial" w:eastAsia="Arial" w:hAnsi="Arial"/>
                <w:b w:val="false"/>
                <w:bCs w:val="false"/>
                <w:i w:val="false"/>
                <w:iCs w:val="false"/>
                <w:color w:val="555555"/>
                <w:sz w:val="20"/>
                <w:szCs w:val="20"/>
              </w:rPr>
              <w:t xml:space="preserve">The thesis contribution is one thing: the Policy Executor making correct runtime mode decisions based on live context signals. Every other V1 component exists only to prove that one thing works convincingly.</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3"/>
        <w:spacing w:before="220" w:after="80"/>
      </w:pPr>
      <w:r>
        <w:rPr>
          <w:rFonts w:ascii="Arial" w:cs="Arial" w:eastAsia="Arial" w:hAnsi="Arial"/>
          <w:b/>
          <w:bCs/>
          <w:i w:val="false"/>
          <w:iCs w:val="false"/>
          <w:color w:val="1A5276"/>
          <w:sz w:val="23"/>
          <w:szCs w:val="23"/>
        </w:rPr>
        <w:t xml:space="preserve">V1 Component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300"/>
        <w:gridCol w:w="3760"/>
      </w:tblGrid>
      <w:tr>
        <w:tc>
          <w:tcPr>
            <w:tcW w:type="dxa" w:w="1600"/>
            <w:tcBorders>
              <w:top w:val="single" w:color="CCCCCC" w:sz="4"/>
              <w:left w:val="single" w:color="CCCCCC" w:sz="4"/>
              <w:bottom w:val="single" w:color="CCCCCC" w:sz="4"/>
              <w:right w:val="single" w:color="CCCCCC" w:sz="4"/>
            </w:tcBorders>
            <w:shd w:fill="1A5276"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Component</w:t>
            </w:r>
          </w:p>
        </w:tc>
        <w:tc>
          <w:tcPr>
            <w:tcW w:type="dxa" w:w="1700"/>
            <w:tcBorders>
              <w:top w:val="single" w:color="CCCCCC" w:sz="4"/>
              <w:left w:val="single" w:color="CCCCCC" w:sz="4"/>
              <w:bottom w:val="single" w:color="CCCCCC" w:sz="4"/>
              <w:right w:val="single" w:color="CCCCCC" w:sz="4"/>
            </w:tcBorders>
            <w:shd w:fill="1A5276"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Role</w:t>
            </w:r>
          </w:p>
        </w:tc>
        <w:tc>
          <w:tcPr>
            <w:tcW w:type="dxa" w:w="2300"/>
            <w:tcBorders>
              <w:top w:val="single" w:color="CCCCCC" w:sz="4"/>
              <w:left w:val="single" w:color="CCCCCC" w:sz="4"/>
              <w:bottom w:val="single" w:color="CCCCCC" w:sz="4"/>
              <w:right w:val="single" w:color="CCCCCC" w:sz="4"/>
            </w:tcBorders>
            <w:shd w:fill="1A5276"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Why Included</w:t>
            </w:r>
          </w:p>
        </w:tc>
        <w:tc>
          <w:tcPr>
            <w:tcW w:type="dxa" w:w="3760"/>
            <w:tcBorders>
              <w:top w:val="single" w:color="CCCCCC" w:sz="4"/>
              <w:left w:val="single" w:color="CCCCCC" w:sz="4"/>
              <w:bottom w:val="single" w:color="CCCCCC" w:sz="4"/>
              <w:right w:val="single" w:color="CCCCCC" w:sz="4"/>
            </w:tcBorders>
            <w:shd w:fill="1A5276"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V2/V3 Evolution</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Sensor Simulator</w:t>
            </w:r>
          </w:p>
        </w:tc>
        <w:tc>
          <w:tcPr>
            <w:tcW w:type="dxa" w:w="17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Replay CWRU+SKAB at 100Hz</w:t>
            </w:r>
          </w:p>
        </w:tc>
        <w:tc>
          <w:tcPr>
            <w:tcW w:type="dxa" w:w="23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Cannot test orchestration without data</w:t>
            </w:r>
          </w:p>
        </w:tc>
        <w:tc>
          <w:tcPr>
            <w:tcW w:type="dxa" w:w="3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Phase 2: real sensor SDKs (OPC-UA, MQTT)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Inference Engine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Isolation Forest — local anomaly detection</w:t>
            </w:r>
          </w:p>
        </w:tc>
        <w:tc>
          <w:tcPr>
            <w:tcW w:type="dxa" w:w="2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Proves edge detection exists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Phase 2: improved models, online learning</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Context Monitor</w:t>
            </w:r>
          </w:p>
        </w:tc>
        <w:tc>
          <w:tcPr>
            <w:tcW w:type="dxa" w:w="17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Latency + CPU every 1s</w:t>
            </w:r>
          </w:p>
        </w:tc>
        <w:tc>
          <w:tcPr>
            <w:tcW w:type="dxa" w:w="23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Core input to Policy Executor</w:t>
            </w:r>
          </w:p>
        </w:tc>
        <w:tc>
          <w:tcPr>
            <w:tcW w:type="dxa" w:w="3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Phase 2: more signals — bandwidth, queue depth</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THE CONTRIBUTION — mode decisions</w:t>
            </w:r>
          </w:p>
        </w:tc>
        <w:tc>
          <w:tcPr>
            <w:tcW w:type="dxa" w:w="2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This is the thesis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Phase 3: ML-trained policy (RL)</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Buffer</w:t>
            </w:r>
          </w:p>
        </w:tc>
        <w:tc>
          <w:tcPr>
            <w:tcW w:type="dxa" w:w="17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Event queue during outage (5000 events)</w:t>
            </w:r>
          </w:p>
        </w:tc>
        <w:tc>
          <w:tcPr>
            <w:tcW w:type="dxa" w:w="23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Proves edge autonomy</w:t>
            </w:r>
          </w:p>
        </w:tc>
        <w:tc>
          <w:tcPr>
            <w:tcW w:type="dxa" w:w="3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Phase 2: clustered JetStream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Broker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Internal message bus</w:t>
            </w:r>
          </w:p>
        </w:tc>
        <w:tc>
          <w:tcPr>
            <w:tcW w:type="dxa" w:w="2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Decouples components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Phase 2: keep, add clustering</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Kafka (KRaft)</w:t>
            </w:r>
          </w:p>
        </w:tc>
        <w:tc>
          <w:tcPr>
            <w:tcW w:type="dxa" w:w="17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 pipeline entry — no Zookeeper</w:t>
            </w:r>
          </w:p>
        </w:tc>
        <w:tc>
          <w:tcPr>
            <w:tcW w:type="dxa" w:w="23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Real tech; cloud pipeline story</w:t>
            </w:r>
          </w:p>
        </w:tc>
        <w:tc>
          <w:tcPr>
            <w:tcW w:type="dxa" w:w="3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Phase 3: migrate to AWS MSK shared cluster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Spark Streaming</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Stream processing — hands-on</w:t>
            </w:r>
          </w:p>
        </w:tc>
        <w:tc>
          <w:tcPr>
            <w:tcW w:type="dxa" w:w="2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Hands-on learning + cloud pipeline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Phase 3: AWS EMR Serverless or Databricks</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Delta Lake on S3</w:t>
            </w:r>
          </w:p>
        </w:tc>
        <w:tc>
          <w:tcPr>
            <w:tcW w:type="dxa" w:w="17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ACID lakehouse — AWS S3</w:t>
            </w:r>
          </w:p>
        </w:tc>
        <w:tc>
          <w:tcPr>
            <w:tcW w:type="dxa" w:w="23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 storage integration; hands-on</w:t>
            </w:r>
          </w:p>
        </w:tc>
        <w:tc>
          <w:tcPr>
            <w:tcW w:type="dxa" w:w="3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Phase 3: review vs TimescaleDB at V2 gate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S3</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Delta Lake + eval log storage</w:t>
            </w:r>
          </w:p>
        </w:tc>
        <w:tc>
          <w:tcPr>
            <w:tcW w:type="dxa" w:w="2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Real cloud credential</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Phase 2: expand significantly</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CloudWatch</w:t>
            </w:r>
          </w:p>
        </w:tc>
        <w:tc>
          <w:tcPr>
            <w:tcW w:type="dxa" w:w="17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 live metrics dashboard</w:t>
            </w:r>
          </w:p>
        </w:tc>
        <w:tc>
          <w:tcPr>
            <w:tcW w:type="dxa" w:w="23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Real AWS monitoring for thesis</w:t>
            </w:r>
          </w:p>
        </w:tc>
        <w:tc>
          <w:tcPr>
            <w:tcW w:type="dxa" w:w="3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Phase 2: add Prometheus + Grafana</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Lambda (alert)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SES email on critical anomaly</w:t>
            </w:r>
          </w:p>
        </w:tc>
        <w:tc>
          <w:tcPr>
            <w:tcW w:type="dxa" w:w="2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Serverless alerting story</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Phase 2: full alert hierarchy</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FastAPI Dashboard</w:t>
            </w:r>
          </w:p>
        </w:tc>
        <w:tc>
          <w:tcPr>
            <w:tcW w:type="dxa" w:w="17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Local alert display LAN:8080</w:t>
            </w:r>
          </w:p>
        </w:tc>
        <w:tc>
          <w:tcPr>
            <w:tcW w:type="dxa" w:w="23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Alert visibility during outage</w:t>
            </w:r>
          </w:p>
        </w:tc>
        <w:tc>
          <w:tcPr>
            <w:tcW w:type="dxa" w:w="3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Phase 2: customer web UI</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3"/>
        <w:spacing w:before="220" w:after="80"/>
      </w:pPr>
      <w:r>
        <w:rPr>
          <w:rFonts w:ascii="Arial" w:cs="Arial" w:eastAsia="Arial" w:hAnsi="Arial"/>
          <w:b/>
          <w:bCs/>
          <w:i w:val="false"/>
          <w:iCs w:val="false"/>
          <w:color w:val="1A5276"/>
          <w:sz w:val="23"/>
          <w:szCs w:val="23"/>
        </w:rPr>
        <w:t xml:space="preserve">V1 Eight-Week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2800"/>
        <w:gridCol w:w="4500"/>
      </w:tblGrid>
      <w:tr>
        <w:tc>
          <w:tcPr>
            <w:tcW w:type="dxa" w:w="560"/>
            <w:tcBorders>
              <w:top w:val="single" w:color="CCCCCC" w:sz="4"/>
              <w:left w:val="single" w:color="CCCCCC" w:sz="4"/>
              <w:bottom w:val="single" w:color="CCCCCC" w:sz="4"/>
              <w:right w:val="single" w:color="CCCCCC" w:sz="4"/>
            </w:tcBorders>
            <w:shd w:fill="1A5276"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Week</w:t>
            </w:r>
          </w:p>
        </w:tc>
        <w:tc>
          <w:tcPr>
            <w:tcW w:type="dxa" w:w="1500"/>
            <w:tcBorders>
              <w:top w:val="single" w:color="CCCCCC" w:sz="4"/>
              <w:left w:val="single" w:color="CCCCCC" w:sz="4"/>
              <w:bottom w:val="single" w:color="CCCCCC" w:sz="4"/>
              <w:right w:val="single" w:color="CCCCCC" w:sz="4"/>
            </w:tcBorders>
            <w:shd w:fill="1A5276"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Focus</w:t>
            </w:r>
          </w:p>
        </w:tc>
        <w:tc>
          <w:tcPr>
            <w:tcW w:type="dxa" w:w="2800"/>
            <w:tcBorders>
              <w:top w:val="single" w:color="CCCCCC" w:sz="4"/>
              <w:left w:val="single" w:color="CCCCCC" w:sz="4"/>
              <w:bottom w:val="single" w:color="CCCCCC" w:sz="4"/>
              <w:right w:val="single" w:color="CCCCCC" w:sz="4"/>
            </w:tcBorders>
            <w:shd w:fill="1A5276"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Key Build</w:t>
            </w:r>
          </w:p>
        </w:tc>
        <w:tc>
          <w:tcPr>
            <w:tcW w:type="dxa" w:w="4500"/>
            <w:tcBorders>
              <w:top w:val="single" w:color="CCCCCC" w:sz="4"/>
              <w:left w:val="single" w:color="CCCCCC" w:sz="4"/>
              <w:bottom w:val="single" w:color="CCCCCC" w:sz="4"/>
              <w:right w:val="single" w:color="CCCCCC" w:sz="4"/>
            </w:tcBorders>
            <w:shd w:fill="1A5276"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Gate</w:t>
            </w:r>
          </w:p>
        </w:tc>
      </w:tr>
      <w:tr>
        <w:tc>
          <w:tcPr>
            <w:tcW w:type="dxa" w:w="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w:t>
            </w:r>
          </w:p>
        </w:tc>
        <w:tc>
          <w:tcPr>
            <w:tcW w:type="dxa" w:w="15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Data Layer</w:t>
            </w:r>
          </w:p>
        </w:tc>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Sensor Simulator, Inference Engine, NATS, scaffold</w:t>
            </w:r>
          </w:p>
        </w:tc>
        <w:tc>
          <w:tcPr>
            <w:tcW w:type="dxa" w:w="45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GATE 1: F1 &gt; 0.85. Data flows end-to-end.</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Intelligence Layer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Context Monitor, tc netem validation, threshold sweep</w:t>
            </w:r>
          </w:p>
        </w:tc>
        <w:tc>
          <w:tcPr>
            <w:tcW w:type="dxa" w:w="4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Threshold sweep: evidence-based 500ms + 80% values</w:t>
            </w:r>
          </w:p>
        </w:tc>
      </w:tr>
      <w:tr>
        <w:tc>
          <w:tcPr>
            <w:tcW w:type="dxa" w:w="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w:t>
            </w:r>
          </w:p>
        </w:tc>
        <w:tc>
          <w:tcPr>
            <w:tcW w:type="dxa" w:w="15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Core Contribution</w:t>
            </w:r>
          </w:p>
        </w:tc>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 — full mode logic + routing + transitions</w:t>
            </w:r>
          </w:p>
        </w:tc>
        <w:tc>
          <w:tcPr>
            <w:tcW w:type="dxa" w:w="45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GATE 2: EDGE_ONLY within 5s of tc netem injection</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Resilience Layer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Buffer overflow policy, FastAPI dashboard, Lambda alert</w:t>
            </w:r>
          </w:p>
        </w:tc>
        <w:tc>
          <w:tcPr>
            <w:tcW w:type="dxa" w:w="4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Buffer integrity: zero loss. Lambda fires on anomaly.</w:t>
            </w:r>
          </w:p>
        </w:tc>
      </w:tr>
      <w:tr>
        <w:tc>
          <w:tcPr>
            <w:tcW w:type="dxa" w:w="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w:t>
            </w:r>
          </w:p>
        </w:tc>
        <w:tc>
          <w:tcPr>
            <w:tcW w:type="dxa" w:w="15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 Pipeline</w:t>
            </w:r>
          </w:p>
        </w:tc>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Kafka KRaft, Spark Streaming, Delta Lake → S3</w:t>
            </w:r>
          </w:p>
        </w:tc>
        <w:tc>
          <w:tcPr>
            <w:tcW w:type="dxa" w:w="45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Events in Delta Lake on S3 within 5s. Spark hands-on.</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6</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 Soak Test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CloudWatch publisher, S3 eval logs, 30-min soak</w:t>
            </w:r>
          </w:p>
        </w:tc>
        <w:tc>
          <w:tcPr>
            <w:tcW w:type="dxa" w:w="4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GATE 3: Full soak passes. Zero crashes. Zero data loss.</w:t>
            </w:r>
          </w:p>
        </w:tc>
      </w:tr>
      <w:tr>
        <w:tc>
          <w:tcPr>
            <w:tcW w:type="dxa" w:w="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7</w:t>
            </w:r>
          </w:p>
        </w:tc>
        <w:tc>
          <w:tcPr>
            <w:tcW w:type="dxa" w:w="15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Formal Evaluation</w:t>
            </w:r>
          </w:p>
        </w:tc>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 evaluation scenarios, all metrics collected</w:t>
            </w:r>
          </w:p>
        </w:tc>
        <w:tc>
          <w:tcPr>
            <w:tcW w:type="dxa" w:w="45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All thesis metrics in logs. CloudWatch screenshots.</w:t>
            </w:r>
          </w:p>
        </w:tc>
      </w:tr>
      <w:tr>
        <w:tc>
          <w:tcPr>
            <w:tcW w:type="dxa" w:w="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Documentation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READMEs, Matplotlib figures, Streamlit results dashboard</w:t>
            </w:r>
          </w:p>
        </w:tc>
        <w:tc>
          <w:tcPr>
            <w:tcW w:type="dxa" w:w="4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Thesis-ready. Startup README written. Repo reproducible.</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3"/>
        <w:spacing w:before="220" w:after="80"/>
      </w:pPr>
      <w:r>
        <w:rPr>
          <w:rFonts w:ascii="Arial" w:cs="Arial" w:eastAsia="Arial" w:hAnsi="Arial"/>
          <w:b/>
          <w:bCs/>
          <w:i w:val="false"/>
          <w:iCs w:val="false"/>
          <w:color w:val="1A5276"/>
          <w:sz w:val="23"/>
          <w:szCs w:val="23"/>
        </w:rPr>
        <w:t xml:space="preserve">V1 Success Criteria</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5400"/>
      </w:tblGrid>
      <w:tr>
        <w:tc>
          <w:tcPr>
            <w:tcW w:type="dxa" w:w="360"/>
            <w:tcBorders>
              <w:top w:val="single" w:color="CCCCCC" w:sz="4"/>
              <w:left w:val="single" w:color="CCCCCC" w:sz="4"/>
              <w:bottom w:val="single" w:color="CCCCCC" w:sz="4"/>
              <w:right w:val="single" w:color="CCCCCC" w:sz="4"/>
            </w:tcBorders>
            <w:shd w:fill="1A5276"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t>
            </w:r>
          </w:p>
        </w:tc>
        <w:tc>
          <w:tcPr>
            <w:tcW w:type="dxa" w:w="4200"/>
            <w:tcBorders>
              <w:top w:val="single" w:color="CCCCCC" w:sz="4"/>
              <w:left w:val="single" w:color="CCCCCC" w:sz="4"/>
              <w:bottom w:val="single" w:color="CCCCCC" w:sz="4"/>
              <w:right w:val="single" w:color="CCCCCC" w:sz="4"/>
            </w:tcBorders>
            <w:shd w:fill="1A5276"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Criterion</w:t>
            </w:r>
          </w:p>
        </w:tc>
        <w:tc>
          <w:tcPr>
            <w:tcW w:type="dxa" w:w="5400"/>
            <w:tcBorders>
              <w:top w:val="single" w:color="CCCCCC" w:sz="4"/>
              <w:left w:val="single" w:color="CCCCCC" w:sz="4"/>
              <w:bottom w:val="single" w:color="CCCCCC" w:sz="4"/>
              <w:right w:val="single" w:color="CCCCCC" w:sz="4"/>
            </w:tcBorders>
            <w:shd w:fill="1A5276"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Target</w:t>
            </w:r>
          </w:p>
        </w:tc>
      </w:tr>
      <w:tr>
        <w:tc>
          <w:tcPr>
            <w:tcW w:type="dxa" w:w="3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w:t>
            </w:r>
          </w:p>
        </w:tc>
        <w:tc>
          <w:tcPr>
            <w:tcW w:type="dxa" w:w="4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F1 score (normal conditions)</w:t>
            </w:r>
          </w:p>
        </w:tc>
        <w:tc>
          <w:tcPr>
            <w:tcW w:type="dxa" w:w="5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&gt; 0.95</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 autonomy (30-min blackout)</w:t>
            </w:r>
          </w:p>
        </w:tc>
        <w:tc>
          <w:tcPr>
            <w:tcW w:type="dxa" w:w="5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&gt; 99%</w:t>
            </w:r>
          </w:p>
        </w:tc>
      </w:tr>
      <w:tr>
        <w:tc>
          <w:tcPr>
            <w:tcW w:type="dxa" w:w="3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w:t>
            </w:r>
          </w:p>
        </w:tc>
        <w:tc>
          <w:tcPr>
            <w:tcW w:type="dxa" w:w="4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Mode switch latency</w:t>
            </w:r>
          </w:p>
        </w:tc>
        <w:tc>
          <w:tcPr>
            <w:tcW w:type="dxa" w:w="5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&lt; 5 seconds</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Buffer integrity</w:t>
            </w:r>
          </w:p>
        </w:tc>
        <w:tc>
          <w:tcPr>
            <w:tcW w:type="dxa" w:w="5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100% — zero event loss</w:t>
            </w:r>
          </w:p>
        </w:tc>
      </w:tr>
      <w:tr>
        <w:tc>
          <w:tcPr>
            <w:tcW w:type="dxa" w:w="3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w:t>
            </w:r>
          </w:p>
        </w:tc>
        <w:tc>
          <w:tcPr>
            <w:tcW w:type="dxa" w:w="4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 cost reduction</w:t>
            </w:r>
          </w:p>
        </w:tc>
        <w:tc>
          <w:tcPr>
            <w:tcW w:type="dxa" w:w="5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&gt; 40% vs static baseline</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6</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All unit tests pass</w:t>
            </w:r>
          </w:p>
        </w:tc>
        <w:tc>
          <w:tcPr>
            <w:tcW w:type="dxa" w:w="5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100%</w:t>
            </w:r>
          </w:p>
        </w:tc>
      </w:tr>
      <w:tr>
        <w:tc>
          <w:tcPr>
            <w:tcW w:type="dxa" w:w="3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7</w:t>
            </w:r>
          </w:p>
        </w:tc>
        <w:tc>
          <w:tcPr>
            <w:tcW w:type="dxa" w:w="4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30-minute soak test</w:t>
            </w:r>
          </w:p>
        </w:tc>
        <w:tc>
          <w:tcPr>
            <w:tcW w:type="dxa" w:w="5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Zero crashes, all 3 modes</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Thesis defence</w:t>
            </w:r>
          </w:p>
        </w:tc>
        <w:tc>
          <w:tcPr>
            <w:tcW w:type="dxa" w:w="5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Passed</w:t>
            </w:r>
          </w:p>
        </w:tc>
      </w:tr>
      <w:tr>
        <w:tc>
          <w:tcPr>
            <w:tcW w:type="dxa" w:w="3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w:t>
            </w:r>
          </w:p>
        </w:tc>
        <w:tc>
          <w:tcPr>
            <w:tcW w:type="dxa" w:w="4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Repository reproducible</w:t>
            </w:r>
          </w:p>
        </w:tc>
        <w:tc>
          <w:tcPr>
            <w:tcW w:type="dxa" w:w="5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Single command from clean clone</w:t>
            </w:r>
          </w:p>
        </w:tc>
      </w:tr>
      <w:tr>
        <w:tc>
          <w:tcPr>
            <w:tcW w:type="dxa" w:w="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Startup README written</w:t>
            </w:r>
          </w:p>
        </w:tc>
        <w:tc>
          <w:tcPr>
            <w:tcW w:type="dxa" w:w="5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Non-academic audience understands value</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200"/>
      </w:tblGrid>
      <w:tr>
        <w:tc>
          <w:tcPr>
            <w:tcW w:type="dxa" w:w="3080"/>
            <w:tcBorders>
              <w:top w:val="single" w:color="1A5276" w:sz="8"/>
              <w:left w:val="single" w:color="1A5276" w:sz="4"/>
              <w:bottom w:val="single" w:color="1A5276" w:sz="4"/>
              <w:right w:val="single" w:color="1A5276" w:sz="4"/>
            </w:tcBorders>
            <w:shd w:fill="D6EAF8" w:val="clear"/>
            <w:tcMar>
              <w:top w:type="dxa" w:w="120"/>
              <w:left w:type="dxa" w:w="160"/>
              <w:bottom w:type="dxa" w:w="120"/>
              <w:right w:type="dxa" w:w="160"/>
            </w:tcMar>
          </w:tcPr>
          <w:p>
            <w:pPr>
              <w:spacing w:before="0" w:after="40"/>
              <w:jc w:val="center"/>
            </w:pPr>
            <w:r>
              <w:rPr>
                <w:rFonts w:ascii="Arial" w:cs="Arial" w:eastAsia="Arial" w:hAnsi="Arial"/>
                <w:b/>
                <w:bCs/>
                <w:i w:val="false"/>
                <w:iCs w:val="false"/>
                <w:color w:val="1A5276"/>
                <w:sz w:val="32"/>
                <w:szCs w:val="32"/>
              </w:rPr>
              <w:t xml:space="preserve">13</w:t>
            </w:r>
          </w:p>
          <w:p>
            <w:pPr>
              <w:spacing w:before="0" w:after="0"/>
              <w:jc w:val="center"/>
            </w:pPr>
            <w:r>
              <w:rPr>
                <w:rFonts w:ascii="Arial" w:cs="Arial" w:eastAsia="Arial" w:hAnsi="Arial"/>
                <w:b w:val="false"/>
                <w:bCs w:val="false"/>
                <w:i w:val="false"/>
                <w:iCs w:val="false"/>
                <w:color w:val="555555"/>
                <w:sz w:val="19"/>
                <w:szCs w:val="19"/>
              </w:rPr>
              <w:t xml:space="preserve">Components in V1</w:t>
            </w:r>
          </w:p>
        </w:tc>
        <w:tc>
          <w:tcPr>
            <w:tcW w:type="dxa" w:w="3080"/>
            <w:tcBorders>
              <w:top w:val="single" w:color="1A5276" w:sz="8"/>
              <w:left w:val="single" w:color="1A5276" w:sz="4"/>
              <w:bottom w:val="single" w:color="1A5276" w:sz="4"/>
              <w:right w:val="single" w:color="1A5276" w:sz="4"/>
            </w:tcBorders>
            <w:shd w:fill="D6EAF8" w:val="clear"/>
            <w:tcMar>
              <w:top w:type="dxa" w:w="120"/>
              <w:left w:type="dxa" w:w="160"/>
              <w:bottom w:type="dxa" w:w="120"/>
              <w:right w:type="dxa" w:w="160"/>
            </w:tcMar>
          </w:tcPr>
          <w:p>
            <w:pPr>
              <w:spacing w:before="0" w:after="40"/>
              <w:jc w:val="center"/>
            </w:pPr>
            <w:r>
              <w:rPr>
                <w:rFonts w:ascii="Arial" w:cs="Arial" w:eastAsia="Arial" w:hAnsi="Arial"/>
                <w:b/>
                <w:bCs/>
                <w:i w:val="false"/>
                <w:iCs w:val="false"/>
                <w:color w:val="1A5276"/>
                <w:sz w:val="32"/>
                <w:szCs w:val="32"/>
              </w:rPr>
              <w:t xml:space="preserve">~36</w:t>
            </w:r>
          </w:p>
          <w:p>
            <w:pPr>
              <w:spacing w:before="0" w:after="0"/>
              <w:jc w:val="center"/>
            </w:pPr>
            <w:r>
              <w:rPr>
                <w:rFonts w:ascii="Arial" w:cs="Arial" w:eastAsia="Arial" w:hAnsi="Arial"/>
                <w:b w:val="false"/>
                <w:bCs w:val="false"/>
                <w:i w:val="false"/>
                <w:iCs w:val="false"/>
                <w:color w:val="555555"/>
                <w:sz w:val="19"/>
                <w:szCs w:val="19"/>
              </w:rPr>
              <w:t xml:space="preserve">Integration Boundaries</w:t>
            </w:r>
          </w:p>
        </w:tc>
        <w:tc>
          <w:tcPr>
            <w:tcW w:type="dxa" w:w="3200"/>
            <w:tcBorders>
              <w:top w:val="single" w:color="1A5276" w:sz="8"/>
              <w:left w:val="single" w:color="1A5276" w:sz="4"/>
              <w:bottom w:val="single" w:color="1A5276" w:sz="4"/>
              <w:right w:val="single" w:color="1A5276" w:sz="4"/>
            </w:tcBorders>
            <w:shd w:fill="D6EAF8" w:val="clear"/>
            <w:tcMar>
              <w:top w:type="dxa" w:w="120"/>
              <w:left w:type="dxa" w:w="160"/>
              <w:bottom w:type="dxa" w:w="120"/>
              <w:right w:type="dxa" w:w="160"/>
            </w:tcMar>
          </w:tcPr>
          <w:p>
            <w:pPr>
              <w:spacing w:before="0" w:after="40"/>
              <w:jc w:val="center"/>
            </w:pPr>
            <w:r>
              <w:rPr>
                <w:rFonts w:ascii="Arial" w:cs="Arial" w:eastAsia="Arial" w:hAnsi="Arial"/>
                <w:b/>
                <w:bCs/>
                <w:i w:val="false"/>
                <w:iCs w:val="false"/>
                <w:color w:val="1A5276"/>
                <w:sz w:val="32"/>
                <w:szCs w:val="32"/>
              </w:rPr>
              <w:t xml:space="preserve">~9GB</w:t>
            </w:r>
          </w:p>
          <w:p>
            <w:pPr>
              <w:spacing w:before="0" w:after="0"/>
              <w:jc w:val="center"/>
            </w:pPr>
            <w:r>
              <w:rPr>
                <w:rFonts w:ascii="Arial" w:cs="Arial" w:eastAsia="Arial" w:hAnsi="Arial"/>
                <w:b w:val="false"/>
                <w:bCs w:val="false"/>
                <w:i w:val="false"/>
                <w:iCs w:val="false"/>
                <w:color w:val="555555"/>
                <w:sz w:val="19"/>
                <w:szCs w:val="19"/>
              </w:rPr>
              <w:t xml:space="preserve">WSL2 RAM Required</w:t>
            </w:r>
          </w:p>
        </w:tc>
      </w:tr>
    </w:tbl>
    <w:p>
      <w:pPr>
        <w:spacing w:before="100" w:after="0"/>
      </w:pPr>
      <w:r>
        <w:rPr>
          <w:rFonts w:ascii="Arial" w:cs="Arial" w:eastAsia="Arial" w:hAnsi="Arial"/>
          <w:b w:val="false"/>
          <w:bCs w:val="false"/>
          <w:i w:val="false"/>
          <w:iCs w:val="false"/>
          <w:color w:val="11111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E6B3C" w:sz="4"/>
              <w:left w:val="single" w:color="1E6B3C" w:sz="4"/>
              <w:bottom w:val="single" w:color="1E6B3C" w:sz="4"/>
              <w:right w:val="single" w:color="1E6B3C" w:sz="4"/>
            </w:tcBorders>
            <w:shd w:fill="1E6B3C" w:val="clear"/>
            <w:tcMar>
              <w:top w:type="dxa" w:w="200"/>
              <w:left w:type="dxa" w:w="200"/>
              <w:bottom w:type="dxa" w:w="200"/>
              <w:right w:type="dxa" w:w="200"/>
            </w:tcMar>
          </w:tcPr>
          <w:p>
            <w:pPr>
              <w:spacing w:before="0" w:after="40"/>
              <w:jc w:val="center"/>
            </w:pPr>
            <w:r>
              <w:rPr>
                <w:rFonts w:ascii="Arial" w:cs="Arial" w:eastAsia="Arial" w:hAnsi="Arial"/>
                <w:b/>
                <w:bCs/>
                <w:i w:val="false"/>
                <w:iCs w:val="false"/>
                <w:color w:val="FFFFFF"/>
                <w:sz w:val="44"/>
                <w:szCs w:val="44"/>
              </w:rPr>
              <w:t xml:space="preserve">V2</w:t>
            </w:r>
          </w:p>
          <w:p>
            <w:pPr>
              <w:spacing w:before="0" w:after="0"/>
              <w:jc w:val="center"/>
            </w:pPr>
            <w:r>
              <w:rPr>
                <w:rFonts w:ascii="Arial" w:cs="Arial" w:eastAsia="Arial" w:hAnsi="Arial"/>
                <w:b w:val="false"/>
                <w:bCs w:val="false"/>
                <w:i w:val="false"/>
                <w:iCs w:val="false"/>
                <w:color w:val="DDDDDD"/>
                <w:sz w:val="17"/>
                <w:szCs w:val="17"/>
              </w:rPr>
              <w:t xml:space="preserve">Months 3–8 · May – Oct 2026</w:t>
            </w:r>
          </w:p>
        </w:tc>
        <w:tc>
          <w:tcPr>
            <w:tcW w:type="dxa" w:w="7160"/>
            <w:tcBorders>
              <w:top w:val="single" w:color="1E6B3C" w:sz="4"/>
              <w:left w:val="single" w:color="1E6B3C" w:sz="4"/>
              <w:bottom w:val="single" w:color="1E6B3C" w:sz="4"/>
              <w:right w:val="single" w:color="1E6B3C" w:sz="4"/>
            </w:tcBorders>
            <w:shd w:fill="D5F5E3" w:val="clear"/>
            <w:tcMar>
              <w:top w:type="dxa" w:w="180"/>
              <w:left w:type="dxa" w:w="240"/>
              <w:bottom w:type="dxa" w:w="180"/>
              <w:right w:type="dxa" w:w="200"/>
            </w:tcMar>
          </w:tcPr>
          <w:p>
            <w:pPr>
              <w:spacing w:before="0" w:after="60"/>
            </w:pPr>
            <w:r>
              <w:rPr>
                <w:rFonts w:ascii="Arial" w:cs="Arial" w:eastAsia="Arial" w:hAnsi="Arial"/>
                <w:b/>
                <w:bCs/>
                <w:i w:val="false"/>
                <w:iCs w:val="false"/>
                <w:color w:val="1E6B3C"/>
                <w:sz w:val="30"/>
                <w:szCs w:val="30"/>
              </w:rPr>
              <w:t xml:space="preserve">Product Hardening</w:t>
            </w:r>
          </w:p>
          <w:p>
            <w:pPr>
              <w:spacing w:before="0" w:after="0"/>
            </w:pPr>
            <w:r>
              <w:rPr>
                <w:rFonts w:ascii="Arial" w:cs="Arial" w:eastAsia="Arial" w:hAnsi="Arial"/>
                <w:b w:val="false"/>
                <w:bCs w:val="false"/>
                <w:i/>
                <w:iCs/>
                <w:color w:val="555555"/>
                <w:sz w:val="20"/>
                <w:szCs w:val="20"/>
              </w:rPr>
              <w:t xml:space="preserve">Turn the proven MVP into software a real customer can run for 30 days without you babysitting it.</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1E6B3C"/>
          <w:sz w:val="27"/>
          <w:szCs w:val="27"/>
        </w:rPr>
        <w:t xml:space="preserve">4.1  V2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8"/>
              <w:bottom w:val="none" w:color="FFFFFF" w:sz="0"/>
              <w:right w:val="none" w:color="FFFFFF" w:sz="0"/>
            </w:tcBorders>
            <w:shd w:fill="D5F5E3" w:val="clear"/>
            <w:tcMar>
              <w:top w:type="dxa" w:w="120"/>
              <w:left w:type="dxa" w:w="220"/>
              <w:bottom w:type="dxa" w:w="120"/>
              <w:right w:type="dxa" w:w="180"/>
            </w:tcMar>
          </w:tcPr>
          <w:p>
            <w:pPr>
              <w:spacing w:before="0" w:after="0"/>
              <w:jc w:val="both"/>
            </w:pPr>
            <w:r>
              <w:rPr>
                <w:rFonts w:ascii="Arial" w:cs="Arial" w:eastAsia="Arial" w:hAnsi="Arial"/>
                <w:b w:val="false"/>
                <w:bCs w:val="false"/>
                <w:i w:val="false"/>
                <w:iCs w:val="false"/>
                <w:color w:val="555555"/>
                <w:sz w:val="20"/>
                <w:szCs w:val="20"/>
              </w:rPr>
              <w:t xml:space="preserve">V2 has one test: can a customer run this without you? If you need to SSH into their server once a week to fix something, V2 has failed. The difference between a thesis project and a product is operational maturity — observability, automated recovery, real sensor support, and a UI that does not require a PhD.</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3"/>
        <w:spacing w:before="220" w:after="80"/>
      </w:pPr>
      <w:r>
        <w:rPr>
          <w:rFonts w:ascii="Arial" w:cs="Arial" w:eastAsia="Arial" w:hAnsi="Arial"/>
          <w:b/>
          <w:bCs/>
          <w:i w:val="false"/>
          <w:iCs w:val="false"/>
          <w:color w:val="1E6B3C"/>
          <w:sz w:val="23"/>
          <w:szCs w:val="23"/>
        </w:rPr>
        <w:t xml:space="preserve">V2 What Gets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4"/>
              <w:left w:val="single" w:color="CCCCCC" w:sz="4"/>
              <w:bottom w:val="single" w:color="CCCCCC" w:sz="4"/>
              <w:right w:val="single" w:color="CCCCCC" w:sz="4"/>
            </w:tcBorders>
            <w:shd w:fill="1E6B3C"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Component</w:t>
            </w:r>
          </w:p>
        </w:tc>
        <w:tc>
          <w:tcPr>
            <w:tcW w:type="dxa" w:w="2800"/>
            <w:tcBorders>
              <w:top w:val="single" w:color="CCCCCC" w:sz="4"/>
              <w:left w:val="single" w:color="CCCCCC" w:sz="4"/>
              <w:bottom w:val="single" w:color="CCCCCC" w:sz="4"/>
              <w:right w:val="single" w:color="CCCCCC" w:sz="4"/>
            </w:tcBorders>
            <w:shd w:fill="1E6B3C"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V2 Addition</w:t>
            </w:r>
          </w:p>
        </w:tc>
        <w:tc>
          <w:tcPr>
            <w:tcW w:type="dxa" w:w="4760"/>
            <w:tcBorders>
              <w:top w:val="single" w:color="CCCCCC" w:sz="4"/>
              <w:left w:val="single" w:color="CCCCCC" w:sz="4"/>
              <w:bottom w:val="single" w:color="CCCCCC" w:sz="4"/>
              <w:right w:val="single" w:color="CCCCCC" w:sz="4"/>
            </w:tcBorders>
            <w:shd w:fill="1E6B3C"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Why Now — Not V1</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SHAP Explainer</w:t>
            </w:r>
          </w:p>
        </w:tc>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FastAPI + TreeExplainer + async queue. P95 &lt; 500ms target.</w:t>
            </w:r>
          </w:p>
        </w:tc>
        <w:tc>
          <w:tcPr>
            <w:tcW w:type="dxa" w:w="4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Debugging surface acceptable once core pipeline stable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MLflow Registry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Experiment tracking, model versioning, S3 artifacts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Model lifecycle needed before multi-customer deployment</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Prometheus + Grafana</w:t>
            </w:r>
          </w:p>
        </w:tc>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 metrics exporter + Grafana dashboards + customer view</w:t>
            </w:r>
          </w:p>
        </w:tc>
        <w:tc>
          <w:tcPr>
            <w:tcW w:type="dxa" w:w="4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Customers need their own visibility — CloudWatch is internal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Full MQTT Stack</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Mosquitto + topic hierarchy + QoS levels + retained messages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Production alerting needs delivery guarantees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Lambda drift detector</w:t>
            </w:r>
          </w:p>
        </w:tc>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Daily CloudWatch EventBridge + S3 report + SNS notification</w:t>
            </w:r>
          </w:p>
        </w:tc>
        <w:tc>
          <w:tcPr>
            <w:tcW w:type="dxa" w:w="4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Automated drift detection before multi-site deployment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OPC-UA + MQTT sensors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Real sensor SDK clients — not synthetic replay</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Real customer data is messier and more valuable than CWRU</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Customer Web UI</w:t>
            </w:r>
          </w:p>
        </w:tc>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React SPA — site overview, anomaly history, alert config</w:t>
            </w:r>
          </w:p>
        </w:tc>
        <w:tc>
          <w:tcPr>
            <w:tcW w:type="dxa" w:w="4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Customers need a UI they can use without reading documentation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REST API</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FastAPI with JWT auth — site management, alert config</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Enables customer integrations and future mobile app</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Multi-site support</w:t>
            </w:r>
          </w:p>
        </w:tc>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Site isolation — separate NATS streams, separate S3 prefixes</w:t>
            </w:r>
          </w:p>
        </w:tc>
        <w:tc>
          <w:tcPr>
            <w:tcW w:type="dxa" w:w="4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First customers will have 2–5 factory sites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Twilio SMS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SMS alerting via Lambda + Twilio</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Critical alerts must reach operators away from computers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Terraform IaC</w:t>
            </w:r>
          </w:p>
        </w:tc>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All AWS resources defined in Terraform</w:t>
            </w:r>
          </w:p>
        </w:tc>
        <w:tc>
          <w:tcPr>
            <w:tcW w:type="dxa" w:w="4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New customer environment in &lt; 30 minutes reproducibly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GitHub Actions CI/CD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Automated tests on every push. Deploy on green main.</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Cannot ship to customers without regression testing</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MSK migration</w:t>
            </w:r>
          </w:p>
        </w:tc>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Kafka moves from local Docker to shared AWS MSK cluster</w:t>
            </w:r>
          </w:p>
        </w:tc>
        <w:tc>
          <w:tcPr>
            <w:tcW w:type="dxa" w:w="4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Local Docker Kafka not reliable enough for paying customers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Unit economics gate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Run per-site cost model. Delta Lake vs TimescaleDB decision.</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Before V3 pricing commitment, economics must be validated</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3"/>
        <w:spacing w:before="220" w:after="80"/>
      </w:pPr>
      <w:r>
        <w:rPr>
          <w:rFonts w:ascii="Arial" w:cs="Arial" w:eastAsia="Arial" w:hAnsi="Arial"/>
          <w:b/>
          <w:bCs/>
          <w:i w:val="false"/>
          <w:iCs w:val="false"/>
          <w:color w:val="1E6B3C"/>
          <w:sz w:val="23"/>
          <w:szCs w:val="23"/>
        </w:rPr>
        <w:t xml:space="preserve">V2 Six-Month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3800"/>
        <w:gridCol w:w="3260"/>
      </w:tblGrid>
      <w:tr>
        <w:tc>
          <w:tcPr>
            <w:tcW w:type="dxa" w:w="800"/>
            <w:tcBorders>
              <w:top w:val="single" w:color="CCCCCC" w:sz="4"/>
              <w:left w:val="single" w:color="CCCCCC" w:sz="4"/>
              <w:bottom w:val="single" w:color="CCCCCC" w:sz="4"/>
              <w:right w:val="single" w:color="CCCCCC" w:sz="4"/>
            </w:tcBorders>
            <w:shd w:fill="1E6B3C"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Month</w:t>
            </w:r>
          </w:p>
        </w:tc>
        <w:tc>
          <w:tcPr>
            <w:tcW w:type="dxa" w:w="1500"/>
            <w:tcBorders>
              <w:top w:val="single" w:color="CCCCCC" w:sz="4"/>
              <w:left w:val="single" w:color="CCCCCC" w:sz="4"/>
              <w:bottom w:val="single" w:color="CCCCCC" w:sz="4"/>
              <w:right w:val="single" w:color="CCCCCC" w:sz="4"/>
            </w:tcBorders>
            <w:shd w:fill="1E6B3C"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Focus</w:t>
            </w:r>
          </w:p>
        </w:tc>
        <w:tc>
          <w:tcPr>
            <w:tcW w:type="dxa" w:w="3800"/>
            <w:tcBorders>
              <w:top w:val="single" w:color="CCCCCC" w:sz="4"/>
              <w:left w:val="single" w:color="CCCCCC" w:sz="4"/>
              <w:bottom w:val="single" w:color="CCCCCC" w:sz="4"/>
              <w:right w:val="single" w:color="CCCCCC" w:sz="4"/>
            </w:tcBorders>
            <w:shd w:fill="1E6B3C"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Key Work</w:t>
            </w:r>
          </w:p>
        </w:tc>
        <w:tc>
          <w:tcPr>
            <w:tcW w:type="dxa" w:w="3260"/>
            <w:tcBorders>
              <w:top w:val="single" w:color="CCCCCC" w:sz="4"/>
              <w:left w:val="single" w:color="CCCCCC" w:sz="4"/>
              <w:bottom w:val="single" w:color="CCCCCC" w:sz="4"/>
              <w:right w:val="single" w:color="CCCCCC" w:sz="4"/>
            </w:tcBorders>
            <w:shd w:fill="1E6B3C"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Success Indicator</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3</w:t>
            </w:r>
          </w:p>
        </w:tc>
        <w:tc>
          <w:tcPr>
            <w:tcW w:type="dxa" w:w="15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Stabilise + SHAP</w:t>
            </w:r>
          </w:p>
        </w:tc>
        <w:tc>
          <w:tcPr>
            <w:tcW w:type="dxa" w:w="3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Add SHAP. Benchmark latency. Fix V1 issues.</w:t>
            </w:r>
          </w:p>
        </w:tc>
        <w:tc>
          <w:tcPr>
            <w:tcW w:type="dxa" w:w="32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P95 SHAP &lt; 500ms. All V1 tests still pass.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4</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MLflow + Observability</w:t>
            </w:r>
          </w:p>
        </w:tc>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Add MLflow. Prometheus + Grafana. Drift Lambda.</w:t>
            </w:r>
          </w:p>
        </w:tc>
        <w:tc>
          <w:tcPr>
            <w:tcW w:type="dxa" w:w="3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MLflow UI live. Grafana dashboard for all metrics.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5</w:t>
            </w:r>
          </w:p>
        </w:tc>
        <w:tc>
          <w:tcPr>
            <w:tcW w:type="dxa" w:w="15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Real Sensors</w:t>
            </w:r>
          </w:p>
        </w:tc>
        <w:tc>
          <w:tcPr>
            <w:tcW w:type="dxa" w:w="3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OPC-UA client. MQTT bridge. Real sensor data pipeline.</w:t>
            </w:r>
          </w:p>
        </w:tc>
        <w:tc>
          <w:tcPr>
            <w:tcW w:type="dxa" w:w="32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At least one real sensor type producing valid detections.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6</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Customer UI + API</w:t>
            </w:r>
          </w:p>
        </w:tc>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React dashboard. FastAPI REST API. JWT auth. Multi-site.</w:t>
            </w:r>
          </w:p>
        </w:tc>
        <w:tc>
          <w:tcPr>
            <w:tcW w:type="dxa" w:w="3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External user logs in and configures alerts without documentation.</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7</w:t>
            </w:r>
          </w:p>
        </w:tc>
        <w:tc>
          <w:tcPr>
            <w:tcW w:type="dxa" w:w="15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Infrastructure</w:t>
            </w:r>
          </w:p>
        </w:tc>
        <w:tc>
          <w:tcPr>
            <w:tcW w:type="dxa" w:w="3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MSK migration. Terraform IaC. CI/CD. Security review.</w:t>
            </w:r>
          </w:p>
        </w:tc>
        <w:tc>
          <w:tcPr>
            <w:tcW w:type="dxa" w:w="32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Full AWS deploy reproducible from Terraform in &lt; 30 minutes.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Beta Onboarding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Onboard 3 beta customers. 30-day pilots. Feedback.</w:t>
            </w:r>
          </w:p>
        </w:tc>
        <w:tc>
          <w:tcPr>
            <w:tcW w:type="dxa" w:w="3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 customers running 30 days. NPS &gt; 7.</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200"/>
      </w:tblGrid>
      <w:tr>
        <w:tc>
          <w:tcPr>
            <w:tcW w:type="dxa" w:w="3080"/>
            <w:tcBorders>
              <w:top w:val="single" w:color="1E6B3C" w:sz="8"/>
              <w:left w:val="single" w:color="1E6B3C" w:sz="4"/>
              <w:bottom w:val="single" w:color="1E6B3C" w:sz="4"/>
              <w:right w:val="single" w:color="1E6B3C" w:sz="4"/>
            </w:tcBorders>
            <w:shd w:fill="D5F5E3" w:val="clear"/>
            <w:tcMar>
              <w:top w:type="dxa" w:w="120"/>
              <w:left w:type="dxa" w:w="160"/>
              <w:bottom w:type="dxa" w:w="120"/>
              <w:right w:type="dxa" w:w="160"/>
            </w:tcMar>
          </w:tcPr>
          <w:p>
            <w:pPr>
              <w:spacing w:before="0" w:after="40"/>
              <w:jc w:val="center"/>
            </w:pPr>
            <w:r>
              <w:rPr>
                <w:rFonts w:ascii="Arial" w:cs="Arial" w:eastAsia="Arial" w:hAnsi="Arial"/>
                <w:b/>
                <w:bCs/>
                <w:i w:val="false"/>
                <w:iCs w:val="false"/>
                <w:color w:val="1E6B3C"/>
                <w:sz w:val="32"/>
                <w:szCs w:val="32"/>
              </w:rPr>
              <w:t xml:space="preserve">14</w:t>
            </w:r>
          </w:p>
          <w:p>
            <w:pPr>
              <w:spacing w:before="0" w:after="0"/>
              <w:jc w:val="center"/>
            </w:pPr>
            <w:r>
              <w:rPr>
                <w:rFonts w:ascii="Arial" w:cs="Arial" w:eastAsia="Arial" w:hAnsi="Arial"/>
                <w:b w:val="false"/>
                <w:bCs w:val="false"/>
                <w:i w:val="false"/>
                <w:iCs w:val="false"/>
                <w:color w:val="555555"/>
                <w:sz w:val="19"/>
                <w:szCs w:val="19"/>
              </w:rPr>
              <w:t xml:space="preserve">New Components Added</w:t>
            </w:r>
          </w:p>
        </w:tc>
        <w:tc>
          <w:tcPr>
            <w:tcW w:type="dxa" w:w="3080"/>
            <w:tcBorders>
              <w:top w:val="single" w:color="1E6B3C" w:sz="8"/>
              <w:left w:val="single" w:color="1E6B3C" w:sz="4"/>
              <w:bottom w:val="single" w:color="1E6B3C" w:sz="4"/>
              <w:right w:val="single" w:color="1E6B3C" w:sz="4"/>
            </w:tcBorders>
            <w:shd w:fill="D5F5E3" w:val="clear"/>
            <w:tcMar>
              <w:top w:type="dxa" w:w="120"/>
              <w:left w:type="dxa" w:w="160"/>
              <w:bottom w:type="dxa" w:w="120"/>
              <w:right w:type="dxa" w:w="160"/>
            </w:tcMar>
          </w:tcPr>
          <w:p>
            <w:pPr>
              <w:spacing w:before="0" w:after="40"/>
              <w:jc w:val="center"/>
            </w:pPr>
            <w:r>
              <w:rPr>
                <w:rFonts w:ascii="Arial" w:cs="Arial" w:eastAsia="Arial" w:hAnsi="Arial"/>
                <w:b/>
                <w:bCs/>
                <w:i w:val="false"/>
                <w:iCs w:val="false"/>
                <w:color w:val="1E6B3C"/>
                <w:sz w:val="32"/>
                <w:szCs w:val="32"/>
              </w:rPr>
              <w:t xml:space="preserve">3</w:t>
            </w:r>
          </w:p>
          <w:p>
            <w:pPr>
              <w:spacing w:before="0" w:after="0"/>
              <w:jc w:val="center"/>
            </w:pPr>
            <w:r>
              <w:rPr>
                <w:rFonts w:ascii="Arial" w:cs="Arial" w:eastAsia="Arial" w:hAnsi="Arial"/>
                <w:b w:val="false"/>
                <w:bCs w:val="false"/>
                <w:i w:val="false"/>
                <w:iCs w:val="false"/>
                <w:color w:val="555555"/>
                <w:sz w:val="19"/>
                <w:szCs w:val="19"/>
              </w:rPr>
              <w:t xml:space="preserve">Beta Customers Target</w:t>
            </w:r>
          </w:p>
        </w:tc>
        <w:tc>
          <w:tcPr>
            <w:tcW w:type="dxa" w:w="3200"/>
            <w:tcBorders>
              <w:top w:val="single" w:color="1E6B3C" w:sz="8"/>
              <w:left w:val="single" w:color="1E6B3C" w:sz="4"/>
              <w:bottom w:val="single" w:color="1E6B3C" w:sz="4"/>
              <w:right w:val="single" w:color="1E6B3C" w:sz="4"/>
            </w:tcBorders>
            <w:shd w:fill="D5F5E3" w:val="clear"/>
            <w:tcMar>
              <w:top w:type="dxa" w:w="120"/>
              <w:left w:type="dxa" w:w="160"/>
              <w:bottom w:type="dxa" w:w="120"/>
              <w:right w:type="dxa" w:w="160"/>
            </w:tcMar>
          </w:tcPr>
          <w:p>
            <w:pPr>
              <w:spacing w:before="0" w:after="40"/>
              <w:jc w:val="center"/>
            </w:pPr>
            <w:r>
              <w:rPr>
                <w:rFonts w:ascii="Arial" w:cs="Arial" w:eastAsia="Arial" w:hAnsi="Arial"/>
                <w:b/>
                <w:bCs/>
                <w:i w:val="false"/>
                <w:iCs w:val="false"/>
                <w:color w:val="1E6B3C"/>
                <w:sz w:val="32"/>
                <w:szCs w:val="32"/>
              </w:rPr>
              <w:t xml:space="preserve">£1k+</w:t>
            </w:r>
          </w:p>
          <w:p>
            <w:pPr>
              <w:spacing w:before="0" w:after="0"/>
              <w:jc w:val="center"/>
            </w:pPr>
            <w:r>
              <w:rPr>
                <w:rFonts w:ascii="Arial" w:cs="Arial" w:eastAsia="Arial" w:hAnsi="Arial"/>
                <w:b w:val="false"/>
                <w:bCs w:val="false"/>
                <w:i w:val="false"/>
                <w:iCs w:val="false"/>
                <w:color w:val="555555"/>
                <w:sz w:val="19"/>
                <w:szCs w:val="19"/>
              </w:rPr>
              <w:t xml:space="preserve">Target Pilot Revenue</w:t>
            </w:r>
          </w:p>
        </w:tc>
      </w:tr>
    </w:tbl>
    <w:p>
      <w:pPr>
        <w:spacing w:before="10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40" w:after="160"/>
      </w:pPr>
      <w:r>
        <w:rPr>
          <w:rFonts w:ascii="Arial" w:cs="Arial" w:eastAsia="Arial" w:hAnsi="Arial"/>
          <w:b/>
          <w:bCs/>
          <w:i w:val="false"/>
          <w:iCs w:val="false"/>
          <w:color w:val="1F3864"/>
          <w:sz w:val="34"/>
          <w:szCs w:val="34"/>
        </w:rPr>
        <w:t xml:space="preserve">5.  Architecture Decision Philosophy  (Revised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0"/>
              <w:left w:val="single" w:color="922B21" w:sz="4"/>
              <w:bottom w:val="single" w:color="922B21" w:sz="4"/>
              <w:right w:val="single" w:color="922B21" w:sz="4"/>
            </w:tcBorders>
            <w:shd w:fill="FDECEC" w:val="clear"/>
            <w:tcMar>
              <w:top w:type="dxa" w:w="150"/>
              <w:left w:type="dxa" w:w="220"/>
              <w:bottom w:type="dxa" w:w="150"/>
              <w:right w:type="dxa" w:w="180"/>
            </w:tcMar>
          </w:tcPr>
          <w:p>
            <w:pPr>
              <w:spacing w:before="0" w:after="80"/>
            </w:pPr>
            <w:r>
              <w:rPr>
                <w:rFonts w:ascii="Arial" w:cs="Arial" w:eastAsia="Arial" w:hAnsi="Arial"/>
                <w:b/>
                <w:bCs/>
                <w:i w:val="false"/>
                <w:iCs w:val="false"/>
                <w:color w:val="922B21"/>
                <w:sz w:val="21"/>
                <w:szCs w:val="21"/>
              </w:rPr>
              <w:t xml:space="preserve">⚠  Critical Correction from v1.0 of This Document</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Version 1.0 of this roadmap contained a section titled 'Technology Decisions That Never Change.'</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That framing was architecturally dangerous and has been completely removed.</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A real CTO never permanently locks technology at V1. Infrastructure must remain subordinate to business reality.</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What follows is the correct framework: three categories of decisions with different levels of commitment.</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7"/>
          <w:szCs w:val="27"/>
        </w:rPr>
        <w:t xml:space="preserve">5.1  The CTO's Three-Category Framework</w:t>
      </w:r>
    </w:p>
    <w:p>
      <w:pPr>
        <w:spacing w:before="60" w:after="100" w:line="320"/>
        <w:jc w:val="both"/>
      </w:pPr>
      <w:r>
        <w:rPr>
          <w:rFonts w:ascii="Arial" w:cs="Arial" w:eastAsia="Arial" w:hAnsi="Arial"/>
          <w:b w:val="false"/>
          <w:bCs w:val="false"/>
          <w:i w:val="false"/>
          <w:iCs w:val="false"/>
          <w:color w:val="111111"/>
          <w:sz w:val="22"/>
          <w:szCs w:val="22"/>
        </w:rPr>
        <w:t xml:space="preserve">Every technology decision belongs to exactly one of three categories. The mistake most engineers make — including the original version of this document — is treating Category 3 decisions as if they are Category 1 decisions. That rigidity kills startups when market conditions change.</w:t>
      </w:r>
    </w:p>
    <w:p>
      <w:pPr>
        <w:spacing w:before="60" w:after="0"/>
      </w:pPr>
      <w:r>
        <w:rPr>
          <w:rFonts w:ascii="Arial" w:cs="Arial" w:eastAsia="Arial" w:hAnsi="Arial"/>
          <w:b w:val="false"/>
          <w:bCs w:val="false"/>
          <w:i w:val="false"/>
          <w:iCs w:val="false"/>
          <w:color w:val="111111"/>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1600"/>
        <w:gridCol w:w="2760"/>
      </w:tblGrid>
      <w:tr>
        <w:tc>
          <w:tcPr>
            <w:tcW w:type="dxa" w:w="1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Category</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Definition</w:t>
            </w:r>
          </w:p>
        </w:tc>
        <w:tc>
          <w:tcPr>
            <w:tcW w:type="dxa" w:w="2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Examples</w:t>
            </w:r>
          </w:p>
        </w:tc>
        <w:tc>
          <w:tcPr>
            <w:tcW w:type="dxa" w:w="16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Commitment Level</w:t>
            </w:r>
          </w:p>
        </w:tc>
        <w:tc>
          <w:tcPr>
            <w:tcW w:type="dxa" w:w="276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Change Trigger</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 — Core Principles</w:t>
            </w:r>
          </w:p>
        </w:tc>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Architectural values that define the product. Changing these means building a different product.</w:t>
            </w:r>
          </w:p>
        </w:tc>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Data must never be lost during outage
Edge must be autonomous without WAN
Cost must scale proportionally with value delivered</w:t>
            </w:r>
          </w:p>
        </w:tc>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Permanent — only change if the product fundamentally pivots</w:t>
            </w:r>
          </w:p>
        </w:tc>
        <w:tc>
          <w:tcPr>
            <w:tcW w:type="dxa" w:w="2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Customer research proves the principle itself is wrong</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 — Current Best Decisions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Technology choices that are correct today given current scale, cost, and team knowledge. Will be revisited at defined gates.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as message bus
Delta Lake for storage
Python as primary language
AWS ap-south-1 as primary region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Default direction — change when evidence at a defined gate demands it</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Scale constraint, cost constraint, customer requirement, or better alternative proven</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 — Implementation Details</w:t>
            </w:r>
          </w:p>
        </w:tc>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Specific versions, configurations, and deployment scripts. Change constantly.</w:t>
            </w:r>
          </w:p>
        </w:tc>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Docker image versions
Spark batch interval (5 minutes)
Specific Lambda memory settings
Terraform resource names</w:t>
            </w:r>
          </w:p>
        </w:tc>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Change freely — they are implementation choices, not architectural choices</w:t>
            </w:r>
          </w:p>
        </w:tc>
        <w:tc>
          <w:tcPr>
            <w:tcW w:type="dxa" w:w="2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Any better option — no gate required</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7"/>
          <w:szCs w:val="27"/>
        </w:rPr>
        <w:t xml:space="preserve">5.2  Current Best Technology Decisions (Not Permanent)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5A11" w:sz="18"/>
              <w:bottom w:val="none" w:color="FFFFFF" w:sz="0"/>
              <w:right w:val="none" w:color="FFFFFF" w:sz="0"/>
            </w:tcBorders>
            <w:shd w:fill="FEF3EA" w:val="clear"/>
            <w:tcMar>
              <w:top w:type="dxa" w:w="120"/>
              <w:left w:type="dxa" w:w="220"/>
              <w:bottom w:type="dxa" w:w="120"/>
              <w:right w:type="dxa" w:w="180"/>
            </w:tcMar>
          </w:tcPr>
          <w:p>
            <w:pPr>
              <w:spacing w:before="0" w:after="0"/>
              <w:jc w:val="both"/>
            </w:pPr>
            <w:r>
              <w:rPr>
                <w:rFonts w:ascii="Arial" w:cs="Arial" w:eastAsia="Arial" w:hAnsi="Arial"/>
                <w:b w:val="false"/>
                <w:bCs w:val="false"/>
                <w:i w:val="false"/>
                <w:iCs w:val="false"/>
                <w:color w:val="555555"/>
                <w:sz w:val="20"/>
                <w:szCs w:val="20"/>
              </w:rPr>
              <w:t xml:space="preserve">Everything in this section is the best decision today based on current evidence. Each item has an explicit review gate where it will be re-evaluated. If evidence at the gate suggests a change, the change is made without sentiment.</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2200"/>
        <w:gridCol w:w="2760"/>
      </w:tblGrid>
      <w:tr>
        <w:tc>
          <w:tcPr>
            <w:tcW w:type="dxa" w:w="1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Decision</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Current Choice</w:t>
            </w:r>
          </w:p>
        </w:tc>
        <w:tc>
          <w:tcPr>
            <w:tcW w:type="dxa" w:w="16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Review Gate</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Change Condition</w:t>
            </w:r>
          </w:p>
        </w:tc>
        <w:tc>
          <w:tcPr>
            <w:tcW w:type="dxa" w:w="276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Alternative If Changed</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Message bus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NATS JetStream</w:t>
            </w:r>
          </w:p>
        </w:tc>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V2 Month 7 — before MSK migration</w:t>
            </w:r>
          </w:p>
        </w:tc>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If NATS clustering proves unreliable at &gt;10 sites</w:t>
            </w:r>
          </w:p>
        </w:tc>
        <w:tc>
          <w:tcPr>
            <w:tcW w:type="dxa" w:w="2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Redpanda (Kafka-compatible, no ZK, better perf)</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Stream processing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Apache Spark</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V2 Month 5 — unit economics gate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If EMR cost per site exceeds 15% of site revenue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Apache Flink (lower latency, cheaper at small scale)</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Lakehouse storage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Delta Lake on S3</w:t>
            </w:r>
          </w:p>
        </w:tc>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V2 Month 5 — unit economics gate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If customer query latency &gt; 2s or cost &gt; 15% of revenue</w:t>
            </w:r>
          </w:p>
        </w:tc>
        <w:tc>
          <w:tcPr>
            <w:tcW w:type="dxa" w:w="2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TimescaleDB (purpose-built time-series, cheaper queries)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ML inference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Isolation Forest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V2 Month 4 — real sensor data gate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If F1 drops below 0.85 on real customer data</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LSTM Autoencoder or customer-specific model selection</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Primary language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Python</w:t>
            </w:r>
          </w:p>
        </w:tc>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V3 Month 12 — scale gate</w:t>
            </w:r>
          </w:p>
        </w:tc>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If inference latency &gt; 50ms under real load</w:t>
            </w:r>
          </w:p>
        </w:tc>
        <w:tc>
          <w:tcPr>
            <w:tcW w:type="dxa" w:w="2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Rust edge agent (10x faster, lower RAM) — Python cloud layer stays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 provider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ap-south-1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V2 Month 6 — first customer requirement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If enterprise customer mandates Azure or GCP</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Azure IoT Hub + Azure Stream Analytics path documented</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Alert channel</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Lambda + SES + SMS</w:t>
            </w:r>
          </w:p>
        </w:tc>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V2 Month 5 — beta customer feedback</w:t>
            </w:r>
          </w:p>
        </w:tc>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If customers require on-premise alert broker</w:t>
            </w:r>
          </w:p>
        </w:tc>
        <w:tc>
          <w:tcPr>
            <w:tcW w:type="dxa" w:w="2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Self-hosted alert engine (no Lambda dependency)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engine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Hard-coded rules + thresholds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V3 Month 14 — multi-customer data available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If rule maintenance becomes unscalable across customers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Reinforcement learning policy trained on multi-site data</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7"/>
          <w:szCs w:val="27"/>
        </w:rPr>
        <w:t xml:space="preserve">5.3  Why Architectural Flexibility Is Survival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single" w:color="922B21" w:sz="18"/>
              <w:bottom w:val="none" w:color="FFFFFF" w:sz="0"/>
              <w:right w:val="none" w:color="FFFFFF" w:sz="0"/>
            </w:tcBorders>
            <w:shd w:fill="FDECEC" w:val="clear"/>
            <w:tcMar>
              <w:top w:type="dxa" w:w="140"/>
              <w:left w:type="dxa" w:w="180"/>
              <w:bottom w:type="dxa" w:w="140"/>
              <w:right w:type="dxa" w:w="180"/>
            </w:tcMar>
          </w:tcPr>
          <w:p>
            <w:pPr>
              <w:spacing w:before="0" w:after="80"/>
            </w:pPr>
            <w:r>
              <w:rPr>
                <w:rFonts w:ascii="Arial" w:cs="Arial" w:eastAsia="Arial" w:hAnsi="Arial"/>
                <w:b/>
                <w:bCs/>
                <w:i w:val="false"/>
                <w:iCs w:val="false"/>
                <w:color w:val="922B21"/>
                <w:sz w:val="21"/>
                <w:szCs w:val="21"/>
              </w:rPr>
              <w:t xml:space="preserve">What Kills Architecturally Rigid Startups</w:t>
            </w:r>
          </w:p>
          <w:p>
            <w:pPr>
              <w:pStyle w:val="ListParagraph"/>
              <w:numPr>
                <w:ilvl w:val="0"/>
                <w:numId w:val="2"/>
              </w:numPr>
              <w:spacing w:before="40" w:after="40" w:line="290"/>
            </w:pPr>
            <w:r>
              <w:rPr>
                <w:rFonts w:ascii="Arial" w:cs="Arial" w:eastAsia="Arial" w:hAnsi="Arial"/>
                <w:b w:val="false"/>
                <w:bCs w:val="false"/>
                <w:i w:val="false"/>
                <w:iCs w:val="false"/>
                <w:color w:val="555555"/>
                <w:sz w:val="19"/>
                <w:szCs w:val="19"/>
              </w:rPr>
              <w:t xml:space="preserve">MSK becomes cost-prohibitive as customer count grows — no exit strategy defined</w:t>
            </w:r>
          </w:p>
          <w:p>
            <w:pPr>
              <w:pStyle w:val="ListParagraph"/>
              <w:numPr>
                <w:ilvl w:val="0"/>
                <w:numId w:val="2"/>
              </w:numPr>
              <w:spacing w:before="40" w:after="40" w:line="290"/>
            </w:pPr>
            <w:r>
              <w:rPr>
                <w:rFonts w:ascii="Arial" w:cs="Arial" w:eastAsia="Arial" w:hAnsi="Arial"/>
                <w:b w:val="false"/>
                <w:bCs w:val="false"/>
                <w:i w:val="false"/>
                <w:iCs w:val="false"/>
                <w:color w:val="555555"/>
                <w:sz w:val="19"/>
                <w:szCs w:val="19"/>
              </w:rPr>
              <w:t xml:space="preserve">Enterprise customer requires Azure — product cannot deploy, deal lost</w:t>
            </w:r>
          </w:p>
          <w:p>
            <w:pPr>
              <w:pStyle w:val="ListParagraph"/>
              <w:numPr>
                <w:ilvl w:val="0"/>
                <w:numId w:val="2"/>
              </w:numPr>
              <w:spacing w:before="40" w:after="40" w:line="290"/>
            </w:pPr>
            <w:r>
              <w:rPr>
                <w:rFonts w:ascii="Arial" w:cs="Arial" w:eastAsia="Arial" w:hAnsi="Arial"/>
                <w:b w:val="false"/>
                <w:bCs w:val="false"/>
                <w:i w:val="false"/>
                <w:iCs w:val="false"/>
                <w:color w:val="555555"/>
                <w:sz w:val="19"/>
                <w:szCs w:val="19"/>
              </w:rPr>
              <w:t xml:space="preserve">Delta Lake too heavy for SME scale — unit economics fail, company loses money per site</w:t>
            </w:r>
          </w:p>
          <w:p>
            <w:pPr>
              <w:pStyle w:val="ListParagraph"/>
              <w:numPr>
                <w:ilvl w:val="0"/>
                <w:numId w:val="2"/>
              </w:numPr>
              <w:spacing w:before="40" w:after="40" w:line="290"/>
            </w:pPr>
            <w:r>
              <w:rPr>
                <w:rFonts w:ascii="Arial" w:cs="Arial" w:eastAsia="Arial" w:hAnsi="Arial"/>
                <w:b w:val="false"/>
                <w:bCs w:val="false"/>
                <w:i w:val="false"/>
                <w:iCs w:val="false"/>
                <w:color w:val="555555"/>
                <w:sz w:val="19"/>
                <w:szCs w:val="19"/>
              </w:rPr>
              <w:t xml:space="preserve">Better technology emerges — competitors adopt it, you cannot because you said 'never'</w:t>
            </w:r>
          </w:p>
          <w:p>
            <w:pPr>
              <w:pStyle w:val="ListParagraph"/>
              <w:numPr>
                <w:ilvl w:val="0"/>
                <w:numId w:val="2"/>
              </w:numPr>
              <w:spacing w:before="40" w:after="40" w:line="290"/>
            </w:pPr>
            <w:r>
              <w:rPr>
                <w:rFonts w:ascii="Arial" w:cs="Arial" w:eastAsia="Arial" w:hAnsi="Arial"/>
                <w:b w:val="false"/>
                <w:bCs w:val="false"/>
                <w:i w:val="false"/>
                <w:iCs w:val="false"/>
                <w:color w:val="555555"/>
                <w:sz w:val="19"/>
                <w:szCs w:val="19"/>
              </w:rPr>
              <w:t xml:space="preserve">Pivot required — core architecture cannot accommodate new direction</w:t>
            </w:r>
          </w:p>
          <w:p>
            <w:pPr>
              <w:pStyle w:val="ListParagraph"/>
              <w:numPr>
                <w:ilvl w:val="0"/>
                <w:numId w:val="2"/>
              </w:numPr>
              <w:spacing w:before="40" w:after="40" w:line="290"/>
            </w:pPr>
            <w:r>
              <w:rPr>
                <w:rFonts w:ascii="Arial" w:cs="Arial" w:eastAsia="Arial" w:hAnsi="Arial"/>
                <w:b w:val="false"/>
                <w:bCs w:val="false"/>
                <w:i w:val="false"/>
                <w:iCs w:val="false"/>
                <w:color w:val="555555"/>
                <w:sz w:val="19"/>
                <w:szCs w:val="19"/>
              </w:rPr>
              <w:t xml:space="preserve">Team changes — new engineers know different tools, cannot change your locked choices</w:t>
            </w:r>
          </w:p>
        </w:tc>
        <w:tc>
          <w:tcPr>
            <w:tcW w:type="dxa" w:w="4760"/>
            <w:tcBorders>
              <w:top w:val="none" w:color="FFFFFF" w:sz="0"/>
              <w:left w:val="single" w:color="1E6B3C" w:sz="18"/>
              <w:bottom w:val="none" w:color="FFFFFF" w:sz="0"/>
              <w:right w:val="none" w:color="FFFFFF" w:sz="0"/>
            </w:tcBorders>
            <w:shd w:fill="D5F5E3" w:val="clear"/>
            <w:tcMar>
              <w:top w:type="dxa" w:w="140"/>
              <w:left w:type="dxa" w:w="180"/>
              <w:bottom w:type="dxa" w:w="140"/>
              <w:right w:type="dxa" w:w="180"/>
            </w:tcMar>
          </w:tcPr>
          <w:p>
            <w:pPr>
              <w:spacing w:before="0" w:after="80"/>
            </w:pPr>
            <w:r>
              <w:rPr>
                <w:rFonts w:ascii="Arial" w:cs="Arial" w:eastAsia="Arial" w:hAnsi="Arial"/>
                <w:b/>
                <w:bCs/>
                <w:i w:val="false"/>
                <w:iCs w:val="false"/>
                <w:color w:val="1E6B3C"/>
                <w:sz w:val="21"/>
                <w:szCs w:val="21"/>
              </w:rPr>
              <w:t xml:space="preserve">What Architecturally Flexible Startups Do</w:t>
            </w:r>
          </w:p>
          <w:p>
            <w:pPr>
              <w:pStyle w:val="ListParagraph"/>
              <w:numPr>
                <w:ilvl w:val="0"/>
                <w:numId w:val="2"/>
              </w:numPr>
              <w:spacing w:before="40" w:after="40" w:line="290"/>
            </w:pPr>
            <w:r>
              <w:rPr>
                <w:rFonts w:ascii="Arial" w:cs="Arial" w:eastAsia="Arial" w:hAnsi="Arial"/>
                <w:b w:val="false"/>
                <w:bCs w:val="false"/>
                <w:i w:val="false"/>
                <w:iCs w:val="false"/>
                <w:color w:val="555555"/>
                <w:sz w:val="19"/>
                <w:szCs w:val="19"/>
              </w:rPr>
              <w:t xml:space="preserve">Define interfaces, not implementations — swap internals without touching edges</w:t>
            </w:r>
          </w:p>
          <w:p>
            <w:pPr>
              <w:pStyle w:val="ListParagraph"/>
              <w:numPr>
                <w:ilvl w:val="0"/>
                <w:numId w:val="2"/>
              </w:numPr>
              <w:spacing w:before="40" w:after="40" w:line="290"/>
            </w:pPr>
            <w:r>
              <w:rPr>
                <w:rFonts w:ascii="Arial" w:cs="Arial" w:eastAsia="Arial" w:hAnsi="Arial"/>
                <w:b w:val="false"/>
                <w:bCs w:val="false"/>
                <w:i w:val="false"/>
                <w:iCs w:val="false"/>
                <w:color w:val="555555"/>
                <w:sz w:val="19"/>
                <w:szCs w:val="19"/>
              </w:rPr>
              <w:t xml:space="preserve">Abstract infrastructure behind config — change provider by changing config, not code</w:t>
            </w:r>
          </w:p>
          <w:p>
            <w:pPr>
              <w:pStyle w:val="ListParagraph"/>
              <w:numPr>
                <w:ilvl w:val="0"/>
                <w:numId w:val="2"/>
              </w:numPr>
              <w:spacing w:before="40" w:after="40" w:line="290"/>
            </w:pPr>
            <w:r>
              <w:rPr>
                <w:rFonts w:ascii="Arial" w:cs="Arial" w:eastAsia="Arial" w:hAnsi="Arial"/>
                <w:b w:val="false"/>
                <w:bCs w:val="false"/>
                <w:i w:val="false"/>
                <w:iCs w:val="false"/>
                <w:color w:val="555555"/>
                <w:sz w:val="19"/>
                <w:szCs w:val="19"/>
              </w:rPr>
              <w:t xml:space="preserve">Run architecture gates at scale milestones — re-evaluate before committing</w:t>
            </w:r>
          </w:p>
          <w:p>
            <w:pPr>
              <w:pStyle w:val="ListParagraph"/>
              <w:numPr>
                <w:ilvl w:val="0"/>
                <w:numId w:val="2"/>
              </w:numPr>
              <w:spacing w:before="40" w:after="40" w:line="290"/>
            </w:pPr>
            <w:r>
              <w:rPr>
                <w:rFonts w:ascii="Arial" w:cs="Arial" w:eastAsia="Arial" w:hAnsi="Arial"/>
                <w:b w:val="false"/>
                <w:bCs w:val="false"/>
                <w:i w:val="false"/>
                <w:iCs w:val="false"/>
                <w:color w:val="555555"/>
                <w:sz w:val="19"/>
                <w:szCs w:val="19"/>
              </w:rPr>
              <w:t xml:space="preserve">Document the 'why' not just the 'what' — future you knows when the why stops applying</w:t>
            </w:r>
          </w:p>
          <w:p>
            <w:pPr>
              <w:pStyle w:val="ListParagraph"/>
              <w:numPr>
                <w:ilvl w:val="0"/>
                <w:numId w:val="2"/>
              </w:numPr>
              <w:spacing w:before="40" w:after="40" w:line="290"/>
            </w:pPr>
            <w:r>
              <w:rPr>
                <w:rFonts w:ascii="Arial" w:cs="Arial" w:eastAsia="Arial" w:hAnsi="Arial"/>
                <w:b w:val="false"/>
                <w:bCs w:val="false"/>
                <w:i w:val="false"/>
                <w:iCs w:val="false"/>
                <w:color w:val="555555"/>
                <w:sz w:val="19"/>
                <w:szCs w:val="19"/>
              </w:rPr>
              <w:t xml:space="preserve">Treat cloud vendor as infrastructure, not identity — you are not 'an AWS company'</w:t>
            </w:r>
          </w:p>
          <w:p>
            <w:pPr>
              <w:pStyle w:val="ListParagraph"/>
              <w:numPr>
                <w:ilvl w:val="0"/>
                <w:numId w:val="2"/>
              </w:numPr>
              <w:spacing w:before="40" w:after="40" w:line="290"/>
            </w:pPr>
            <w:r>
              <w:rPr>
                <w:rFonts w:ascii="Arial" w:cs="Arial" w:eastAsia="Arial" w:hAnsi="Arial"/>
                <w:b w:val="false"/>
                <w:bCs w:val="false"/>
                <w:i w:val="false"/>
                <w:iCs w:val="false"/>
                <w:color w:val="555555"/>
                <w:sz w:val="19"/>
                <w:szCs w:val="19"/>
              </w:rPr>
              <w:t xml:space="preserve">Keep competitor architecture knowledge current — know your escape routes</w:t>
            </w:r>
          </w:p>
        </w:tc>
      </w:tr>
    </w:tbl>
    <w:p>
      <w:pPr>
        <w:spacing w:before="10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40" w:after="160"/>
      </w:pPr>
      <w:r>
        <w:rPr>
          <w:rFonts w:ascii="Arial" w:cs="Arial" w:eastAsia="Arial" w:hAnsi="Arial"/>
          <w:b/>
          <w:bCs/>
          <w:i w:val="false"/>
          <w:iCs w:val="false"/>
          <w:color w:val="1F3864"/>
          <w:sz w:val="34"/>
          <w:szCs w:val="34"/>
        </w:rPr>
        <w:t xml:space="preserve">6.  Unit Economics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0"/>
              <w:left w:val="single" w:color="922B21" w:sz="4"/>
              <w:bottom w:val="single" w:color="922B21" w:sz="4"/>
              <w:right w:val="single" w:color="922B21" w:sz="4"/>
            </w:tcBorders>
            <w:shd w:fill="FDECEC" w:val="clear"/>
            <w:tcMar>
              <w:top w:type="dxa" w:w="150"/>
              <w:left w:type="dxa" w:w="220"/>
              <w:bottom w:type="dxa" w:w="150"/>
              <w:right w:type="dxa" w:w="180"/>
            </w:tcMar>
          </w:tcPr>
          <w:p>
            <w:pPr>
              <w:spacing w:before="0" w:after="80"/>
            </w:pPr>
            <w:r>
              <w:rPr>
                <w:rFonts w:ascii="Arial" w:cs="Arial" w:eastAsia="Arial" w:hAnsi="Arial"/>
                <w:b/>
                <w:bCs/>
                <w:i w:val="false"/>
                <w:iCs w:val="false"/>
                <w:color w:val="922B21"/>
                <w:sz w:val="21"/>
                <w:szCs w:val="21"/>
              </w:rPr>
              <w:t xml:space="preserve">⚠  This Section Did Not Exist in v1.0 — It Is Now Mandatory</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Architectural elegance means nothing if the economics do not work.</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A £199/month customer with a £180/month cloud bill is not a business — it is charity to AWS.</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Every architecture decision in V2 and V3 must pass a unit economics gate before being locked in.</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The models below are the first version. They must be re-run with real data in V2 Month 5.</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7"/>
          <w:szCs w:val="27"/>
        </w:rPr>
        <w:t xml:space="preserve">6.1  Cost Model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Parameter</w:t>
            </w:r>
          </w:p>
        </w:tc>
        <w:tc>
          <w:tcPr>
            <w:tcW w:type="dxa" w:w="30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Value</w:t>
            </w:r>
          </w:p>
        </w:tc>
        <w:tc>
          <w:tcPr>
            <w:tcW w:type="dxa" w:w="356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Source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Sensor rate</w:t>
            </w:r>
          </w:p>
        </w:tc>
        <w:tc>
          <w:tcPr>
            <w:tcW w:type="dxa" w:w="3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100 Hz per sensor</w:t>
            </w:r>
          </w:p>
        </w:tc>
        <w:tc>
          <w:tcPr>
            <w:tcW w:type="dxa" w:w="3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CWRU dataset standard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Event size (JSON)</w:t>
            </w:r>
          </w:p>
        </w:tc>
        <w:tc>
          <w:tcPr>
            <w:tcW w:type="dxa" w:w="30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~200 bytes uncompressed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Measured in V1</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Parquet compression ratio</w:t>
            </w:r>
          </w:p>
        </w:tc>
        <w:tc>
          <w:tcPr>
            <w:tcW w:type="dxa" w:w="3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10:1</w:t>
            </w:r>
          </w:p>
        </w:tc>
        <w:tc>
          <w:tcPr>
            <w:tcW w:type="dxa" w:w="3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Standard columnar compression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Spark job duration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30 seconds per 5-minute micro-batch</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V1 local measurement — re-measure in V2</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SHAP anomaly rate</w:t>
            </w:r>
          </w:p>
        </w:tc>
        <w:tc>
          <w:tcPr>
            <w:tcW w:type="dxa" w:w="3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 of events</w:t>
            </w:r>
          </w:p>
        </w:tc>
        <w:tc>
          <w:tcPr>
            <w:tcW w:type="dxa" w:w="3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CWRU dataset baseline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SHAP compute time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50ms per anomaly on Lambda 512MB</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Benchmark target — measure in V2</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MSK broker cost</w:t>
            </w:r>
          </w:p>
        </w:tc>
        <w:tc>
          <w:tcPr>
            <w:tcW w:type="dxa" w:w="3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$0.21/hour per broker</w:t>
            </w:r>
          </w:p>
        </w:tc>
        <w:tc>
          <w:tcPr>
            <w:tcW w:type="dxa" w:w="3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ap-south-1 pricing Feb 2026</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EMR Serverless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$0.052/vCPU-hour + $0.0057/GB-hour</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ap-south-1 pricing Feb 2026</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S3 storage</w:t>
            </w:r>
          </w:p>
        </w:tc>
        <w:tc>
          <w:tcPr>
            <w:tcW w:type="dxa" w:w="3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$0.023/GB/month</w:t>
            </w:r>
          </w:p>
        </w:tc>
        <w:tc>
          <w:tcPr>
            <w:tcW w:type="dxa" w:w="3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ap-south-1 pricing Feb 2026</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S3 PUT requests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$0.005 per 1,000</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ap-south-1 pricing Feb 2026</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Lambda compute</w:t>
            </w:r>
          </w:p>
        </w:tc>
        <w:tc>
          <w:tcPr>
            <w:tcW w:type="dxa" w:w="3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$0.0000166667 per GB-second</w:t>
            </w:r>
          </w:p>
        </w:tc>
        <w:tc>
          <w:tcPr>
            <w:tcW w:type="dxa" w:w="3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standard pricing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EC2 t3.small (NATS)</w:t>
            </w:r>
          </w:p>
        </w:tc>
        <w:tc>
          <w:tcPr>
            <w:tcW w:type="dxa" w:w="30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$0.023/hour = ~$16/month</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ap-south-1 on-demand</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7"/>
          <w:szCs w:val="27"/>
        </w:rPr>
        <w:t xml:space="preserve">6.2  Per-Site Cost Model — Starter Tier (3 Sensors, 100Hz)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2"/>
              <w:left w:val="single" w:color="1A7A6E" w:sz="14"/>
              <w:bottom w:val="single" w:color="1A7A6E" w:sz="2"/>
              <w:right w:val="single" w:color="1A7A6E" w:sz="2"/>
            </w:tcBorders>
            <w:shd w:fill="0D1B2A" w:val="clear"/>
            <w:tcMar>
              <w:top w:type="dxa" w:w="140"/>
              <w:left w:type="dxa" w:w="200"/>
              <w:bottom w:type="dxa" w:w="140"/>
              <w:right w:type="dxa" w:w="200"/>
            </w:tcMar>
          </w:tcPr>
          <w:p>
            <w:pPr>
              <w:spacing w:before="0" w:after="60"/>
            </w:pPr>
            <w:r>
              <w:rPr>
                <w:rFonts w:ascii="Courier New" w:cs="Courier New" w:eastAsia="Courier New" w:hAnsi="Courier New"/>
                <w:color w:val="00CC99"/>
                <w:sz w:val="19"/>
                <w:szCs w:val="19"/>
              </w:rPr>
              <w:t xml:space="preserve">Unit Economics — Starter Tier — 3 Sensors at 100Hz</w:t>
            </w:r>
          </w:p>
          <w:p>
            <w:pPr>
              <w:spacing w:before="12" w:after="12"/>
            </w:pPr>
            <w:r>
              <w:rPr>
                <w:rFonts w:ascii="Courier New" w:cs="Courier New" w:eastAsia="Courier New" w:hAnsi="Courier New"/>
                <w:color w:val="E0E0E0"/>
                <w:sz w:val="18"/>
                <w:szCs w:val="18"/>
              </w:rPr>
              <w:t xml:space="preserve">DATA VOLUME:</w:t>
            </w:r>
          </w:p>
          <w:p>
            <w:pPr>
              <w:spacing w:before="12" w:after="12"/>
            </w:pPr>
            <w:r>
              <w:rPr>
                <w:rFonts w:ascii="Courier New" w:cs="Courier New" w:eastAsia="Courier New" w:hAnsi="Courier New"/>
                <w:color w:val="E0E0E0"/>
                <w:sz w:val="18"/>
                <w:szCs w:val="18"/>
              </w:rPr>
              <w:t xml:space="preserve">  3 sensors × 100 events/s × 86,400 s/day         = 25.9M events/day</w:t>
            </w:r>
          </w:p>
          <w:p>
            <w:pPr>
              <w:spacing w:before="12" w:after="12"/>
            </w:pPr>
            <w:r>
              <w:rPr>
                <w:rFonts w:ascii="Courier New" w:cs="Courier New" w:eastAsia="Courier New" w:hAnsi="Courier New"/>
                <w:color w:val="E0E0E0"/>
                <w:sz w:val="18"/>
                <w:szCs w:val="18"/>
              </w:rPr>
              <w:t xml:space="preserve">  25.9M × 200 bytes                                = 5.18 GB raw/day</w:t>
            </w:r>
          </w:p>
          <w:p>
            <w:pPr>
              <w:spacing w:before="12" w:after="12"/>
            </w:pPr>
            <w:r>
              <w:rPr>
                <w:rFonts w:ascii="Courier New" w:cs="Courier New" w:eastAsia="Courier New" w:hAnsi="Courier New"/>
                <w:color w:val="E0E0E0"/>
                <w:sz w:val="18"/>
                <w:szCs w:val="18"/>
              </w:rPr>
              <w:t xml:space="preserve">  5.18 GB ÷ 10 (Parquet compression)               = 518 MB stored/day</w:t>
            </w:r>
          </w:p>
          <w:p>
            <w:pPr>
              <w:spacing w:before="12" w:after="12"/>
            </w:pPr>
            <w:r>
              <w:rPr>
                <w:rFonts w:ascii="Courier New" w:cs="Courier New" w:eastAsia="Courier New" w:hAnsi="Courier New"/>
                <w:color w:val="E0E0E0"/>
                <w:sz w:val="18"/>
                <w:szCs w:val="18"/>
              </w:rPr>
              <w:t xml:space="preserve">  518 MB × 30 days                                 = 15.5 GB/month stored</w:t>
            </w:r>
          </w:p>
          <w:p>
            <w:pPr>
              <w:spacing w:before="12" w:after="12"/>
            </w:pPr>
            <w:r>
              <w:rPr>
                <w:rFonts w:ascii="Courier New" w:cs="Courier New" w:eastAsia="Courier New" w:hAnsi="Courier New"/>
                <w:color w:val="E0E0E0"/>
                <w:sz w:val="18"/>
                <w:szCs w:val="18"/>
              </w:rPr>
              <w:t xml:space="preserve"/>
            </w:r>
          </w:p>
          <w:p>
            <w:pPr>
              <w:spacing w:before="12" w:after="12"/>
            </w:pPr>
            <w:r>
              <w:rPr>
                <w:rFonts w:ascii="Courier New" w:cs="Courier New" w:eastAsia="Courier New" w:hAnsi="Courier New"/>
                <w:color w:val="E0E0E0"/>
                <w:sz w:val="18"/>
                <w:szCs w:val="18"/>
              </w:rPr>
              <w:t xml:space="preserve">S3 COSTS:</w:t>
            </w:r>
          </w:p>
          <w:p>
            <w:pPr>
              <w:spacing w:before="12" w:after="12"/>
            </w:pPr>
            <w:r>
              <w:rPr>
                <w:rFonts w:ascii="Courier New" w:cs="Courier New" w:eastAsia="Courier New" w:hAnsi="Courier New"/>
                <w:color w:val="E0E0E0"/>
                <w:sz w:val="18"/>
                <w:szCs w:val="18"/>
              </w:rPr>
              <w:t xml:space="preserve">  Storage: 15.5 GB × $0.023                        = $0.36/month</w:t>
            </w:r>
          </w:p>
          <w:p>
            <w:pPr>
              <w:spacing w:before="12" w:after="12"/>
            </w:pPr>
            <w:r>
              <w:rPr>
                <w:rFonts w:ascii="Courier New" w:cs="Courier New" w:eastAsia="Courier New" w:hAnsi="Courier New"/>
                <w:color w:val="E0E0E0"/>
                <w:sz w:val="18"/>
                <w:szCs w:val="18"/>
              </w:rPr>
              <w:t xml:space="preserve">  PUT requests (5-min batches): 288/day × 30       = 8,640 PUTs/month</w:t>
            </w:r>
          </w:p>
          <w:p>
            <w:pPr>
              <w:spacing w:before="12" w:after="12"/>
            </w:pPr>
            <w:r>
              <w:rPr>
                <w:rFonts w:ascii="Courier New" w:cs="Courier New" w:eastAsia="Courier New" w:hAnsi="Courier New"/>
                <w:color w:val="E0E0E0"/>
                <w:sz w:val="18"/>
                <w:szCs w:val="18"/>
              </w:rPr>
              <w:t xml:space="preserve">  8,640 × $0.005 / 1,000                           = $0.04/month</w:t>
            </w:r>
          </w:p>
          <w:p>
            <w:pPr>
              <w:spacing w:before="12" w:after="12"/>
            </w:pPr>
            <w:r>
              <w:rPr>
                <w:rFonts w:ascii="Courier New" w:cs="Courier New" w:eastAsia="Courier New" w:hAnsi="Courier New"/>
                <w:color w:val="E0E0E0"/>
                <w:sz w:val="18"/>
                <w:szCs w:val="18"/>
              </w:rPr>
              <w:t xml:space="preserve">  S3 TOTAL:                                         = $0.40/month  ✅</w:t>
            </w:r>
          </w:p>
          <w:p>
            <w:pPr>
              <w:spacing w:before="12" w:after="12"/>
            </w:pPr>
            <w:r>
              <w:rPr>
                <w:rFonts w:ascii="Courier New" w:cs="Courier New" w:eastAsia="Courier New" w:hAnsi="Courier New"/>
                <w:color w:val="E0E0E0"/>
                <w:sz w:val="18"/>
                <w:szCs w:val="18"/>
              </w:rPr>
              <w:t xml:space="preserve"/>
            </w:r>
          </w:p>
          <w:p>
            <w:pPr>
              <w:spacing w:before="12" w:after="12"/>
            </w:pPr>
            <w:r>
              <w:rPr>
                <w:rFonts w:ascii="Courier New" w:cs="Courier New" w:eastAsia="Courier New" w:hAnsi="Courier New"/>
                <w:color w:val="E0E0E0"/>
                <w:sz w:val="18"/>
                <w:szCs w:val="18"/>
              </w:rPr>
              <w:t xml:space="preserve">SPARK EMR SERVERLESS:</w:t>
            </w:r>
          </w:p>
          <w:p>
            <w:pPr>
              <w:spacing w:before="12" w:after="12"/>
            </w:pPr>
            <w:r>
              <w:rPr>
                <w:rFonts w:ascii="Courier New" w:cs="Courier New" w:eastAsia="Courier New" w:hAnsi="Courier New"/>
                <w:color w:val="E0E0E0"/>
                <w:sz w:val="18"/>
                <w:szCs w:val="18"/>
              </w:rPr>
              <w:t xml:space="preserve">  Jobs: 288/day × 30 days                          = 8,640 jobs/month</w:t>
            </w:r>
          </w:p>
          <w:p>
            <w:pPr>
              <w:spacing w:before="12" w:after="12"/>
            </w:pPr>
            <w:r>
              <w:rPr>
                <w:rFonts w:ascii="Courier New" w:cs="Courier New" w:eastAsia="Courier New" w:hAnsi="Courier New"/>
                <w:color w:val="E0E0E0"/>
                <w:sz w:val="18"/>
                <w:szCs w:val="18"/>
              </w:rPr>
              <w:t xml:space="preserve">  Per job: 30s × 1 vCPU × 2 GB RAM</w:t>
            </w:r>
          </w:p>
          <w:p>
            <w:pPr>
              <w:spacing w:before="12" w:after="12"/>
            </w:pPr>
            <w:r>
              <w:rPr>
                <w:rFonts w:ascii="Courier New" w:cs="Courier New" w:eastAsia="Courier New" w:hAnsi="Courier New"/>
                <w:color w:val="E0E0E0"/>
                <w:sz w:val="18"/>
                <w:szCs w:val="18"/>
              </w:rPr>
              <w:t xml:space="preserve">  vCPU-hours: 8,640 × (30/3600)                    = 72 vCPU-hours/month</w:t>
            </w:r>
          </w:p>
          <w:p>
            <w:pPr>
              <w:spacing w:before="12" w:after="12"/>
            </w:pPr>
            <w:r>
              <w:rPr>
                <w:rFonts w:ascii="Courier New" w:cs="Courier New" w:eastAsia="Courier New" w:hAnsi="Courier New"/>
                <w:color w:val="E0E0E0"/>
                <w:sz w:val="18"/>
                <w:szCs w:val="18"/>
              </w:rPr>
              <w:t xml:space="preserve">  Memory GB-hours: 72 × 2                          = 144 GB-hours/month</w:t>
            </w:r>
          </w:p>
          <w:p>
            <w:pPr>
              <w:spacing w:before="12" w:after="12"/>
            </w:pPr>
            <w:r>
              <w:rPr>
                <w:rFonts w:ascii="Courier New" w:cs="Courier New" w:eastAsia="Courier New" w:hAnsi="Courier New"/>
                <w:color w:val="E0E0E0"/>
                <w:sz w:val="18"/>
                <w:szCs w:val="18"/>
              </w:rPr>
              <w:t xml:space="preserve">  Cost: (72 × $0.052) + (144 × $0.0057)            = $3.74 + $0.82 = $4.56/month  ✅</w:t>
            </w:r>
          </w:p>
          <w:p>
            <w:pPr>
              <w:spacing w:before="12" w:after="12"/>
            </w:pPr>
            <w:r>
              <w:rPr>
                <w:rFonts w:ascii="Courier New" w:cs="Courier New" w:eastAsia="Courier New" w:hAnsi="Courier New"/>
                <w:color w:val="E0E0E0"/>
                <w:sz w:val="18"/>
                <w:szCs w:val="18"/>
              </w:rPr>
              <w:t xml:space="preserve"/>
            </w:r>
          </w:p>
          <w:p>
            <w:pPr>
              <w:spacing w:before="12" w:after="12"/>
            </w:pPr>
            <w:r>
              <w:rPr>
                <w:rFonts w:ascii="Courier New" w:cs="Courier New" w:eastAsia="Courier New" w:hAnsi="Courier New"/>
                <w:color w:val="E0E0E0"/>
                <w:sz w:val="18"/>
                <w:szCs w:val="18"/>
              </w:rPr>
              <w:t xml:space="preserve">SHAP LAMBDA (5% anomaly rate):</w:t>
            </w:r>
          </w:p>
          <w:p>
            <w:pPr>
              <w:spacing w:before="12" w:after="12"/>
            </w:pPr>
            <w:r>
              <w:rPr>
                <w:rFonts w:ascii="Courier New" w:cs="Courier New" w:eastAsia="Courier New" w:hAnsi="Courier New"/>
                <w:color w:val="E0E0E0"/>
                <w:sz w:val="18"/>
                <w:szCs w:val="18"/>
              </w:rPr>
              <w:t xml:space="preserve">  Anomaly events: 25.9M × 0.05 × 30               = 38.85M/month (⚠ HIGH)</w:t>
            </w:r>
          </w:p>
          <w:p>
            <w:pPr>
              <w:spacing w:before="12" w:after="12"/>
            </w:pPr>
            <w:r>
              <w:rPr>
                <w:rFonts w:ascii="Courier New" w:cs="Courier New" w:eastAsia="Courier New" w:hAnsi="Courier New"/>
                <w:color w:val="E0E0E0"/>
                <w:sz w:val="18"/>
                <w:szCs w:val="18"/>
              </w:rPr>
              <w:t xml:space="preserve">  BUT — SHAP only in HYBRID mode (~20% of time)    = 7.77M SHAP calls/month</w:t>
            </w:r>
          </w:p>
          <w:p>
            <w:pPr>
              <w:spacing w:before="12" w:after="12"/>
            </w:pPr>
            <w:r>
              <w:rPr>
                <w:rFonts w:ascii="Courier New" w:cs="Courier New" w:eastAsia="Courier New" w:hAnsi="Courier New"/>
                <w:color w:val="E0E0E0"/>
                <w:sz w:val="18"/>
                <w:szCs w:val="18"/>
              </w:rPr>
              <w:t xml:space="preserve">  Each call: 50ms × 512MB = 0.025 GB-seconds</w:t>
            </w:r>
          </w:p>
          <w:p>
            <w:pPr>
              <w:spacing w:before="12" w:after="12"/>
            </w:pPr>
            <w:r>
              <w:rPr>
                <w:rFonts w:ascii="Courier New" w:cs="Courier New" w:eastAsia="Courier New" w:hAnsi="Courier New"/>
                <w:color w:val="E0E0E0"/>
                <w:sz w:val="18"/>
                <w:szCs w:val="18"/>
              </w:rPr>
              <w:t xml:space="preserve">  Cost: 7.77M × 0.025 × $0.0000166667             = $3.24/month  ✅</w:t>
            </w:r>
          </w:p>
          <w:p>
            <w:pPr>
              <w:spacing w:before="12" w:after="12"/>
            </w:pPr>
            <w:r>
              <w:rPr>
                <w:rFonts w:ascii="Courier New" w:cs="Courier New" w:eastAsia="Courier New" w:hAnsi="Courier New"/>
                <w:color w:val="E0E0E0"/>
                <w:sz w:val="18"/>
                <w:szCs w:val="18"/>
              </w:rPr>
              <w:t xml:space="preserve"/>
            </w:r>
          </w:p>
          <w:p>
            <w:pPr>
              <w:spacing w:before="12" w:after="12"/>
            </w:pPr>
            <w:r>
              <w:rPr>
                <w:rFonts w:ascii="Courier New" w:cs="Courier New" w:eastAsia="Courier New" w:hAnsi="Courier New"/>
                <w:color w:val="E0E0E0"/>
                <w:sz w:val="18"/>
                <w:szCs w:val="18"/>
              </w:rPr>
              <w:t xml:space="preserve">INFRASTRUCTURE (shared across customers):</w:t>
            </w:r>
          </w:p>
          <w:p>
            <w:pPr>
              <w:spacing w:before="12" w:after="12"/>
            </w:pPr>
            <w:r>
              <w:rPr>
                <w:rFonts w:ascii="Courier New" w:cs="Courier New" w:eastAsia="Courier New" w:hAnsi="Courier New"/>
                <w:color w:val="E0E0E0"/>
                <w:sz w:val="18"/>
                <w:szCs w:val="18"/>
              </w:rPr>
              <w:t xml:space="preserve">  MSK 1 broker (shared 50 sites): $150/month ÷ 50  = $3.00/site/month</w:t>
            </w:r>
          </w:p>
          <w:p>
            <w:pPr>
              <w:spacing w:before="12" w:after="12"/>
            </w:pPr>
            <w:r>
              <w:rPr>
                <w:rFonts w:ascii="Courier New" w:cs="Courier New" w:eastAsia="Courier New" w:hAnsi="Courier New"/>
                <w:color w:val="E0E0E0"/>
                <w:sz w:val="18"/>
                <w:szCs w:val="18"/>
              </w:rPr>
              <w:t xml:space="preserve">  NATS EC2 t3.small (shared 20 sites): $16 ÷ 20    = $0.80/site/month</w:t>
            </w:r>
          </w:p>
          <w:p>
            <w:pPr>
              <w:spacing w:before="12" w:after="12"/>
            </w:pPr>
            <w:r>
              <w:rPr>
                <w:rFonts w:ascii="Courier New" w:cs="Courier New" w:eastAsia="Courier New" w:hAnsi="Courier New"/>
                <w:color w:val="E0E0E0"/>
                <w:sz w:val="18"/>
                <w:szCs w:val="18"/>
              </w:rPr>
              <w:t xml:space="preserve"/>
            </w:r>
          </w:p>
          <w:p>
            <w:pPr>
              <w:spacing w:before="12" w:after="12"/>
            </w:pPr>
            <w:r>
              <w:rPr>
                <w:rFonts w:ascii="Courier New" w:cs="Courier New" w:eastAsia="Courier New" w:hAnsi="Courier New"/>
                <w:color w:val="E0E0E0"/>
                <w:sz w:val="18"/>
                <w:szCs w:val="18"/>
              </w:rPr>
              <w:t xml:space="preserve">TOTAL CLOUD COST PER STARTER SITE (3 sensors):</w:t>
            </w:r>
          </w:p>
          <w:p>
            <w:pPr>
              <w:spacing w:before="12" w:after="12"/>
            </w:pPr>
            <w:r>
              <w:rPr>
                <w:rFonts w:ascii="Courier New" w:cs="Courier New" w:eastAsia="Courier New" w:hAnsi="Courier New"/>
                <w:color w:val="E0E0E0"/>
                <w:sz w:val="18"/>
                <w:szCs w:val="18"/>
              </w:rPr>
              <w:t xml:space="preserve">  S3:           $0.40</w:t>
            </w:r>
          </w:p>
          <w:p>
            <w:pPr>
              <w:spacing w:before="12" w:after="12"/>
            </w:pPr>
            <w:r>
              <w:rPr>
                <w:rFonts w:ascii="Courier New" w:cs="Courier New" w:eastAsia="Courier New" w:hAnsi="Courier New"/>
                <w:color w:val="E0E0E0"/>
                <w:sz w:val="18"/>
                <w:szCs w:val="18"/>
              </w:rPr>
              <w:t xml:space="preserve">  Spark EMR:    $4.56</w:t>
            </w:r>
          </w:p>
          <w:p>
            <w:pPr>
              <w:spacing w:before="12" w:after="12"/>
            </w:pPr>
            <w:r>
              <w:rPr>
                <w:rFonts w:ascii="Courier New" w:cs="Courier New" w:eastAsia="Courier New" w:hAnsi="Courier New"/>
                <w:color w:val="E0E0E0"/>
                <w:sz w:val="18"/>
                <w:szCs w:val="18"/>
              </w:rPr>
              <w:t xml:space="preserve">  SHAP Lambda:  $3.24</w:t>
            </w:r>
          </w:p>
          <w:p>
            <w:pPr>
              <w:spacing w:before="12" w:after="12"/>
            </w:pPr>
            <w:r>
              <w:rPr>
                <w:rFonts w:ascii="Courier New" w:cs="Courier New" w:eastAsia="Courier New" w:hAnsi="Courier New"/>
                <w:color w:val="E0E0E0"/>
                <w:sz w:val="18"/>
                <w:szCs w:val="18"/>
              </w:rPr>
              <w:t xml:space="preserve">  MSK share:    $3.00</w:t>
            </w:r>
          </w:p>
          <w:p>
            <w:pPr>
              <w:spacing w:before="12" w:after="12"/>
            </w:pPr>
            <w:r>
              <w:rPr>
                <w:rFonts w:ascii="Courier New" w:cs="Courier New" w:eastAsia="Courier New" w:hAnsi="Courier New"/>
                <w:color w:val="E0E0E0"/>
                <w:sz w:val="18"/>
                <w:szCs w:val="18"/>
              </w:rPr>
              <w:t xml:space="preserve">  NATS share:   $0.80</w:t>
            </w:r>
          </w:p>
          <w:p>
            <w:pPr>
              <w:spacing w:before="12" w:after="12"/>
            </w:pPr>
            <w:r>
              <w:rPr>
                <w:rFonts w:ascii="Courier New" w:cs="Courier New" w:eastAsia="Courier New" w:hAnsi="Courier New"/>
                <w:color w:val="E0E0E0"/>
                <w:sz w:val="18"/>
                <w:szCs w:val="18"/>
              </w:rPr>
              <w:t xml:space="preserve">  ─────────────────────────────────────────────────</w:t>
            </w:r>
          </w:p>
          <w:p>
            <w:pPr>
              <w:spacing w:before="12" w:after="12"/>
            </w:pPr>
            <w:r>
              <w:rPr>
                <w:rFonts w:ascii="Courier New" w:cs="Courier New" w:eastAsia="Courier New" w:hAnsi="Courier New"/>
                <w:color w:val="E0E0E0"/>
                <w:sz w:val="18"/>
                <w:szCs w:val="18"/>
              </w:rPr>
              <w:t xml:space="preserve">  TOTAL:        $12.00/month = ~£9.50/month</w:t>
            </w:r>
          </w:p>
          <w:p>
            <w:pPr>
              <w:spacing w:before="12" w:after="12"/>
            </w:pPr>
            <w:r>
              <w:rPr>
                <w:rFonts w:ascii="Courier New" w:cs="Courier New" w:eastAsia="Courier New" w:hAnsi="Courier New"/>
                <w:color w:val="E0E0E0"/>
                <w:sz w:val="18"/>
                <w:szCs w:val="18"/>
              </w:rPr>
              <w:t xml:space="preserve">  REVENUE:      £199/month</w:t>
            </w:r>
          </w:p>
          <w:p>
            <w:pPr>
              <w:spacing w:before="12" w:after="12"/>
            </w:pPr>
            <w:r>
              <w:rPr>
                <w:rFonts w:ascii="Courier New" w:cs="Courier New" w:eastAsia="Courier New" w:hAnsi="Courier New"/>
                <w:color w:val="E0E0E0"/>
                <w:sz w:val="18"/>
                <w:szCs w:val="18"/>
              </w:rPr>
              <w:t xml:space="preserve">  GROSS MARGIN: ~95%  ✅  (before team costs)</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7"/>
          <w:szCs w:val="27"/>
        </w:rPr>
        <w:t xml:space="preserve">6.3  The MSK Shared Cluster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0"/>
              <w:left w:val="single" w:color="922B21" w:sz="4"/>
              <w:bottom w:val="single" w:color="922B21" w:sz="4"/>
              <w:right w:val="single" w:color="922B21" w:sz="4"/>
            </w:tcBorders>
            <w:shd w:fill="FDECEC" w:val="clear"/>
            <w:tcMar>
              <w:top w:type="dxa" w:w="150"/>
              <w:left w:type="dxa" w:w="220"/>
              <w:bottom w:type="dxa" w:w="150"/>
              <w:right w:type="dxa" w:w="180"/>
            </w:tcMar>
          </w:tcPr>
          <w:p>
            <w:pPr>
              <w:spacing w:before="0" w:after="80"/>
            </w:pPr>
            <w:r>
              <w:rPr>
                <w:rFonts w:ascii="Arial" w:cs="Arial" w:eastAsia="Arial" w:hAnsi="Arial"/>
                <w:b/>
                <w:bCs/>
                <w:i w:val="false"/>
                <w:iCs w:val="false"/>
                <w:color w:val="922B21"/>
                <w:sz w:val="21"/>
                <w:szCs w:val="21"/>
              </w:rPr>
              <w:t xml:space="preserve">⚠  Critical Architecture Constraint — MSK Must Be Shared</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MSK minimum cost is $150/month for a single-broker cluster — regardless of usage.</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At £199/month per Starter site with 1 dedicated MSK cluster, MSK alone consumes 75% of revenue.</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SOLUTION: One MSK cluster serves up to 50 customers using Kafka topic isolation (topic-per-customer).</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At 50 customers: $150 ÷ 50 = $3/customer/month = 1.5% of Starter revenue.</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This means: do NOT provision MSK until you have at least 5 paying customers on the same region.</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Before 5 customers: use local Kafka in Docker on EC2. After 5: migrate to shared MSK.</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This is a V2 Month 7 architecture gate decision — not a V1 or V2 Month 3 decision.</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7"/>
          <w:szCs w:val="27"/>
        </w:rPr>
        <w:t xml:space="preserve">6.4  The Delta Lake vs TimescaleDB Decision Gate</w:t>
      </w:r>
    </w:p>
    <w:p>
      <w:pPr>
        <w:spacing w:before="60" w:after="100" w:line="320"/>
        <w:jc w:val="both"/>
      </w:pPr>
      <w:r>
        <w:rPr>
          <w:rFonts w:ascii="Arial" w:cs="Arial" w:eastAsia="Arial" w:hAnsi="Arial"/>
          <w:b w:val="false"/>
          <w:bCs w:val="false"/>
          <w:i w:val="false"/>
          <w:iCs w:val="false"/>
          <w:color w:val="111111"/>
          <w:sz w:val="22"/>
          <w:szCs w:val="22"/>
        </w:rPr>
        <w:t xml:space="preserve">Delta Lake is the right storage technology at analytics scale. It may be wrong at SME query scale. This gate must be run at V2 Month 5 with real customer data before any V3 pricing commitment is made.</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Criterion</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Delta Lake on S3</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TimescaleDB on RDS</w:t>
            </w:r>
          </w:p>
        </w:tc>
        <w:tc>
          <w:tcPr>
            <w:tcW w:type="dxa" w:w="336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Decision</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Cost per site per month</w:t>
            </w:r>
          </w:p>
        </w:tc>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$4.56 (Spark EMR)</w:t>
            </w:r>
          </w:p>
        </w:tc>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$0.10 (TimescaleDB on t3.micro)</w:t>
            </w:r>
          </w:p>
        </w:tc>
        <w:tc>
          <w:tcPr>
            <w:tcW w:type="dxa" w:w="336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TimescaleDB is 45x cheaper per site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Anomaly history query latency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500ms–5s (cold Spark query)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&lt; 50ms (native time-series index)</w:t>
            </w:r>
          </w:p>
        </w:tc>
        <w:tc>
          <w:tcPr>
            <w:tcW w:type="dxa" w:w="336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TimescaleDB 10–100x faster for customer queries</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Analytics at scale (&gt;1M events)</w:t>
            </w:r>
          </w:p>
        </w:tc>
        <w:tc>
          <w:tcPr>
            <w:tcW w:type="dxa" w:w="2200"/>
            <w:tcBorders>
              <w:top w:val="single" w:color="CCCCCC" w:sz="4"/>
              <w:left w:val="single" w:color="CCCCCC" w:sz="4"/>
              <w:bottom w:val="single" w:color="CCCCCC" w:sz="4"/>
              <w:right w:val="single" w:color="CCCCCC" w:sz="4"/>
            </w:tcBorders>
            <w:shd w:fill="D5F5E3"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Designed for this</w:t>
            </w:r>
          </w:p>
        </w:tc>
        <w:tc>
          <w:tcPr>
            <w:tcW w:type="dxa" w:w="2200"/>
            <w:tcBorders>
              <w:top w:val="single" w:color="CCCCCC" w:sz="4"/>
              <w:left w:val="single" w:color="CCCCCC" w:sz="4"/>
              <w:bottom w:val="single" w:color="CCCCCC" w:sz="4"/>
              <w:right w:val="single" w:color="CCCCCC" w:sz="4"/>
            </w:tcBorders>
            <w:shd w:fill="FDECEC"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Will slow significantly</w:t>
            </w:r>
          </w:p>
        </w:tc>
        <w:tc>
          <w:tcPr>
            <w:tcW w:type="dxa" w:w="3360"/>
            <w:tcBorders>
              <w:top w:val="single" w:color="CCCCCC" w:sz="4"/>
              <w:left w:val="single" w:color="CCCCCC" w:sz="4"/>
              <w:bottom w:val="single" w:color="CCCCCC" w:sz="4"/>
              <w:right w:val="single" w:color="CCCCCC" w:sz="4"/>
            </w:tcBorders>
            <w:shd w:fill="D5F5E3"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Delta Lake wins at scale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Schema evolution</w:t>
            </w:r>
          </w:p>
        </w:tc>
        <w:tc>
          <w:tcPr>
            <w:tcW w:type="dxa" w:w="2200"/>
            <w:tcBorders>
              <w:top w:val="single" w:color="CCCCCC" w:sz="4"/>
              <w:left w:val="single" w:color="CCCCCC" w:sz="4"/>
              <w:bottom w:val="single" w:color="CCCCCC" w:sz="4"/>
              <w:right w:val="single" w:color="CCCCCC" w:sz="4"/>
            </w:tcBorders>
            <w:shd w:fill="D5F5E3"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Native Delta feature</w:t>
            </w:r>
          </w:p>
        </w:tc>
        <w:tc>
          <w:tcPr>
            <w:tcW w:type="dxa" w:w="22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Requires migration</w:t>
            </w:r>
          </w:p>
        </w:tc>
        <w:tc>
          <w:tcPr>
            <w:tcW w:type="dxa" w:w="3360"/>
            <w:tcBorders>
              <w:top w:val="single" w:color="CCCCCC" w:sz="4"/>
              <w:left w:val="single" w:color="CCCCCC" w:sz="4"/>
              <w:bottom w:val="single" w:color="CCCCCC" w:sz="4"/>
              <w:right w:val="single" w:color="CCCCCC" w:sz="4"/>
            </w:tcBorders>
            <w:shd w:fill="D5F5E3"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Delta Lake wins</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ML feature extraction</w:t>
            </w:r>
          </w:p>
        </w:tc>
        <w:tc>
          <w:tcPr>
            <w:tcW w:type="dxa" w:w="2200"/>
            <w:tcBorders>
              <w:top w:val="single" w:color="CCCCCC" w:sz="4"/>
              <w:left w:val="single" w:color="CCCCCC" w:sz="4"/>
              <w:bottom w:val="single" w:color="CCCCCC" w:sz="4"/>
              <w:right w:val="single" w:color="CCCCCC" w:sz="4"/>
            </w:tcBorders>
            <w:shd w:fill="D5F5E3"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Spark + Delta = natural</w:t>
            </w:r>
          </w:p>
        </w:tc>
        <w:tc>
          <w:tcPr>
            <w:tcW w:type="dxa" w:w="22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Requires export to Spark</w:t>
            </w:r>
          </w:p>
        </w:tc>
        <w:tc>
          <w:tcPr>
            <w:tcW w:type="dxa" w:w="3360"/>
            <w:tcBorders>
              <w:top w:val="single" w:color="CCCCCC" w:sz="4"/>
              <w:left w:val="single" w:color="CCCCCC" w:sz="4"/>
              <w:bottom w:val="single" w:color="CCCCCC" w:sz="4"/>
              <w:right w:val="single" w:color="CCCCCC" w:sz="4"/>
            </w:tcBorders>
            <w:shd w:fill="D5F5E3"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Delta Lake wins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Operational complexity</w:t>
            </w:r>
          </w:p>
        </w:tc>
        <w:tc>
          <w:tcPr>
            <w:tcW w:type="dxa" w:w="22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Spark cluster management</w:t>
            </w:r>
          </w:p>
        </w:tc>
        <w:tc>
          <w:tcPr>
            <w:tcW w:type="dxa" w:w="2200"/>
            <w:tcBorders>
              <w:top w:val="single" w:color="CCCCCC" w:sz="4"/>
              <w:left w:val="single" w:color="CCCCCC" w:sz="4"/>
              <w:bottom w:val="single" w:color="CCCCCC" w:sz="4"/>
              <w:right w:val="single" w:color="CCCCCC" w:sz="4"/>
            </w:tcBorders>
            <w:shd w:fill="D5F5E3"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Managed RDS — simple</w:t>
            </w:r>
          </w:p>
        </w:tc>
        <w:tc>
          <w:tcPr>
            <w:tcW w:type="dxa" w:w="3360"/>
            <w:tcBorders>
              <w:top w:val="single" w:color="CCCCCC" w:sz="4"/>
              <w:left w:val="single" w:color="CCCCCC" w:sz="4"/>
              <w:bottom w:val="single" w:color="CCCCCC" w:sz="4"/>
              <w:right w:val="single" w:color="CCCCCC" w:sz="4"/>
            </w:tcBorders>
            <w:shd w:fill="D5F5E3"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TimescaleDB wins for SME</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Per-site unit economics</w:t>
            </w:r>
          </w:p>
        </w:tc>
        <w:tc>
          <w:tcPr>
            <w:tcW w:type="dxa" w:w="22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~$4.56/month Spark</w:t>
            </w:r>
          </w:p>
        </w:tc>
        <w:tc>
          <w:tcPr>
            <w:tcW w:type="dxa" w:w="22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~$0.10/month RDS</w:t>
            </w:r>
          </w:p>
        </w:tc>
        <w:tc>
          <w:tcPr>
            <w:tcW w:type="dxa" w:w="3360"/>
            <w:tcBorders>
              <w:top w:val="single" w:color="CCCCCC" w:sz="4"/>
              <w:left w:val="single" w:color="CCCCCC" w:sz="4"/>
              <w:bottom w:val="single" w:color="CCCCCC" w:sz="4"/>
              <w:right w:val="single" w:color="CCCCCC" w:sz="4"/>
            </w:tcBorders>
            <w:shd w:fill="D5F5E3"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TimescaleDB wins at low scale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VERDICT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Use for analytics, ML training, raw storage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Use for customer-facing query API</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Hybrid: Delta Lake for batch analytics + TimescaleDB for customer UI queries</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E" w:sz="18"/>
              <w:bottom w:val="none" w:color="FFFFFF" w:sz="0"/>
              <w:right w:val="none" w:color="FFFFFF" w:sz="0"/>
            </w:tcBorders>
            <w:shd w:fill="E8F5F3" w:val="clear"/>
            <w:tcMar>
              <w:top w:type="dxa" w:w="120"/>
              <w:left w:type="dxa" w:w="220"/>
              <w:bottom w:type="dxa" w:w="120"/>
              <w:right w:type="dxa" w:w="180"/>
            </w:tcMar>
          </w:tcPr>
          <w:p>
            <w:pPr>
              <w:spacing w:before="0" w:after="0"/>
              <w:jc w:val="both"/>
            </w:pPr>
            <w:r>
              <w:rPr>
                <w:rFonts w:ascii="Arial" w:cs="Arial" w:eastAsia="Arial" w:hAnsi="Arial"/>
                <w:b w:val="false"/>
                <w:bCs w:val="false"/>
                <w:i w:val="false"/>
                <w:iCs w:val="false"/>
                <w:color w:val="555555"/>
                <w:sz w:val="20"/>
                <w:szCs w:val="20"/>
              </w:rPr>
              <w:t xml:space="preserve">V2 Month 5 Gate Action: Benchmark Delta Lake query latency on real customer data. If P95 customer dashboard query &gt; 500ms OR if Spark cost per site &gt; 15% of tier revenue — implement TimescaleDB as the customer query layer. Delta Lake remains for batch analytics and ML training. This is a dual-write architecture: Spark writes to both Delta Lake (analytics) and TimescaleDB (queries).</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7"/>
          <w:szCs w:val="27"/>
        </w:rPr>
        <w:t xml:space="preserve">6.5  Cost Scaling by Sensor Count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600"/>
        <w:gridCol w:w="1400"/>
        <w:gridCol w:w="1400"/>
        <w:gridCol w:w="1600"/>
      </w:tblGrid>
      <w:tr>
        <w:tc>
          <w:tcPr>
            <w:tcW w:type="dxa" w:w="12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Sensors per site</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Data/month (stored)</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Spark cost/month</w:t>
            </w:r>
          </w:p>
        </w:tc>
        <w:tc>
          <w:tcPr>
            <w:tcW w:type="dxa" w:w="16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Total cloud cost/month</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Starter margin (£199)</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Growth margin (£399)</w:t>
            </w:r>
          </w:p>
        </w:tc>
        <w:tc>
          <w:tcPr>
            <w:tcW w:type="dxa" w:w="16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Scale margin (£799)</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 sensors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15.5 GB</w:t>
            </w:r>
          </w:p>
        </w:tc>
        <w:tc>
          <w:tcPr>
            <w:tcW w:type="dxa" w:w="1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$4.56</w:t>
            </w:r>
          </w:p>
        </w:tc>
        <w:tc>
          <w:tcPr>
            <w:tcW w:type="dxa" w:w="16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~£9.50</w:t>
            </w:r>
          </w:p>
        </w:tc>
        <w:tc>
          <w:tcPr>
            <w:tcW w:type="dxa" w:w="14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~95%</w:t>
            </w:r>
          </w:p>
        </w:tc>
        <w:tc>
          <w:tcPr>
            <w:tcW w:type="dxa" w:w="14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~97%</w:t>
            </w:r>
          </w:p>
        </w:tc>
        <w:tc>
          <w:tcPr>
            <w:tcW w:type="dxa" w:w="16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~99%</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 sensors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26 GB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$7.60</w:t>
            </w:r>
          </w:p>
        </w:tc>
        <w:tc>
          <w:tcPr>
            <w:tcW w:type="dxa" w:w="16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~£15.00</w:t>
            </w:r>
          </w:p>
        </w:tc>
        <w:tc>
          <w:tcPr>
            <w:tcW w:type="dxa" w:w="14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~92%</w:t>
            </w:r>
          </w:p>
        </w:tc>
        <w:tc>
          <w:tcPr>
            <w:tcW w:type="dxa" w:w="14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~96%</w:t>
            </w:r>
          </w:p>
        </w:tc>
        <w:tc>
          <w:tcPr>
            <w:tcW w:type="dxa" w:w="16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~98%</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 sensors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52 GB</w:t>
            </w:r>
          </w:p>
        </w:tc>
        <w:tc>
          <w:tcPr>
            <w:tcW w:type="dxa" w:w="1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$15.20</w:t>
            </w:r>
          </w:p>
        </w:tc>
        <w:tc>
          <w:tcPr>
            <w:tcW w:type="dxa" w:w="16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~£27.00</w:t>
            </w:r>
          </w:p>
        </w:tc>
        <w:tc>
          <w:tcPr>
            <w:tcW w:type="dxa" w:w="14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~86%</w:t>
            </w:r>
          </w:p>
        </w:tc>
        <w:tc>
          <w:tcPr>
            <w:tcW w:type="dxa" w:w="14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~93%</w:t>
            </w:r>
          </w:p>
        </w:tc>
        <w:tc>
          <w:tcPr>
            <w:tcW w:type="dxa" w:w="16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~97%</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20 sensors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104 GB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$30.40</w:t>
            </w:r>
          </w:p>
        </w:tc>
        <w:tc>
          <w:tcPr>
            <w:tcW w:type="dxa" w:w="16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~£52.00</w:t>
            </w:r>
          </w:p>
        </w:tc>
        <w:tc>
          <w:tcPr>
            <w:tcW w:type="dxa" w:w="14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~74%</w:t>
            </w:r>
          </w:p>
        </w:tc>
        <w:tc>
          <w:tcPr>
            <w:tcW w:type="dxa" w:w="14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~87%</w:t>
            </w:r>
          </w:p>
        </w:tc>
        <w:tc>
          <w:tcPr>
            <w:tcW w:type="dxa" w:w="16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~94%</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50 sensors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259 GB</w:t>
            </w:r>
          </w:p>
        </w:tc>
        <w:tc>
          <w:tcPr>
            <w:tcW w:type="dxa" w:w="1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$76.00</w:t>
            </w:r>
          </w:p>
        </w:tc>
        <w:tc>
          <w:tcPr>
            <w:tcW w:type="dxa" w:w="16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~£125.00</w:t>
            </w:r>
          </w:p>
        </w:tc>
        <w:tc>
          <w:tcPr>
            <w:tcW w:type="dxa" w:w="14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37%</w:t>
            </w:r>
          </w:p>
        </w:tc>
        <w:tc>
          <w:tcPr>
            <w:tcW w:type="dxa" w:w="14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~69%</w:t>
            </w:r>
          </w:p>
        </w:tc>
        <w:tc>
          <w:tcPr>
            <w:tcW w:type="dxa" w:w="16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~84%</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100 sensors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518 GB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$152.00</w:t>
            </w:r>
          </w:p>
        </w:tc>
        <w:tc>
          <w:tcPr>
            <w:tcW w:type="dxa" w:w="16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~£245.00</w:t>
            </w:r>
          </w:p>
        </w:tc>
        <w:tc>
          <w:tcPr>
            <w:tcW w:type="dxa" w:w="1400"/>
            <w:tcBorders>
              <w:top w:val="single" w:color="CCCCCC" w:sz="4"/>
              <w:left w:val="single" w:color="CCCCCC" w:sz="4"/>
              <w:bottom w:val="single" w:color="CCCCCC" w:sz="4"/>
              <w:right w:val="single" w:color="CCCCCC" w:sz="4"/>
            </w:tcBorders>
            <w:shd w:fill="FDECEC"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-23%</w:t>
            </w:r>
          </w:p>
        </w:tc>
        <w:tc>
          <w:tcPr>
            <w:tcW w:type="dxa" w:w="14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38%</w:t>
            </w:r>
          </w:p>
        </w:tc>
        <w:tc>
          <w:tcPr>
            <w:tcW w:type="dxa" w:w="160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~69%</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0"/>
              <w:left w:val="single" w:color="922B21" w:sz="4"/>
              <w:bottom w:val="single" w:color="922B21" w:sz="4"/>
              <w:right w:val="single" w:color="922B21" w:sz="4"/>
            </w:tcBorders>
            <w:shd w:fill="FDECEC" w:val="clear"/>
            <w:tcMar>
              <w:top w:type="dxa" w:w="150"/>
              <w:left w:type="dxa" w:w="220"/>
              <w:bottom w:type="dxa" w:w="150"/>
              <w:right w:type="dxa" w:w="180"/>
            </w:tcMar>
          </w:tcPr>
          <w:p>
            <w:pPr>
              <w:spacing w:before="0" w:after="80"/>
            </w:pPr>
            <w:r>
              <w:rPr>
                <w:rFonts w:ascii="Arial" w:cs="Arial" w:eastAsia="Arial" w:hAnsi="Arial"/>
                <w:b/>
                <w:bCs/>
                <w:i w:val="false"/>
                <w:iCs w:val="false"/>
                <w:color w:val="922B21"/>
                <w:sz w:val="21"/>
                <w:szCs w:val="21"/>
              </w:rPr>
              <w:t xml:space="preserve">⚠  Pricing Boundary Identified</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Starter tier at £199 becomes unprofitable above ~30 sensors per site.</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Growth tier at £399 becomes unprofitable above ~60 sensors per site.</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Scale tier at £799 supports up to ~100 sensors per site.</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ACTION: V2 pricing must include sensor count limits per tier. Starter: up to 10 sensors. Growth: up to 30 sensors. Scale: up to 100 sensors. Over 100: custom pricing.</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Alternatively: move to usage-based pricing with base fee + per-sensor charge. Evaluate in V2 Month 8 based on beta customer feedback.</w:t>
            </w:r>
          </w:p>
        </w:tc>
      </w:tr>
    </w:tbl>
    <w:p>
      <w:pPr>
        <w:spacing w:before="10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40" w:after="160"/>
      </w:pPr>
      <w:r>
        <w:rPr>
          <w:rFonts w:ascii="Arial" w:cs="Arial" w:eastAsia="Arial" w:hAnsi="Arial"/>
          <w:b/>
          <w:bCs/>
          <w:i w:val="false"/>
          <w:iCs w:val="false"/>
          <w:color w:val="1F3864"/>
          <w:sz w:val="34"/>
          <w:szCs w:val="34"/>
        </w:rPr>
        <w:t xml:space="preserve">7.  Revenue Model — Three Scenarios  (Revised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0"/>
              <w:left w:val="single" w:color="922B21" w:sz="4"/>
              <w:bottom w:val="single" w:color="922B21" w:sz="4"/>
              <w:right w:val="single" w:color="922B21" w:sz="4"/>
            </w:tcBorders>
            <w:shd w:fill="FDECEC" w:val="clear"/>
            <w:tcMar>
              <w:top w:type="dxa" w:w="150"/>
              <w:left w:type="dxa" w:w="220"/>
              <w:bottom w:type="dxa" w:w="150"/>
              <w:right w:type="dxa" w:w="180"/>
            </w:tcMar>
          </w:tcPr>
          <w:p>
            <w:pPr>
              <w:spacing w:before="0" w:after="80"/>
            </w:pPr>
            <w:r>
              <w:rPr>
                <w:rFonts w:ascii="Arial" w:cs="Arial" w:eastAsia="Arial" w:hAnsi="Arial"/>
                <w:b/>
                <w:bCs/>
                <w:i w:val="false"/>
                <w:iCs w:val="false"/>
                <w:color w:val="922B21"/>
                <w:sz w:val="21"/>
                <w:szCs w:val="21"/>
              </w:rPr>
              <w:t xml:space="preserve">⚠  Critical Correction from v1.0</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Version 1.0 presented a single optimistic revenue projection assuming smooth growth, no churn, and fast procurement.</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This was naive. Industrial B2B sales cycles are 3–6 months. IT and procurement add 2–3 months each.</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Three explicit scenarios are now modelled: optimistic, realistic, and conservative.</w:t>
            </w:r>
          </w:p>
          <w:p>
            <w:pPr>
              <w:pStyle w:val="ListParagraph"/>
              <w:numPr>
                <w:ilvl w:val="0"/>
                <w:numId w:val="2"/>
              </w:numPr>
              <w:spacing w:before="40" w:after="40" w:line="290"/>
            </w:pPr>
            <w:r>
              <w:rPr>
                <w:rFonts w:ascii="Arial" w:cs="Arial" w:eastAsia="Arial" w:hAnsi="Arial"/>
                <w:b w:val="false"/>
                <w:bCs w:val="false"/>
                <w:i w:val="false"/>
                <w:iCs w:val="false"/>
                <w:color w:val="555555"/>
                <w:sz w:val="20"/>
                <w:szCs w:val="20"/>
              </w:rPr>
              <w:t xml:space="preserve">All strategic decisions should be based on the REALISTIC scenario. The conservative scenario defines the survival threshold.</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7"/>
          <w:szCs w:val="27"/>
        </w:rPr>
        <w:t xml:space="preserve">7.1  Why Industrial Sales Cycles Are Slow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560"/>
      </w:tblGrid>
      <w:tr>
        <w:tc>
          <w:tcPr>
            <w:tcW w:type="dxa" w:w="22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Stage</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Duration</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Who Is Involved</w:t>
            </w:r>
          </w:p>
        </w:tc>
        <w:tc>
          <w:tcPr>
            <w:tcW w:type="dxa" w:w="356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What Can Block It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Initial contact and demo</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1–2 weeks</w:t>
            </w:r>
          </w:p>
        </w:tc>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You + Operations Manager</w:t>
            </w:r>
          </w:p>
        </w:tc>
        <w:tc>
          <w:tcPr>
            <w:tcW w:type="dxa" w:w="3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Getting the right person's attention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Technical evaluation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4–8 weeks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IT team + OT team</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Integration concerns, security review</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Procurement approval</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4–12 weeks</w:t>
            </w:r>
          </w:p>
        </w:tc>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Finance + Legal</w:t>
            </w:r>
          </w:p>
        </w:tc>
        <w:tc>
          <w:tcPr>
            <w:tcW w:type="dxa" w:w="3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Budget cycle, contract review, legal terms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IT security audit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2–6 weeks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CISO + IT Security</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Data sovereignty, cloud security policy</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Pilot agreement</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2–4 weeks</w:t>
            </w:r>
          </w:p>
        </w:tc>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C-suite sign-off</w:t>
            </w:r>
          </w:p>
        </w:tc>
        <w:tc>
          <w:tcPr>
            <w:tcW w:type="dxa" w:w="3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Change freeze, competing priorities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Pilot deployment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2–4 weeks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IT + you</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On-site access, network configuration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Pilot evaluation</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4–8 weeks</w:t>
            </w:r>
          </w:p>
        </w:tc>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Operations team</w:t>
            </w:r>
          </w:p>
        </w:tc>
        <w:tc>
          <w:tcPr>
            <w:tcW w:type="dxa" w:w="3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Plant shutdowns, seasonal variation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Purchase decision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2–4 weeks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Board or management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Budget re-allocation, final approval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TOTAL (median estimate)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21–50 weeks</w:t>
            </w:r>
          </w:p>
        </w:tc>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4–8 different stakeholders</w:t>
            </w:r>
          </w:p>
        </w:tc>
        <w:tc>
          <w:tcPr>
            <w:tcW w:type="dxa" w:w="3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Any one can veto the whole process</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7"/>
          <w:szCs w:val="27"/>
        </w:rPr>
        <w:t xml:space="preserve">7.2  Three Revenue Scenarios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4560"/>
      </w:tblGrid>
      <w:tr>
        <w:tc>
          <w:tcPr>
            <w:tcW w:type="dxa" w:w="1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Metric</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Optimistic</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Realistic</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Conservative</w:t>
            </w:r>
          </w:p>
        </w:tc>
        <w:tc>
          <w:tcPr>
            <w:tcW w:type="dxa" w:w="456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Assumption Difference</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12 customers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w:t>
            </w:r>
          </w:p>
        </w:tc>
        <w:tc>
          <w:tcPr>
            <w:tcW w:type="dxa" w:w="4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Sales cycle length: 3 vs 5 vs 8 months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12 MRR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£2,500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£300</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Mix of Starter vs Growth tier</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18 customers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20</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w:t>
            </w:r>
          </w:p>
        </w:tc>
        <w:tc>
          <w:tcPr>
            <w:tcW w:type="dxa" w:w="4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Referral rate and outbound conversion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18 MRR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£10,000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£4,000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£1,800</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Upsell rate from Starter to Growth</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24 customers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40</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15</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w:t>
            </w:r>
          </w:p>
        </w:tc>
        <w:tc>
          <w:tcPr>
            <w:tcW w:type="dxa" w:w="4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Team size and sales capacity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24 MRR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£24,000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£9,000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£4,000</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Churn rate (0% / 5% / 10% monthly)</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24 ARR</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£288,000</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£108,000</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£48,000</w:t>
            </w:r>
          </w:p>
        </w:tc>
        <w:tc>
          <w:tcPr>
            <w:tcW w:type="dxa" w:w="4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Avg contract value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£400/mo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£350/mo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£280/mo</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Upsell success and tier mix</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Monthly churn</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3–5%</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8–10%</w:t>
            </w:r>
          </w:p>
        </w:tc>
        <w:tc>
          <w:tcPr>
            <w:tcW w:type="dxa" w:w="4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Industrial NPS and switching cost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Series A readiness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20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28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36+</w:t>
            </w:r>
          </w:p>
        </w:tc>
        <w:tc>
          <w:tcPr>
            <w:tcW w:type="dxa" w:w="4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Revenue threshold for fundable metrics</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3864" w:sz="18"/>
              <w:bottom w:val="none" w:color="FFFFFF" w:sz="0"/>
              <w:right w:val="none" w:color="FFFFFF" w:sz="0"/>
            </w:tcBorders>
            <w:shd w:fill="E8EDF4" w:val="clear"/>
            <w:tcMar>
              <w:top w:type="dxa" w:w="120"/>
              <w:left w:type="dxa" w:w="220"/>
              <w:bottom w:type="dxa" w:w="120"/>
              <w:right w:type="dxa" w:w="180"/>
            </w:tcMar>
          </w:tcPr>
          <w:p>
            <w:pPr>
              <w:spacing w:before="0" w:after="0"/>
              <w:jc w:val="both"/>
            </w:pPr>
            <w:r>
              <w:rPr>
                <w:rFonts w:ascii="Arial" w:cs="Arial" w:eastAsia="Arial" w:hAnsi="Arial"/>
                <w:b w:val="false"/>
                <w:bCs w:val="false"/>
                <w:i w:val="false"/>
                <w:iCs w:val="false"/>
                <w:color w:val="555555"/>
                <w:sz w:val="20"/>
                <w:szCs w:val="20"/>
              </w:rPr>
              <w:t xml:space="preserve">Strategic Planning Rule: Plan against the REALISTIC scenario. Size the team for the realistic case. Set investor expectations using the realistic case. The optimistic case is not a plan — it is a best-case ceiling. The conservative case defines your minimum viable burn rate and the revenue at which you can stop fundraising and become self-sustaining.</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7"/>
          <w:szCs w:val="27"/>
        </w:rPr>
        <w:t xml:space="preserve">7.3  The Conservative Scenario Is Still a Business</w:t>
      </w:r>
    </w:p>
    <w:p>
      <w:pPr>
        <w:spacing w:before="60" w:after="100" w:line="320"/>
        <w:jc w:val="both"/>
      </w:pPr>
      <w:r>
        <w:rPr>
          <w:rFonts w:ascii="Arial" w:cs="Arial" w:eastAsia="Arial" w:hAnsi="Arial"/>
          <w:b w:val="false"/>
          <w:bCs w:val="false"/>
          <w:i w:val="false"/>
          <w:iCs w:val="false"/>
          <w:color w:val="111111"/>
          <w:sz w:val="22"/>
          <w:szCs w:val="22"/>
        </w:rPr>
        <w:t xml:space="preserve">Eight customers at £4,000 MRR at Month 24 sounds small. It is not failure — it is a proof of concept with paying customers and a fundable story if NPS is high. Here is why the conservative scenario is still viable:</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Conservative Scenario Factor</w:t>
            </w:r>
          </w:p>
        </w:tc>
        <w:tc>
          <w:tcPr>
            <w:tcW w:type="dxa" w:w="656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Why It Is Still Viable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£4,000 MRR at Month 24</w:t>
            </w:r>
          </w:p>
        </w:tc>
        <w:tc>
          <w:tcPr>
            <w:tcW w:type="dxa" w:w="6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Covers infrastructure costs. Demonstrates real willingness to pay. Fundable with strong NPS.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 customers after 2 years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 industrial B2B, 8 enterprise relationships is meaningful. Each can expand to 10+ sites.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Average £500/site/month</w:t>
            </w:r>
          </w:p>
        </w:tc>
        <w:tc>
          <w:tcPr>
            <w:tcW w:type="dxa" w:w="6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If each customer has 3 sites at Growth tier, that is 24 sites × £500 = £12,000 MRR from 8 customers.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Net Revenue Retention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If existing customers add sites over time, NRR &gt; 120% means growth even with zero new customers.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Acqui-hire value</w:t>
            </w:r>
          </w:p>
        </w:tc>
        <w:tc>
          <w:tcPr>
            <w:tcW w:type="dxa" w:w="6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 customers + proven technology + academic publication = acqui-hire value to Siemens, ABB, Honeywell.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Bootstrap to profitability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At 10–12 customers with 2-person team, you can be cash-flow positive without any external funding.</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2E5FA3"/>
          <w:sz w:val="27"/>
          <w:szCs w:val="27"/>
        </w:rPr>
        <w:t xml:space="preserve">7.4  Revised Funding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2400"/>
        <w:gridCol w:w="2760"/>
      </w:tblGrid>
      <w:tr>
        <w:tc>
          <w:tcPr>
            <w:tcW w:type="dxa" w:w="12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Round</w:t>
            </w:r>
          </w:p>
        </w:tc>
        <w:tc>
          <w:tcPr>
            <w:tcW w:type="dxa" w:w="16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Timing (Realistic)</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Target</w:t>
            </w:r>
          </w:p>
        </w:tc>
        <w:tc>
          <w:tcPr>
            <w:tcW w:type="dxa" w:w="2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Condition</w:t>
            </w:r>
          </w:p>
        </w:tc>
        <w:tc>
          <w:tcPr>
            <w:tcW w:type="dxa" w:w="276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Use of Funds</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Pre-seed / Bootstrapped</w:t>
            </w:r>
          </w:p>
        </w:tc>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Now — Month 8</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£0–£50k (grants, competitions)</w:t>
            </w:r>
          </w:p>
        </w:tc>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Thesis complete. Working MVP.</w:t>
            </w:r>
          </w:p>
        </w:tc>
        <w:tc>
          <w:tcPr>
            <w:tcW w:type="dxa" w:w="2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Infrastructure and first customer acquisition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24–28 (realistic)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£500k–£1M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 customers. £6k+ MRR. NPS &gt; 7.</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 engineering hires + 1 sales hire + infrastructure</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Series A</w:t>
            </w:r>
          </w:p>
        </w:tc>
        <w:tc>
          <w:tcPr>
            <w:tcW w:type="dxa" w:w="1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36–42 (realistic)</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£3M–£5M</w:t>
            </w:r>
          </w:p>
        </w:tc>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30+ customers. £25k+ MRR. SOC 2 complete.</w:t>
            </w:r>
          </w:p>
        </w:tc>
        <w:tc>
          <w:tcPr>
            <w:tcW w:type="dxa" w:w="27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Sales team (UK + EU) + platform depth + compliance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Alternative: Bootstrap to profitability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30–36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No external funding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15+ customers. Positive cash flow.</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Retain 100% equity. Raise only if strategic opportunity</w:t>
            </w:r>
          </w:p>
        </w:tc>
      </w:tr>
    </w:tbl>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8"/>
              <w:bottom w:val="none" w:color="FFFFFF" w:sz="0"/>
              <w:right w:val="none" w:color="FFFFFF" w:sz="0"/>
            </w:tcBorders>
            <w:shd w:fill="D5F5E3" w:val="clear"/>
            <w:tcMar>
              <w:top w:type="dxa" w:w="120"/>
              <w:left w:type="dxa" w:w="220"/>
              <w:bottom w:type="dxa" w:w="120"/>
              <w:right w:type="dxa" w:w="180"/>
            </w:tcMar>
          </w:tcPr>
          <w:p>
            <w:pPr>
              <w:spacing w:before="0" w:after="0"/>
              <w:jc w:val="both"/>
            </w:pPr>
            <w:r>
              <w:rPr>
                <w:rFonts w:ascii="Arial" w:cs="Arial" w:eastAsia="Arial" w:hAnsi="Arial"/>
                <w:b w:val="false"/>
                <w:bCs w:val="false"/>
                <w:i w:val="false"/>
                <w:iCs w:val="false"/>
                <w:color w:val="555555"/>
                <w:sz w:val="20"/>
                <w:szCs w:val="20"/>
              </w:rPr>
              <w:t xml:space="preserve">The Series A timeline has moved from Month 23-24 (v1.0) to Month 36-42 (v2.0). This is not pessimism — it is industrial B2B reality. Every company that has raised successfully in this space (industrial IoT SaaS) took 3–5 years to Series A. Plan for it. Build a team and burn rate that can survive it.</w:t>
            </w:r>
          </w:p>
        </w:tc>
      </w:tr>
    </w:tbl>
    <w:p>
      <w:pPr>
        <w:spacing w:before="100" w:after="0"/>
      </w:pPr>
      <w:r>
        <w:rPr>
          <w:rFonts w:ascii="Arial" w:cs="Arial" w:eastAsia="Arial" w:hAnsi="Arial"/>
          <w:b w:val="false"/>
          <w:bCs w:val="false"/>
          <w:i w:val="false"/>
          <w:iCs w:val="false"/>
          <w:color w:val="11111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6C1E7E" w:sz="4"/>
              <w:left w:val="single" w:color="6C1E7E" w:sz="4"/>
              <w:bottom w:val="single" w:color="6C1E7E" w:sz="4"/>
              <w:right w:val="single" w:color="6C1E7E" w:sz="4"/>
            </w:tcBorders>
            <w:shd w:fill="6C1E7E" w:val="clear"/>
            <w:tcMar>
              <w:top w:type="dxa" w:w="200"/>
              <w:left w:type="dxa" w:w="200"/>
              <w:bottom w:type="dxa" w:w="200"/>
              <w:right w:type="dxa" w:w="200"/>
            </w:tcMar>
          </w:tcPr>
          <w:p>
            <w:pPr>
              <w:spacing w:before="0" w:after="40"/>
              <w:jc w:val="center"/>
            </w:pPr>
            <w:r>
              <w:rPr>
                <w:rFonts w:ascii="Arial" w:cs="Arial" w:eastAsia="Arial" w:hAnsi="Arial"/>
                <w:b/>
                <w:bCs/>
                <w:i w:val="false"/>
                <w:iCs w:val="false"/>
                <w:color w:val="FFFFFF"/>
                <w:sz w:val="44"/>
                <w:szCs w:val="44"/>
              </w:rPr>
              <w:t xml:space="preserve">V3</w:t>
            </w:r>
          </w:p>
          <w:p>
            <w:pPr>
              <w:spacing w:before="0" w:after="0"/>
              <w:jc w:val="center"/>
            </w:pPr>
            <w:r>
              <w:rPr>
                <w:rFonts w:ascii="Arial" w:cs="Arial" w:eastAsia="Arial" w:hAnsi="Arial"/>
                <w:b w:val="false"/>
                <w:bCs w:val="false"/>
                <w:i w:val="false"/>
                <w:iCs w:val="false"/>
                <w:color w:val="DDDDDD"/>
                <w:sz w:val="17"/>
                <w:szCs w:val="17"/>
              </w:rPr>
              <w:t xml:space="preserve">Months 9–30+ · Nov 2026 – Aug 2028 (extended)</w:t>
            </w:r>
          </w:p>
        </w:tc>
        <w:tc>
          <w:tcPr>
            <w:tcW w:type="dxa" w:w="7160"/>
            <w:tcBorders>
              <w:top w:val="single" w:color="6C1E7E" w:sz="4"/>
              <w:left w:val="single" w:color="6C1E7E" w:sz="4"/>
              <w:bottom w:val="single" w:color="6C1E7E" w:sz="4"/>
              <w:right w:val="single" w:color="6C1E7E" w:sz="4"/>
            </w:tcBorders>
            <w:shd w:fill="F4ECF7" w:val="clear"/>
            <w:tcMar>
              <w:top w:type="dxa" w:w="180"/>
              <w:left w:type="dxa" w:w="240"/>
              <w:bottom w:type="dxa" w:w="180"/>
              <w:right w:type="dxa" w:w="200"/>
            </w:tcMar>
          </w:tcPr>
          <w:p>
            <w:pPr>
              <w:spacing w:before="0" w:after="60"/>
            </w:pPr>
            <w:r>
              <w:rPr>
                <w:rFonts w:ascii="Arial" w:cs="Arial" w:eastAsia="Arial" w:hAnsi="Arial"/>
                <w:b/>
                <w:bCs/>
                <w:i w:val="false"/>
                <w:iCs w:val="false"/>
                <w:color w:val="6C1E7E"/>
                <w:sz w:val="30"/>
                <w:szCs w:val="30"/>
              </w:rPr>
              <w:t xml:space="preserve">Startup Launch</w:t>
            </w:r>
          </w:p>
          <w:p>
            <w:pPr>
              <w:spacing w:before="0" w:after="0"/>
            </w:pPr>
            <w:r>
              <w:rPr>
                <w:rFonts w:ascii="Arial" w:cs="Arial" w:eastAsia="Arial" w:hAnsi="Arial"/>
                <w:b w:val="false"/>
                <w:bCs w:val="false"/>
                <w:i/>
                <w:iCs/>
                <w:color w:val="555555"/>
                <w:sz w:val="20"/>
                <w:szCs w:val="20"/>
              </w:rPr>
              <w:t xml:space="preserve">Build the commercial platform. Acquire paying customers. Raise seed funding.</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6C1E7E"/>
          <w:sz w:val="27"/>
          <w:szCs w:val="27"/>
        </w:rPr>
        <w:t xml:space="preserve">8.1  V3 Market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360"/>
      </w:tblGrid>
      <w:tr>
        <w:tc>
          <w:tcPr>
            <w:tcW w:type="dxa" w:w="1800"/>
            <w:tcBorders>
              <w:top w:val="single" w:color="CCCCCC" w:sz="4"/>
              <w:left w:val="single" w:color="CCCCCC" w:sz="4"/>
              <w:bottom w:val="single" w:color="CCCCCC" w:sz="4"/>
              <w:right w:val="single" w:color="CCCCCC" w:sz="4"/>
            </w:tcBorders>
            <w:shd w:fill="6C1E7E"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Competitor</w:t>
            </w:r>
          </w:p>
        </w:tc>
        <w:tc>
          <w:tcPr>
            <w:tcW w:type="dxa" w:w="1400"/>
            <w:tcBorders>
              <w:top w:val="single" w:color="CCCCCC" w:sz="4"/>
              <w:left w:val="single" w:color="CCCCCC" w:sz="4"/>
              <w:bottom w:val="single" w:color="CCCCCC" w:sz="4"/>
              <w:right w:val="single" w:color="CCCCCC" w:sz="4"/>
            </w:tcBorders>
            <w:shd w:fill="6C1E7E"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Price Point</w:t>
            </w:r>
          </w:p>
        </w:tc>
        <w:tc>
          <w:tcPr>
            <w:tcW w:type="dxa" w:w="2800"/>
            <w:tcBorders>
              <w:top w:val="single" w:color="CCCCCC" w:sz="4"/>
              <w:left w:val="single" w:color="CCCCCC" w:sz="4"/>
              <w:bottom w:val="single" w:color="CCCCCC" w:sz="4"/>
              <w:right w:val="single" w:color="CCCCCC" w:sz="4"/>
            </w:tcBorders>
            <w:shd w:fill="6C1E7E"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Their Weakness</w:t>
            </w:r>
          </w:p>
        </w:tc>
        <w:tc>
          <w:tcPr>
            <w:tcW w:type="dxa" w:w="3360"/>
            <w:tcBorders>
              <w:top w:val="single" w:color="CCCCCC" w:sz="4"/>
              <w:left w:val="single" w:color="CCCCCC" w:sz="4"/>
              <w:bottom w:val="single" w:color="CCCCCC" w:sz="4"/>
              <w:right w:val="single" w:color="CCCCCC" w:sz="4"/>
            </w:tcBorders>
            <w:shd w:fill="6C1E7E"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Our Wedge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Siemens MindSphere</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£500k–£5M/yr</w:t>
            </w:r>
          </w:p>
        </w:tc>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Requires 6-month integration project + consultant</w:t>
            </w:r>
          </w:p>
        </w:tc>
        <w:tc>
          <w:tcPr>
            <w:tcW w:type="dxa" w:w="33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Deploy in hours, not months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GE Predix</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£200k–£2M/yr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Requires GE hardware ecosystem</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Cloud-agnostic, any edge device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AWS IoT Greengrass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Pay per use</w:t>
            </w:r>
          </w:p>
        </w:tc>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Breaks when internet breaks — no edge autonomy</w:t>
            </w:r>
          </w:p>
        </w:tc>
        <w:tc>
          <w:tcPr>
            <w:tcW w:type="dxa" w:w="33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Offline-first by design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Azure IoT Edge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Azure bundle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Microsoft-stack lock-in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Vendor neutral</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Open-source (EdgeX)</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Free + labour</w:t>
            </w:r>
          </w:p>
        </w:tc>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No SLA, requires full-time engineer to maintain</w:t>
            </w:r>
          </w:p>
        </w:tc>
        <w:tc>
          <w:tcPr>
            <w:tcW w:type="dxa" w:w="33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Managed SaaS with SLA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AdaptiveOrchestrator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£199–£799/site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Offline-first, fixed price, self-serve, SME-sized</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6C1E7E"/>
          <w:sz w:val="27"/>
          <w:szCs w:val="27"/>
        </w:rPr>
        <w:t xml:space="preserve">8.2  V3 Pricing Tiers (Updated with Sensor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900"/>
        <w:gridCol w:w="4000"/>
        <w:gridCol w:w="2260"/>
      </w:tblGrid>
      <w:tr>
        <w:tc>
          <w:tcPr>
            <w:tcW w:type="dxa" w:w="1000"/>
            <w:tcBorders>
              <w:top w:val="single" w:color="CCCCCC" w:sz="4"/>
              <w:left w:val="single" w:color="CCCCCC" w:sz="4"/>
              <w:bottom w:val="single" w:color="CCCCCC" w:sz="4"/>
              <w:right w:val="single" w:color="CCCCCC" w:sz="4"/>
            </w:tcBorders>
            <w:shd w:fill="6C1E7E"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Tier</w:t>
            </w:r>
          </w:p>
        </w:tc>
        <w:tc>
          <w:tcPr>
            <w:tcW w:type="dxa" w:w="1200"/>
            <w:tcBorders>
              <w:top w:val="single" w:color="CCCCCC" w:sz="4"/>
              <w:left w:val="single" w:color="CCCCCC" w:sz="4"/>
              <w:bottom w:val="single" w:color="CCCCCC" w:sz="4"/>
              <w:right w:val="single" w:color="CCCCCC" w:sz="4"/>
            </w:tcBorders>
            <w:shd w:fill="6C1E7E"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Price</w:t>
            </w:r>
          </w:p>
        </w:tc>
        <w:tc>
          <w:tcPr>
            <w:tcW w:type="dxa" w:w="900"/>
            <w:tcBorders>
              <w:top w:val="single" w:color="CCCCCC" w:sz="4"/>
              <w:left w:val="single" w:color="CCCCCC" w:sz="4"/>
              <w:bottom w:val="single" w:color="CCCCCC" w:sz="4"/>
              <w:right w:val="single" w:color="CCCCCC" w:sz="4"/>
            </w:tcBorders>
            <w:shd w:fill="6C1E7E"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Sensor Limit</w:t>
            </w:r>
          </w:p>
        </w:tc>
        <w:tc>
          <w:tcPr>
            <w:tcW w:type="dxa" w:w="4000"/>
            <w:tcBorders>
              <w:top w:val="single" w:color="CCCCCC" w:sz="4"/>
              <w:left w:val="single" w:color="CCCCCC" w:sz="4"/>
              <w:bottom w:val="single" w:color="CCCCCC" w:sz="4"/>
              <w:right w:val="single" w:color="CCCCCC" w:sz="4"/>
            </w:tcBorders>
            <w:shd w:fill="6C1E7E"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Key Features</w:t>
            </w:r>
          </w:p>
        </w:tc>
        <w:tc>
          <w:tcPr>
            <w:tcW w:type="dxa" w:w="2260"/>
            <w:tcBorders>
              <w:top w:val="single" w:color="CCCCCC" w:sz="4"/>
              <w:left w:val="single" w:color="CCCCCC" w:sz="4"/>
              <w:bottom w:val="single" w:color="CCCCCC" w:sz="4"/>
              <w:right w:val="single" w:color="CCCCCC" w:sz="4"/>
            </w:tcBorders>
            <w:shd w:fill="6C1E7E"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Gross Margin</w:t>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Starter</w:t>
            </w:r>
          </w:p>
        </w:tc>
        <w:tc>
          <w:tcPr>
            <w:tcW w:type="dxa" w:w="1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£199/site/mo</w:t>
            </w:r>
          </w:p>
        </w:tc>
        <w:tc>
          <w:tcPr>
            <w:tcW w:type="dxa" w:w="9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Up to 10</w:t>
            </w:r>
          </w:p>
        </w:tc>
        <w:tc>
          <w:tcPr>
            <w:tcW w:type="dxa" w:w="4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Anomaly detection, email alerts, 7-day history</w:t>
            </w:r>
          </w:p>
        </w:tc>
        <w:tc>
          <w:tcPr>
            <w:tcW w:type="dxa" w:w="226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~92%</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Growth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£399/site/mo</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Up to 30</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All Starter + SHAP, SMS, 90-day history, Grafana</w:t>
            </w:r>
          </w:p>
        </w:tc>
        <w:tc>
          <w:tcPr>
            <w:tcW w:type="dxa" w:w="226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~90%</w:t>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Scale</w:t>
            </w:r>
          </w:p>
        </w:tc>
        <w:tc>
          <w:tcPr>
            <w:tcW w:type="dxa" w:w="1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£799/site/mo</w:t>
            </w:r>
          </w:p>
        </w:tc>
        <w:tc>
          <w:tcPr>
            <w:tcW w:type="dxa" w:w="9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Up to 100</w:t>
            </w:r>
          </w:p>
        </w:tc>
        <w:tc>
          <w:tcPr>
            <w:tcW w:type="dxa" w:w="4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All Growth + API, custom models, on-premise option</w:t>
            </w:r>
          </w:p>
        </w:tc>
        <w:tc>
          <w:tcPr>
            <w:tcW w:type="dxa" w:w="2260"/>
            <w:tcBorders>
              <w:top w:val="single" w:color="CCCCCC" w:sz="4"/>
              <w:left w:val="single" w:color="CCCCCC" w:sz="4"/>
              <w:bottom w:val="single" w:color="CCCCCC" w:sz="4"/>
              <w:right w:val="single" w:color="CCCCCC" w:sz="4"/>
            </w:tcBorders>
            <w:shd w:fill="FEF3EA"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~87%</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Enterprise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Custom</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Unlimited</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White-label, SLA, dedicated support, multi-region</w:t>
            </w:r>
          </w:p>
        </w:tc>
        <w:tc>
          <w:tcPr>
            <w:tcW w:type="dxa" w:w="2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Negotiated</w:t>
            </w:r>
          </w:p>
        </w:tc>
      </w:tr>
    </w:tbl>
    <w:p>
      <w:pPr>
        <w:spacing w:before="80" w:after="0"/>
      </w:pPr>
      <w:r>
        <w:rPr>
          <w:rFonts w:ascii="Arial" w:cs="Arial" w:eastAsia="Arial" w:hAnsi="Arial"/>
          <w:b w:val="false"/>
          <w:bCs w:val="false"/>
          <w:i w:val="false"/>
          <w:iCs w:val="false"/>
          <w:color w:val="111111"/>
          <w:sz w:val="22"/>
          <w:szCs w:val="22"/>
        </w:rPr>
        <w:t xml:space="preserve"/>
      </w:r>
    </w:p>
    <w:p>
      <w:pPr>
        <w:pStyle w:val="Heading2"/>
        <w:spacing w:before="300" w:after="120"/>
      </w:pPr>
      <w:r>
        <w:rPr>
          <w:rFonts w:ascii="Arial" w:cs="Arial" w:eastAsia="Arial" w:hAnsi="Arial"/>
          <w:b/>
          <w:bCs/>
          <w:i w:val="false"/>
          <w:iCs w:val="false"/>
          <w:color w:val="6C1E7E"/>
          <w:sz w:val="27"/>
          <w:szCs w:val="27"/>
        </w:rPr>
        <w:t xml:space="preserve">8.3  V3 16-Month Schedule (Realistic 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700"/>
        <w:gridCol w:w="3260"/>
      </w:tblGrid>
      <w:tr>
        <w:tc>
          <w:tcPr>
            <w:tcW w:type="dxa" w:w="1000"/>
            <w:tcBorders>
              <w:top w:val="single" w:color="CCCCCC" w:sz="4"/>
              <w:left w:val="single" w:color="CCCCCC" w:sz="4"/>
              <w:bottom w:val="single" w:color="CCCCCC" w:sz="4"/>
              <w:right w:val="single" w:color="CCCCCC" w:sz="4"/>
            </w:tcBorders>
            <w:shd w:fill="6C1E7E"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Period</w:t>
            </w:r>
          </w:p>
        </w:tc>
        <w:tc>
          <w:tcPr>
            <w:tcW w:type="dxa" w:w="1400"/>
            <w:tcBorders>
              <w:top w:val="single" w:color="CCCCCC" w:sz="4"/>
              <w:left w:val="single" w:color="CCCCCC" w:sz="4"/>
              <w:bottom w:val="single" w:color="CCCCCC" w:sz="4"/>
              <w:right w:val="single" w:color="CCCCCC" w:sz="4"/>
            </w:tcBorders>
            <w:shd w:fill="6C1E7E"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Phase</w:t>
            </w:r>
          </w:p>
        </w:tc>
        <w:tc>
          <w:tcPr>
            <w:tcW w:type="dxa" w:w="3700"/>
            <w:tcBorders>
              <w:top w:val="single" w:color="CCCCCC" w:sz="4"/>
              <w:left w:val="single" w:color="CCCCCC" w:sz="4"/>
              <w:bottom w:val="single" w:color="CCCCCC" w:sz="4"/>
              <w:right w:val="single" w:color="CCCCCC" w:sz="4"/>
            </w:tcBorders>
            <w:shd w:fill="6C1E7E"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Focus</w:t>
            </w:r>
          </w:p>
        </w:tc>
        <w:tc>
          <w:tcPr>
            <w:tcW w:type="dxa" w:w="3260"/>
            <w:tcBorders>
              <w:top w:val="single" w:color="CCCCCC" w:sz="4"/>
              <w:left w:val="single" w:color="CCCCCC" w:sz="4"/>
              <w:bottom w:val="single" w:color="CCCCCC" w:sz="4"/>
              <w:right w:val="single" w:color="CCCCCC" w:sz="4"/>
            </w:tcBorders>
            <w:shd w:fill="6C1E7E"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MRR Target (Realistic)</w:t>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9–10</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Launch Prep</w:t>
            </w:r>
          </w:p>
        </w:tc>
        <w:tc>
          <w:tcPr>
            <w:tcW w:type="dxa" w:w="37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Stabilise V2. Incorporate. Seed deck. Convert betas to paid.</w:t>
            </w:r>
          </w:p>
        </w:tc>
        <w:tc>
          <w:tcPr>
            <w:tcW w:type="dxa" w:w="32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£800</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11–13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First Revenue</w:t>
            </w:r>
          </w:p>
        </w:tc>
        <w:tc>
          <w:tcPr>
            <w:tcW w:type="dxa" w:w="3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Outbound to 50 SME manufacturers. 2–3 new customers.</w:t>
            </w:r>
          </w:p>
        </w:tc>
        <w:tc>
          <w:tcPr>
            <w:tcW w:type="dxa" w:w="3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£2,000</w:t>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14–16</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Sales Process</w:t>
            </w:r>
          </w:p>
        </w:tc>
        <w:tc>
          <w:tcPr>
            <w:tcW w:type="dxa" w:w="37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Hire SDR. Partner with 1 system integrator. Standardise demo.</w:t>
            </w:r>
          </w:p>
        </w:tc>
        <w:tc>
          <w:tcPr>
            <w:tcW w:type="dxa" w:w="32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£4,000</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17–19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Growth Engine</w:t>
            </w:r>
          </w:p>
        </w:tc>
        <w:tc>
          <w:tcPr>
            <w:tcW w:type="dxa" w:w="3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Scale outbound. Launch Growth tier. UK market entry.</w:t>
            </w:r>
          </w:p>
        </w:tc>
        <w:tc>
          <w:tcPr>
            <w:tcW w:type="dxa" w:w="3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£6,000</w:t>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20–22</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Seed Fundraise</w:t>
            </w:r>
          </w:p>
        </w:tc>
        <w:tc>
          <w:tcPr>
            <w:tcW w:type="dxa" w:w="37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Approach investors. Build metrics dashboard for due diligence.</w:t>
            </w:r>
          </w:p>
        </w:tc>
        <w:tc>
          <w:tcPr>
            <w:tcW w:type="dxa" w:w="32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£8,000</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23–25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Seed Close</w:t>
            </w:r>
          </w:p>
        </w:tc>
        <w:tc>
          <w:tcPr>
            <w:tcW w:type="dxa" w:w="3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Close £500k–£1M seed (realistic Month 26–28). Hire 2 engineers.</w:t>
            </w:r>
          </w:p>
        </w:tc>
        <w:tc>
          <w:tcPr>
            <w:tcW w:type="dxa" w:w="3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£10,000</w:t>
            </w:r>
          </w:p>
        </w:tc>
      </w:tr>
      <w:tr>
        <w:tc>
          <w:tcPr>
            <w:tcW w:type="dxa" w:w="1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26–28</w:t>
            </w:r>
          </w:p>
        </w:tc>
        <w:tc>
          <w:tcPr>
            <w:tcW w:type="dxa" w:w="1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Platform Depth</w:t>
            </w:r>
          </w:p>
        </w:tc>
        <w:tc>
          <w:tcPr>
            <w:tcW w:type="dxa" w:w="37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Mobile app. Public API. SOC 2 audit. EU expansion begins.</w:t>
            </w:r>
          </w:p>
        </w:tc>
        <w:tc>
          <w:tcPr>
            <w:tcW w:type="dxa" w:w="32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£15,000</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 29–30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Series A Prep</w:t>
            </w:r>
          </w:p>
        </w:tc>
        <w:tc>
          <w:tcPr>
            <w:tcW w:type="dxa" w:w="3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30+ customers. £20k+ MRR. Prepare Series A materials.</w:t>
            </w:r>
          </w:p>
        </w:tc>
        <w:tc>
          <w:tcPr>
            <w:tcW w:type="dxa" w:w="3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£20,000+</w:t>
            </w:r>
          </w:p>
        </w:tc>
      </w:tr>
    </w:tbl>
    <w:p>
      <w:pPr>
        <w:spacing w:before="8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200"/>
      </w:tblGrid>
      <w:tr>
        <w:tc>
          <w:tcPr>
            <w:tcW w:type="dxa" w:w="3080"/>
            <w:tcBorders>
              <w:top w:val="single" w:color="6C1E7E" w:sz="8"/>
              <w:left w:val="single" w:color="6C1E7E" w:sz="4"/>
              <w:bottom w:val="single" w:color="6C1E7E" w:sz="4"/>
              <w:right w:val="single" w:color="6C1E7E" w:sz="4"/>
            </w:tcBorders>
            <w:shd w:fill="F4ECF7" w:val="clear"/>
            <w:tcMar>
              <w:top w:type="dxa" w:w="120"/>
              <w:left w:type="dxa" w:w="160"/>
              <w:bottom w:type="dxa" w:w="120"/>
              <w:right w:type="dxa" w:w="160"/>
            </w:tcMar>
          </w:tcPr>
          <w:p>
            <w:pPr>
              <w:spacing w:before="0" w:after="40"/>
              <w:jc w:val="center"/>
            </w:pPr>
            <w:r>
              <w:rPr>
                <w:rFonts w:ascii="Arial" w:cs="Arial" w:eastAsia="Arial" w:hAnsi="Arial"/>
                <w:b/>
                <w:bCs/>
                <w:i w:val="false"/>
                <w:iCs w:val="false"/>
                <w:color w:val="6C1E7E"/>
                <w:sz w:val="32"/>
                <w:szCs w:val="32"/>
              </w:rPr>
              <w:t xml:space="preserve">£108k</w:t>
            </w:r>
          </w:p>
          <w:p>
            <w:pPr>
              <w:spacing w:before="0" w:after="0"/>
              <w:jc w:val="center"/>
            </w:pPr>
            <w:r>
              <w:rPr>
                <w:rFonts w:ascii="Arial" w:cs="Arial" w:eastAsia="Arial" w:hAnsi="Arial"/>
                <w:b w:val="false"/>
                <w:bCs w:val="false"/>
                <w:i w:val="false"/>
                <w:iCs w:val="false"/>
                <w:color w:val="555555"/>
                <w:sz w:val="19"/>
                <w:szCs w:val="19"/>
              </w:rPr>
              <w:t xml:space="preserve">Realistic Month 24 ARR</w:t>
            </w:r>
          </w:p>
        </w:tc>
        <w:tc>
          <w:tcPr>
            <w:tcW w:type="dxa" w:w="3080"/>
            <w:tcBorders>
              <w:top w:val="single" w:color="922B21" w:sz="8"/>
              <w:left w:val="single" w:color="922B21" w:sz="4"/>
              <w:bottom w:val="single" w:color="922B21" w:sz="4"/>
              <w:right w:val="single" w:color="922B21" w:sz="4"/>
            </w:tcBorders>
            <w:shd w:fill="FDECEC" w:val="clear"/>
            <w:tcMar>
              <w:top w:type="dxa" w:w="120"/>
              <w:left w:type="dxa" w:w="160"/>
              <w:bottom w:type="dxa" w:w="120"/>
              <w:right w:type="dxa" w:w="160"/>
            </w:tcMar>
          </w:tcPr>
          <w:p>
            <w:pPr>
              <w:spacing w:before="0" w:after="40"/>
              <w:jc w:val="center"/>
            </w:pPr>
            <w:r>
              <w:rPr>
                <w:rFonts w:ascii="Arial" w:cs="Arial" w:eastAsia="Arial" w:hAnsi="Arial"/>
                <w:b/>
                <w:bCs/>
                <w:i w:val="false"/>
                <w:iCs w:val="false"/>
                <w:color w:val="922B21"/>
                <w:sz w:val="32"/>
                <w:szCs w:val="32"/>
              </w:rPr>
              <w:t xml:space="preserve">£48k</w:t>
            </w:r>
          </w:p>
          <w:p>
            <w:pPr>
              <w:spacing w:before="0" w:after="0"/>
              <w:jc w:val="center"/>
            </w:pPr>
            <w:r>
              <w:rPr>
                <w:rFonts w:ascii="Arial" w:cs="Arial" w:eastAsia="Arial" w:hAnsi="Arial"/>
                <w:b w:val="false"/>
                <w:bCs w:val="false"/>
                <w:i w:val="false"/>
                <w:iCs w:val="false"/>
                <w:color w:val="555555"/>
                <w:sz w:val="19"/>
                <w:szCs w:val="19"/>
              </w:rPr>
              <w:t xml:space="preserve">Conservative Month 24 ARR</w:t>
            </w:r>
          </w:p>
        </w:tc>
        <w:tc>
          <w:tcPr>
            <w:tcW w:type="dxa" w:w="3200"/>
            <w:tcBorders>
              <w:top w:val="single" w:color="1E6B3C" w:sz="8"/>
              <w:left w:val="single" w:color="1E6B3C" w:sz="4"/>
              <w:bottom w:val="single" w:color="1E6B3C" w:sz="4"/>
              <w:right w:val="single" w:color="1E6B3C" w:sz="4"/>
            </w:tcBorders>
            <w:shd w:fill="D5F5E3" w:val="clear"/>
            <w:tcMar>
              <w:top w:type="dxa" w:w="120"/>
              <w:left w:type="dxa" w:w="160"/>
              <w:bottom w:type="dxa" w:w="120"/>
              <w:right w:type="dxa" w:w="160"/>
            </w:tcMar>
          </w:tcPr>
          <w:p>
            <w:pPr>
              <w:spacing w:before="0" w:after="40"/>
              <w:jc w:val="center"/>
            </w:pPr>
            <w:r>
              <w:rPr>
                <w:rFonts w:ascii="Arial" w:cs="Arial" w:eastAsia="Arial" w:hAnsi="Arial"/>
                <w:b/>
                <w:bCs/>
                <w:i w:val="false"/>
                <w:iCs w:val="false"/>
                <w:color w:val="1E6B3C"/>
                <w:sz w:val="32"/>
                <w:szCs w:val="32"/>
              </w:rPr>
              <w:t xml:space="preserve">£288k</w:t>
            </w:r>
          </w:p>
          <w:p>
            <w:pPr>
              <w:spacing w:before="0" w:after="0"/>
              <w:jc w:val="center"/>
            </w:pPr>
            <w:r>
              <w:rPr>
                <w:rFonts w:ascii="Arial" w:cs="Arial" w:eastAsia="Arial" w:hAnsi="Arial"/>
                <w:b w:val="false"/>
                <w:bCs w:val="false"/>
                <w:i w:val="false"/>
                <w:iCs w:val="false"/>
                <w:color w:val="555555"/>
                <w:sz w:val="19"/>
                <w:szCs w:val="19"/>
              </w:rPr>
              <w:t xml:space="preserve">Optimistic Month 24 ARR</w:t>
            </w:r>
          </w:p>
        </w:tc>
      </w:tr>
    </w:tbl>
    <w:p>
      <w:pPr>
        <w:spacing w:before="100" w:after="0"/>
      </w:pPr>
      <w:r>
        <w:rPr>
          <w:rFonts w:ascii="Arial" w:cs="Arial" w:eastAsia="Arial" w:hAnsi="Arial"/>
          <w:b w:val="false"/>
          <w:bCs w:val="false"/>
          <w:i w:val="false"/>
          <w:iCs w:val="false"/>
          <w:color w:val="111111"/>
          <w:sz w:val="22"/>
          <w:szCs w:val="22"/>
        </w:rPr>
        <w:t xml:space="preserve"/>
      </w:r>
    </w:p>
    <w:p>
      <w:r>
        <w:br w:type="page"/>
      </w:r>
    </w:p>
    <w:p>
      <w:pPr>
        <w:pStyle w:val="Heading1"/>
        <w:spacing w:before="440" w:after="160"/>
      </w:pPr>
      <w:r>
        <w:rPr>
          <w:rFonts w:ascii="Arial" w:cs="Arial" w:eastAsia="Arial" w:hAnsi="Arial"/>
          <w:b/>
          <w:bCs/>
          <w:i w:val="false"/>
          <w:iCs w:val="false"/>
          <w:color w:val="1F3864"/>
          <w:sz w:val="34"/>
          <w:szCs w:val="34"/>
        </w:rPr>
        <w:t xml:space="preserve">9.  Risk Register — All Versions (Expanded)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800"/>
        <w:gridCol w:w="3000"/>
        <w:gridCol w:w="1560"/>
      </w:tblGrid>
      <w:tr>
        <w:tc>
          <w:tcPr>
            <w:tcW w:type="dxa" w:w="2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Risk</w:t>
            </w:r>
          </w:p>
        </w:tc>
        <w:tc>
          <w:tcPr>
            <w:tcW w:type="dxa" w:w="6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Version</w:t>
            </w:r>
          </w:p>
        </w:tc>
        <w:tc>
          <w:tcPr>
            <w:tcW w:type="dxa" w:w="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Severity</w:t>
            </w:r>
          </w:p>
        </w:tc>
        <w:tc>
          <w:tcPr>
            <w:tcW w:type="dxa" w:w="30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Mitigation</w:t>
            </w:r>
          </w:p>
        </w:tc>
        <w:tc>
          <w:tcPr>
            <w:tcW w:type="dxa" w:w="156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Review Point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Architecture rigidity — locking technology permanently</w:t>
            </w:r>
          </w:p>
        </w:tc>
        <w:tc>
          <w:tcPr>
            <w:tcW w:type="dxa" w:w="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ALL</w:t>
            </w:r>
          </w:p>
        </w:tc>
        <w:tc>
          <w:tcPr>
            <w:tcW w:type="dxa" w:w="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Critical</w:t>
            </w:r>
          </w:p>
        </w:tc>
        <w:tc>
          <w:tcPr>
            <w:tcW w:type="dxa" w:w="3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Apply Three-Category Framework. All tech is Category 2 at most. Re-evaluate at gates.</w:t>
            </w:r>
          </w:p>
        </w:tc>
        <w:tc>
          <w:tcPr>
            <w:tcW w:type="dxa" w:w="1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Every architecture gate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Unit economics failure — cloud cost exceeds revenue per site</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V2/V3</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Critical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Sensor count limits per tier. MSK shared cluster. Delta+TimescaleDB hybrid at gate.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V2 Month 5 gate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MSK per-customer provisioning — $150/month kills margins</w:t>
            </w:r>
          </w:p>
        </w:tc>
        <w:tc>
          <w:tcPr>
            <w:tcW w:type="dxa" w:w="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V2/V3</w:t>
            </w:r>
          </w:p>
        </w:tc>
        <w:tc>
          <w:tcPr>
            <w:tcW w:type="dxa" w:w="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High</w:t>
            </w:r>
          </w:p>
        </w:tc>
        <w:tc>
          <w:tcPr>
            <w:tcW w:type="dxa" w:w="3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One shared MSK cluster per region for up to 50 customers. Migrate at 5+ customers.</w:t>
            </w:r>
          </w:p>
        </w:tc>
        <w:tc>
          <w:tcPr>
            <w:tcW w:type="dxa" w:w="1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V2 Month 7</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Industrial sales cycle — 3–6 month procurement delays</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V3</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High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Three revenue scenarios. Conservative scenario is the planning base.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Monthly review</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Integration instability — 13 components in V1</w:t>
            </w:r>
          </w:p>
        </w:tc>
        <w:tc>
          <w:tcPr>
            <w:tcW w:type="dxa" w:w="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V1</w:t>
            </w:r>
          </w:p>
        </w:tc>
        <w:tc>
          <w:tcPr>
            <w:tcW w:type="dxa" w:w="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High</w:t>
            </w:r>
          </w:p>
        </w:tc>
        <w:tc>
          <w:tcPr>
            <w:tcW w:type="dxa" w:w="3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Strict scope. No new components after Week 3. Gate-based progression.</w:t>
            </w:r>
          </w:p>
        </w:tc>
        <w:tc>
          <w:tcPr>
            <w:tcW w:type="dxa" w:w="1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Each weekly gate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WSL2 RAM pressure with Spark</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V1</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High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.wslconfig set to 10GB. Spark worker limited to 1GB during dev.</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Week 1 Day 1</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Delta Lake query latency too slow for customer UI</w:t>
            </w:r>
          </w:p>
        </w:tc>
        <w:tc>
          <w:tcPr>
            <w:tcW w:type="dxa" w:w="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V2/V3</w:t>
            </w:r>
          </w:p>
        </w:tc>
        <w:tc>
          <w:tcPr>
            <w:tcW w:type="dxa" w:w="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High</w:t>
            </w:r>
          </w:p>
        </w:tc>
        <w:tc>
          <w:tcPr>
            <w:tcW w:type="dxa" w:w="3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Benchmark at V2 Month 5. Add TimescaleDB query layer if P95 &gt; 500ms.</w:t>
            </w:r>
          </w:p>
        </w:tc>
        <w:tc>
          <w:tcPr>
            <w:tcW w:type="dxa" w:w="1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V2 Month 5</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Real sensor data quality lower than synthetic</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V2</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High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Data validation layer. Start with one sensor type. Expect 4-6 weeks for real data pipeline.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V2 Month 5</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Azure or GCP customer requirement</w:t>
            </w:r>
          </w:p>
        </w:tc>
        <w:tc>
          <w:tcPr>
            <w:tcW w:type="dxa" w:w="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V3</w:t>
            </w:r>
          </w:p>
        </w:tc>
        <w:tc>
          <w:tcPr>
            <w:tcW w:type="dxa" w:w="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Medium</w:t>
            </w:r>
          </w:p>
        </w:tc>
        <w:tc>
          <w:tcPr>
            <w:tcW w:type="dxa" w:w="3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Infrastructure abstracted behind config. Azure path documented in advance.</w:t>
            </w:r>
          </w:p>
        </w:tc>
        <w:tc>
          <w:tcPr>
            <w:tcW w:type="dxa" w:w="1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First enterprise deal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SHAP + Spark debugging — weeks lost</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V1/V2</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High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SHAP deferred to V2. Not on V1 critical path. Benchmark before Hybrid mode evaluation.</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V2 Month 3</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Key person risk — single founder</w:t>
            </w:r>
          </w:p>
        </w:tc>
        <w:tc>
          <w:tcPr>
            <w:tcW w:type="dxa" w:w="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V3</w:t>
            </w:r>
          </w:p>
        </w:tc>
        <w:tc>
          <w:tcPr>
            <w:tcW w:type="dxa" w:w="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High</w:t>
            </w:r>
          </w:p>
        </w:tc>
        <w:tc>
          <w:tcPr>
            <w:tcW w:type="dxa" w:w="3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Technical co-founder hire Month 9. Full architecture documentation. No tribal knowledge.</w:t>
            </w:r>
          </w:p>
        </w:tc>
        <w:tc>
          <w:tcPr>
            <w:tcW w:type="dxa" w:w="1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V3 Month 9</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Churn above 5%/month — revenue shrinks despite new sales</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V3</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High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NPS tracking from Month 1. Customer success manager hire Month 15.</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Monthly</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Series A not closing at Month 24</w:t>
            </w:r>
          </w:p>
        </w:tc>
        <w:tc>
          <w:tcPr>
            <w:tcW w:type="dxa" w:w="6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V3</w:t>
            </w:r>
          </w:p>
        </w:tc>
        <w:tc>
          <w:tcPr>
            <w:tcW w:type="dxa" w:w="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Medium</w:t>
            </w:r>
          </w:p>
        </w:tc>
        <w:tc>
          <w:tcPr>
            <w:tcW w:type="dxa" w:w="3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Plan for bootstrap to profitability at 15+ customers. Series A from strength.</w:t>
            </w:r>
          </w:p>
        </w:tc>
        <w:tc>
          <w:tcPr>
            <w:tcW w:type="dxa" w:w="15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V3 Month 22</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Thesis scope creep into startup features</w:t>
            </w:r>
          </w:p>
        </w:tc>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V1</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High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Policy Executor is the thesis. SHAP, MLflow, Grafana are V2. No exceptions.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Weekly</w:t>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1"/>
        <w:spacing w:before="440" w:after="160"/>
      </w:pPr>
      <w:r>
        <w:rPr>
          <w:rFonts w:ascii="Arial" w:cs="Arial" w:eastAsia="Arial" w:hAnsi="Arial"/>
          <w:b/>
          <w:bCs/>
          <w:i w:val="false"/>
          <w:iCs w:val="false"/>
          <w:color w:val="1F3864"/>
          <w:sz w:val="34"/>
          <w:szCs w:val="34"/>
        </w:rPr>
        <w:t xml:space="preserve">10.  The Thesis to Startup Bridge</w:t>
      </w:r>
    </w:p>
    <w:p>
      <w:pPr>
        <w:spacing w:before="60" w:after="100" w:line="320"/>
        <w:jc w:val="both"/>
      </w:pPr>
      <w:r>
        <w:rPr>
          <w:rFonts w:ascii="Arial" w:cs="Arial" w:eastAsia="Arial" w:hAnsi="Arial"/>
          <w:b w:val="false"/>
          <w:bCs w:val="false"/>
          <w:i w:val="false"/>
          <w:iCs w:val="false"/>
          <w:color w:val="111111"/>
          <w:sz w:val="22"/>
          <w:szCs w:val="22"/>
        </w:rPr>
        <w:t xml:space="preserve">The thesis is not a diversion from the startup. It is the foundation. Every evaluation result becomes an investor claim. Every limitation becomes a roadmap item. The framing of the thesis — from the abstract to the conclusion — should be written with both audiences in mind.</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Thesis Result</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Investor Claim</w:t>
            </w:r>
          </w:p>
        </w:tc>
        <w:tc>
          <w:tcPr>
            <w:tcW w:type="dxa" w:w="20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Customer Claim</w:t>
            </w:r>
          </w:p>
        </w:tc>
        <w:tc>
          <w:tcPr>
            <w:tcW w:type="dxa" w:w="316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Evidence Artefact</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Edge autonomy &gt; 99% during 30-min blackout</w:t>
            </w:r>
          </w:p>
        </w:tc>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Proven: detection continues for 30 minutes with no internet</w:t>
            </w:r>
          </w:p>
        </w:tc>
        <w:tc>
          <w:tcPr>
            <w:tcW w:type="dxa" w:w="2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Your factory keeps working even when the internet goes down</w:t>
            </w:r>
          </w:p>
        </w:tc>
        <w:tc>
          <w:tcPr>
            <w:tcW w:type="dxa" w:w="31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S2 scenario logs — timestamped inference records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Mode switch latency &lt; 5 seconds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System adapts to connectivity changes in under 5 seconds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No manual intervention — it changes itself</w:t>
            </w:r>
          </w:p>
        </w:tc>
        <w:tc>
          <w:tcPr>
            <w:tcW w:type="dxa" w:w="3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S3 scenario logs — mode transition timestamps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40% cloud egress reduction</w:t>
            </w:r>
          </w:p>
        </w:tc>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40% reduction in cloud processing costs vs static routing</w:t>
            </w:r>
          </w:p>
        </w:tc>
        <w:tc>
          <w:tcPr>
            <w:tcW w:type="dxa" w:w="2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Cut your cloud bill by 40% compared to always-on routing</w:t>
            </w:r>
          </w:p>
        </w:tc>
        <w:tc>
          <w:tcPr>
            <w:tcW w:type="dxa" w:w="31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S5 scenario logs — event routing analysis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F1 &gt; 0.95 under normal conditions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99%+ accuracy on bearing fault detection benchmarks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Catches 99 out of 100 real faults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S1 scenario logs — F1 on held-out CWRU</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Zero data loss during outage + recovery</w:t>
            </w:r>
          </w:p>
        </w:tc>
        <w:tc>
          <w:tcPr>
            <w:tcW w:type="dxa" w:w="22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No sensor reading is lost during connectivity failure</w:t>
            </w:r>
          </w:p>
        </w:tc>
        <w:tc>
          <w:tcPr>
            <w:tcW w:type="dxa" w:w="20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Every fault is captured even during outages</w:t>
            </w:r>
          </w:p>
        </w:tc>
        <w:tc>
          <w:tcPr>
            <w:tcW w:type="dxa" w:w="31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Buffer integrity test — count matching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Thesis published and examined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Peer-reviewed validation of core technology claim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University-validated technology</w:t>
            </w:r>
          </w:p>
        </w:tc>
        <w:tc>
          <w:tcPr>
            <w:tcW w:type="dxa" w:w="3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University of Moratuwa examination certificate</w:t>
            </w:r>
          </w:p>
        </w:tc>
      </w:tr>
    </w:tbl>
    <w:p>
      <w:pPr>
        <w:spacing w:before="100" w:after="0"/>
      </w:pPr>
      <w:r>
        <w:rPr>
          <w:rFonts w:ascii="Arial" w:cs="Arial" w:eastAsia="Arial" w:hAnsi="Arial"/>
          <w:b w:val="false"/>
          <w:bCs w:val="false"/>
          <w:i w:val="false"/>
          <w:iCs w:val="false"/>
          <w:color w:val="111111"/>
          <w:sz w:val="22"/>
          <w:szCs w:val="22"/>
        </w:rPr>
        <w:t xml:space="preserve"/>
      </w:r>
    </w:p>
    <w:p>
      <w:pPr>
        <w:pStyle w:val="Heading1"/>
        <w:spacing w:before="440" w:after="160"/>
      </w:pPr>
      <w:r>
        <w:rPr>
          <w:rFonts w:ascii="Arial" w:cs="Arial" w:eastAsia="Arial" w:hAnsi="Arial"/>
          <w:b/>
          <w:bCs/>
          <w:i w:val="false"/>
          <w:iCs w:val="false"/>
          <w:color w:val="1F3864"/>
          <w:sz w:val="34"/>
          <w:szCs w:val="34"/>
        </w:rPr>
        <w:t xml:space="preserve">11.  Immediate Next Actions — Starting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700"/>
        <w:gridCol w:w="5460"/>
      </w:tblGrid>
      <w:tr>
        <w:tc>
          <w:tcPr>
            <w:tcW w:type="dxa" w:w="4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Priority</w:t>
            </w:r>
          </w:p>
        </w:tc>
        <w:tc>
          <w:tcPr>
            <w:tcW w:type="dxa" w:w="2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Action</w:t>
            </w:r>
          </w:p>
        </w:tc>
        <w:tc>
          <w:tcPr>
            <w:tcW w:type="dxa" w:w="7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Time</w:t>
            </w:r>
          </w:p>
        </w:tc>
        <w:tc>
          <w:tcPr>
            <w:tcW w:type="dxa" w:w="546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tcPr>
          <w:p>
            <w:r>
              <w:rPr>
                <w:rFonts w:ascii="Arial" w:cs="Arial" w:eastAsia="Arial" w:hAnsi="Arial"/>
                <w:b/>
                <w:bCs/>
                <w:i w:val="false"/>
                <w:iCs w:val="false"/>
                <w:color w:val="FFFFFF"/>
                <w:sz w:val="19"/>
                <w:szCs w:val="19"/>
              </w:rPr>
              <w:t xml:space="preserve">Why This Week</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P0</w:t>
            </w:r>
          </w:p>
        </w:tc>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Edit .wslconfig: memory=10GB, processors=6. Restart WSL2.</w:t>
            </w:r>
          </w:p>
        </w:tc>
        <w:tc>
          <w:tcPr>
            <w:tcW w:type="dxa" w:w="7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15 min</w:t>
            </w:r>
          </w:p>
        </w:tc>
        <w:tc>
          <w:tcPr>
            <w:tcW w:type="dxa" w:w="54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Spark crashes without this. Everything depends on it.</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Create GitHub repo: adaptive-orchestrator. Initial folder structure. First commit.</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30 min</w:t>
            </w:r>
          </w:p>
        </w:tc>
        <w:tc>
          <w:tcPr>
            <w:tcW w:type="dxa" w:w="5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Version control from Day 1. No exceptions.</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P0</w:t>
            </w:r>
          </w:p>
        </w:tc>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Create AWS account with prepaid card. Billing alert at $10. Run aws configure.</w:t>
            </w:r>
          </w:p>
        </w:tc>
        <w:tc>
          <w:tcPr>
            <w:tcW w:type="dxa" w:w="7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45 min</w:t>
            </w:r>
          </w:p>
        </w:tc>
        <w:tc>
          <w:tcPr>
            <w:tcW w:type="dxa" w:w="54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S3 bucket needed by Week 5. Setup complexity underestimated.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Write config/settings.py with all thresholds and AWSConfig. Category labels for each value.</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 hr</w:t>
            </w:r>
          </w:p>
        </w:tc>
        <w:tc>
          <w:tcPr>
            <w:tcW w:type="dxa" w:w="5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Single source of truth. Label each value as Category 1/2/3.</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P1</w:t>
            </w:r>
          </w:p>
        </w:tc>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Create docker-compose.yml with NATS only. Verify docker compose up works.</w:t>
            </w:r>
          </w:p>
        </w:tc>
        <w:tc>
          <w:tcPr>
            <w:tcW w:type="dxa" w:w="7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1 hr</w:t>
            </w:r>
          </w:p>
        </w:tc>
        <w:tc>
          <w:tcPr>
            <w:tcW w:type="dxa" w:w="54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Unblocks Day 1 development.</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Download CWRU Bearing Dataset. Verify file structure in /data/cwru/.</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30 min</w:t>
            </w:r>
          </w:p>
        </w:tc>
        <w:tc>
          <w:tcPr>
            <w:tcW w:type="dxa" w:w="5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Real data should be present from Week 2 onward.</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P2</w:t>
            </w:r>
          </w:p>
        </w:tc>
        <w:tc>
          <w:tcPr>
            <w:tcW w:type="dxa" w:w="28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Write the 3-sentence product pitch on paper. Keep it physical. Read it daily.</w:t>
            </w:r>
          </w:p>
        </w:tc>
        <w:tc>
          <w:tcPr>
            <w:tcW w:type="dxa" w:w="70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20 min</w:t>
            </w:r>
          </w:p>
        </w:tc>
        <w:tc>
          <w:tcPr>
            <w:tcW w:type="dxa" w:w="5460"/>
            <w:tcBorders>
              <w:top w:val="single" w:color="CCCCCC" w:sz="4"/>
              <w:left w:val="single" w:color="CCCCCC" w:sz="4"/>
              <w:bottom w:val="single" w:color="CCCCCC" w:sz="4"/>
              <w:right w:val="single" w:color="CCCCCC" w:sz="4"/>
            </w:tcBorders>
            <w:shd w:fill="F5F5F5"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Forces clarity. Every ambiguous architecture decision resolves against it.</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P2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Run the unit economics model in a spreadsheet for your own numbers.</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2 hrs</w:t>
            </w:r>
          </w:p>
        </w:tc>
        <w:tc>
          <w:tcPr>
            <w:tcW w:type="dxa" w:w="5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line="280"/>
            </w:pPr>
            <w:r>
              <w:rPr>
                <w:rFonts w:ascii="Arial" w:cs="Arial" w:eastAsia="Arial" w:hAnsi="Arial"/>
                <w:b w:val="false"/>
                <w:bCs w:val="false"/>
                <w:i w:val="false"/>
                <w:iCs w:val="false"/>
                <w:color w:val="111111"/>
                <w:sz w:val="19"/>
                <w:szCs w:val="19"/>
              </w:rPr>
              <w:t xml:space="preserve">Validate the sensor count limits before committing to V3 pricing.</w:t>
            </w:r>
          </w:p>
        </w:tc>
      </w:tr>
    </w:tbl>
    <w:p>
      <w:pPr>
        <w:spacing w:before="100" w:after="0"/>
      </w:pPr>
      <w:r>
        <w:rPr>
          <w:rFonts w:ascii="Arial" w:cs="Arial" w:eastAsia="Arial" w:hAnsi="Arial"/>
          <w:b w:val="false"/>
          <w:bCs w:val="false"/>
          <w:i w:val="false"/>
          <w:iCs w:val="false"/>
          <w:color w:val="111111"/>
          <w:sz w:val="22"/>
          <w:szCs w:val="22"/>
        </w:rPr>
        <w:t xml:space="preserve"/>
      </w:r>
    </w:p>
    <w:p>
      <w:pPr>
        <w:pBdr>
          <w:bottom w:val="single" w:color="C55A11" w:sz="12" w:space="1"/>
        </w:pBdr>
        <w:spacing w:before="160" w:after="160"/>
      </w:pPr>
      <w:r>
        <w:rPr>
          <w:rFonts w:ascii="Arial" w:cs="Arial" w:eastAsia="Arial" w:hAnsi="Arial"/>
          <w:b w:val="false"/>
          <w:bCs w:val="false"/>
          <w:i w:val="false"/>
          <w:iCs w:val="false"/>
          <w:color w:val="111111"/>
          <w:sz w:val="22"/>
          <w:szCs w:val="22"/>
        </w:rPr>
        <w:t xml:space="preserve"/>
      </w:r>
    </w:p>
    <w:p>
      <w:pPr>
        <w:spacing w:before="80" w:after="0"/>
      </w:pPr>
      <w:r>
        <w:rPr>
          <w:rFonts w:ascii="Arial" w:cs="Arial" w:eastAsia="Arial" w:hAnsi="Arial"/>
          <w:b w:val="false"/>
          <w:bCs w:val="false"/>
          <w:i w:val="false"/>
          <w:iCs w:val="false"/>
          <w:color w:val="111111"/>
          <w:sz w:val="22"/>
          <w:szCs w:val="22"/>
        </w:rPr>
        <w:t xml:space="preserve"/>
      </w:r>
    </w:p>
    <w:p>
      <w:pPr>
        <w:spacing w:before="0" w:after="60"/>
        <w:jc w:val="center"/>
      </w:pPr>
      <w:r>
        <w:rPr>
          <w:rFonts w:ascii="Arial" w:cs="Arial" w:eastAsia="Arial" w:hAnsi="Arial"/>
          <w:b/>
          <w:bCs/>
          <w:i w:val="false"/>
          <w:iCs w:val="false"/>
          <w:color w:val="1F3864"/>
          <w:sz w:val="26"/>
          <w:szCs w:val="26"/>
        </w:rPr>
        <w:t xml:space="preserve">The thesis is the proof.  The product is the application.  The startup is the impact.</w:t>
      </w:r>
    </w:p>
    <w:p>
      <w:pPr>
        <w:spacing w:before="40" w:after="0"/>
      </w:pPr>
      <w:r>
        <w:rPr>
          <w:rFonts w:ascii="Arial" w:cs="Arial" w:eastAsia="Arial" w:hAnsi="Arial"/>
          <w:b w:val="false"/>
          <w:bCs w:val="false"/>
          <w:i w:val="false"/>
          <w:iCs w:val="false"/>
          <w:color w:val="111111"/>
          <w:sz w:val="22"/>
          <w:szCs w:val="22"/>
        </w:rPr>
        <w:t xml:space="preserve"/>
      </w:r>
    </w:p>
    <w:p>
      <w:pPr>
        <w:spacing w:before="0" w:after="60"/>
        <w:jc w:val="center"/>
      </w:pPr>
      <w:r>
        <w:rPr>
          <w:rFonts w:ascii="Arial" w:cs="Arial" w:eastAsia="Arial" w:hAnsi="Arial"/>
          <w:b w:val="false"/>
          <w:bCs w:val="false"/>
          <w:i/>
          <w:iCs/>
          <w:color w:val="555555"/>
          <w:sz w:val="21"/>
          <w:szCs w:val="21"/>
        </w:rPr>
        <w:t xml:space="preserve">Architectural flexibility is not weakness.  It is the discipline that keeps options open.</w:t>
      </w:r>
    </w:p>
    <w:p>
      <w:pPr>
        <w:spacing w:before="0" w:after="60"/>
        <w:jc w:val="center"/>
      </w:pPr>
      <w:r>
        <w:rPr>
          <w:rFonts w:ascii="Arial" w:cs="Arial" w:eastAsia="Arial" w:hAnsi="Arial"/>
          <w:b w:val="false"/>
          <w:bCs w:val="false"/>
          <w:i/>
          <w:iCs/>
          <w:color w:val="555555"/>
          <w:sz w:val="21"/>
          <w:szCs w:val="21"/>
        </w:rPr>
        <w:t xml:space="preserve">Unit economics are not boring.  They are the constraint that makes everything else real.</w:t>
      </w:r>
    </w:p>
    <w:p>
      <w:pPr>
        <w:spacing w:before="0" w:after="60"/>
        <w:jc w:val="center"/>
      </w:pPr>
      <w:r>
        <w:rPr>
          <w:rFonts w:ascii="Arial" w:cs="Arial" w:eastAsia="Arial" w:hAnsi="Arial"/>
          <w:b w:val="false"/>
          <w:bCs w:val="false"/>
          <w:i/>
          <w:iCs/>
          <w:color w:val="555555"/>
          <w:sz w:val="21"/>
          <w:szCs w:val="21"/>
        </w:rPr>
        <w:t xml:space="preserve">Plan on the realistic scenario.  Survive on the conservative.  Celebrate the optimistic.</w:t>
      </w:r>
    </w:p>
    <w:p>
      <w:pPr>
        <w:spacing w:before="60" w:after="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1E7E" w:sz="10"/>
              <w:left w:val="single" w:color="6C1E7E" w:sz="4"/>
              <w:bottom w:val="single" w:color="6C1E7E" w:sz="4"/>
              <w:right w:val="single" w:color="6C1E7E" w:sz="4"/>
            </w:tcBorders>
            <w:shd w:fill="F4ECF7" w:val="clear"/>
            <w:tcMar>
              <w:top w:type="dxa" w:w="180"/>
              <w:left w:type="dxa" w:w="280"/>
              <w:bottom w:type="dxa" w:w="180"/>
              <w:right w:type="dxa" w:w="280"/>
            </w:tcMar>
          </w:tcPr>
          <w:p>
            <w:pPr>
              <w:spacing w:before="0" w:after="60"/>
              <w:jc w:val="center"/>
            </w:pPr>
            <w:r>
              <w:rPr>
                <w:rFonts w:ascii="Arial" w:cs="Arial" w:eastAsia="Arial" w:hAnsi="Arial"/>
                <w:b/>
                <w:bCs/>
                <w:i w:val="false"/>
                <w:iCs w:val="false"/>
                <w:color w:val="6C1E7E"/>
                <w:sz w:val="28"/>
                <w:szCs w:val="28"/>
              </w:rPr>
              <w:t xml:space="preserve">Every factory deserves anomaly detection that never sleeps.</w:t>
            </w:r>
          </w:p>
          <w:p>
            <w:pPr>
              <w:spacing w:before="0" w:after="0"/>
              <w:jc w:val="center"/>
            </w:pPr>
            <w:r>
              <w:rPr>
                <w:rFonts w:ascii="Arial" w:cs="Arial" w:eastAsia="Arial" w:hAnsi="Arial"/>
                <w:b w:val="false"/>
                <w:bCs w:val="false"/>
                <w:i/>
                <w:iCs/>
                <w:color w:val="555555"/>
                <w:sz w:val="20"/>
                <w:szCs w:val="20"/>
              </w:rPr>
              <w:t xml:space="preserve">AdaptiveOrchestrator  ·  Ajith Kumara  ·  Founded 2026  ·  University of Moratuwa</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b w:val="false"/>
        <w:bCs w:val="false"/>
        <w:i w:val="false"/>
        <w:iCs w:val="false"/>
        <w:color w:val="888888"/>
        <w:sz w:val="16"/>
        <w:szCs w:val="16"/>
      </w:rPr>
      <w:t xml:space="preserve">Ajith Kumara  |  Founder &amp; CTO  |  University of Moratuwa M.Sc. AI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360"/>
      </w:tabs>
      <w:spacing w:after="80"/>
    </w:pPr>
    <w:r>
      <w:rPr>
        <w:rFonts w:ascii="Arial" w:cs="Arial" w:eastAsia="Arial" w:hAnsi="Arial"/>
        <w:b/>
        <w:bCs/>
        <w:i w:val="false"/>
        <w:iCs w:val="false"/>
        <w:color w:val="2E5FA3"/>
        <w:sz w:val="18"/>
        <w:szCs w:val="18"/>
      </w:rPr>
      <w:t xml:space="preserve">AdaptiveOrchestrator — Product Roadmap V1 · V2 · V3  (Revised)</w:t>
    </w:r>
    <w:r>
      <w:rPr>
        <w:rFonts w:ascii="Arial" w:cs="Arial" w:eastAsia="Arial" w:hAnsi="Arial"/>
        <w:b w:val="false"/>
        <w:bCs w:val="false"/>
        <w:i w:val="false"/>
        <w:iCs w:val="false"/>
        <w:color w:val="111111"/>
        <w:sz w:val="22"/>
        <w:szCs w:val="22"/>
      </w:rPr>
      <w:t xml:space="preserve">	</w:t>
    </w:r>
    <w:r>
      <w:rPr>
        <w:rFonts w:ascii="Arial" w:cs="Arial" w:eastAsia="Arial" w:hAnsi="Arial"/>
        <w:b w:val="false"/>
        <w:bCs w:val="false"/>
        <w:i w:val="false"/>
        <w:iCs w:val="false"/>
        <w:color w:val="999999"/>
        <w:sz w:val="16"/>
        <w:szCs w:val="16"/>
      </w:rPr>
      <w:t xml:space="preserve">v2.0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2E5FA3"/>
      <w:sz w:val="27"/>
      <w:szCs w:val="27"/>
    </w:rPr>
  </w:style>
  <w:style w:type="paragraph" w:styleId="Heading3">
    <w:name w:val="Heading 3"/>
    <w:basedOn w:val="Normal"/>
    <w:next w:val="Normal"/>
    <w:qFormat/>
    <w:pPr>
      <w:spacing w:before="220" w:after="80"/>
      <w:outlineLvl w:val="2"/>
    </w:pPr>
    <w:rPr>
      <w:rFonts w:ascii="Arial" w:cs="Arial" w:eastAsia="Arial" w:hAnsi="Arial"/>
      <w:b/>
      <w:bCs/>
      <w:color w:val="1A7A6E"/>
      <w:sz w:val="23"/>
      <w:szCs w:val="23"/>
    </w:rPr>
  </w:style>
  <w:style w:type="paragraph" w:styleId="Heading4">
    <w:name w:val="Heading 4"/>
    <w:basedOn w:val="Normal"/>
    <w:next w:val="Normal"/>
    <w:qFormat/>
    <w:pPr>
      <w:spacing w:before="160" w:after="60"/>
      <w:outlineLvl w:val="3"/>
    </w:pPr>
    <w:rPr>
      <w:rFonts w:ascii="Arial" w:cs="Arial" w:eastAsia="Arial" w:hAnsi="Arial"/>
      <w:b/>
      <w:bCs/>
      <w:color w:val="C55A1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2026-02-26T17:50:53.937Z</dcterms:created>
  <dcterms:modified xsi:type="dcterms:W3CDTF">2026-02-26T17:50:53.941Z</dcterms:modified>
</cp:coreProperties>
</file>

<file path=docProps/custom.xml><?xml version="1.0" encoding="utf-8"?>
<Properties xmlns="http://schemas.openxmlformats.org/officeDocument/2006/custom-properties" xmlns:vt="http://schemas.openxmlformats.org/officeDocument/2006/docPropsVTypes"/>
</file>