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Good question — and an important one to think through before you go any further. Here is my honest assessment as a senior technical architect reviewing this project end to end.</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pgb3s9s6jch" w:id="0"/>
      <w:bookmarkEnd w:id="0"/>
      <w:r w:rsidDel="00000000" w:rsidR="00000000" w:rsidRPr="00000000">
        <w:rPr>
          <w:b w:val="1"/>
          <w:bCs w:val="1"/>
          <w:sz w:val="34"/>
          <w:szCs w:val="34"/>
          <w:rtl w:val="0"/>
        </w:rPr>
        <w:t xml:space="preserve">Risk Register: All Feasibility Concerns Ranked 1–10</w:t>
      </w:r>
    </w:p>
    <w:p w:rsidR="00000000" w:rsidDel="00000000" w:rsidP="00000000" w:rsidRDefault="00000000" w:rsidRPr="00000000" w14:paraId="00000004">
      <w:pPr>
        <w:spacing w:after="240" w:before="240" w:lineRule="auto"/>
        <w:rPr>
          <w:i w:val="1"/>
          <w:iCs w:val="1"/>
        </w:rPr>
      </w:pPr>
      <w:r w:rsidDel="00000000" w:rsidR="00000000" w:rsidRPr="00000000">
        <w:rPr>
          <w:i w:val="1"/>
          <w:iCs w:val="1"/>
          <w:rtl w:val="0"/>
        </w:rPr>
        <w:t xml:space="preserve">(1 = most critical, 10 = least worrying)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ercqoe6bws5f" w:id="1"/>
      <w:bookmarkEnd w:id="1"/>
      <w:r w:rsidDel="00000000" w:rsidR="00000000" w:rsidRPr="00000000">
        <w:rPr>
          <w:b w:val="1"/>
          <w:bCs w:val="1"/>
          <w:color w:val="000000"/>
          <w:sz w:val="26"/>
          <w:szCs w:val="26"/>
          <w:rtl w:val="0"/>
        </w:rPr>
        <w:t xml:space="preserve">Risk 1 — CRITICAL</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The Jetson Nano may not have enough compute to run the orchestrator, inference engine, NATS buffer, and monitoring simultaneously</w:t>
      </w:r>
    </w:p>
    <w:p w:rsidR="00000000" w:rsidDel="00000000" w:rsidP="00000000" w:rsidRDefault="00000000" w:rsidRPr="00000000" w14:paraId="00000008">
      <w:pPr>
        <w:spacing w:after="240" w:before="240" w:lineRule="auto"/>
        <w:rPr/>
      </w:pPr>
      <w:r w:rsidDel="00000000" w:rsidR="00000000" w:rsidRPr="00000000">
        <w:rPr>
          <w:rtl w:val="0"/>
        </w:rPr>
        <w:t xml:space="preserve">This is your single biggest unaddressed risk. The Jetson Nano has 4GB RAM and a 128-core Maxwell GPU. Running Isolation Forest inference, a Python-based context monitor sampling every 100ms, NATS JetStream, Docker containers, and a network monitor simultaneously under load may push the device to the very resource limits your orchestrator is designed to respond to — creating a circular problem where the monitoring system itself causes the overload it is trying to detect.</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Why it is rank 1:</w:t>
      </w:r>
      <w:r w:rsidDel="00000000" w:rsidR="00000000" w:rsidRPr="00000000">
        <w:rPr>
          <w:rtl w:val="0"/>
        </w:rPr>
        <w:t xml:space="preserve"> If the Jetson cannot handle the combined workload, the entire architecture collapses. You cannot discover this in Week 16. You need to discover it in Week 1.</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Before writing a single line of orchestration code, run a baseline resource profiling experiment. Boot the Jetson Nano, run all components simultaneously, and measure baseline CPU and RAM under idle sensor replay. If you are already above 60% CPU at idle, you have a problem that needs solving before anything else.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4y03ruyzbbw" w:id="2"/>
      <w:bookmarkEnd w:id="2"/>
      <w:r w:rsidDel="00000000" w:rsidR="00000000" w:rsidRPr="00000000">
        <w:rPr>
          <w:b w:val="1"/>
          <w:bCs w:val="1"/>
          <w:color w:val="000000"/>
          <w:sz w:val="26"/>
          <w:szCs w:val="26"/>
          <w:rtl w:val="0"/>
        </w:rPr>
        <w:t xml:space="preserve">Risk 2 — CRITICAL</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The 99% autonomy target during WAN outages is not achievable if model drift occurs during long outages</w:t>
      </w:r>
    </w:p>
    <w:p w:rsidR="00000000" w:rsidDel="00000000" w:rsidP="00000000" w:rsidRDefault="00000000" w:rsidRPr="00000000" w14:paraId="0000000E">
      <w:pPr>
        <w:spacing w:after="240" w:before="240" w:lineRule="auto"/>
        <w:rPr/>
      </w:pPr>
      <w:r w:rsidDel="00000000" w:rsidR="00000000" w:rsidRPr="00000000">
        <w:rPr>
          <w:rtl w:val="0"/>
        </w:rPr>
        <w:t xml:space="preserve">Your Isolation Forest model is trained on historical data and deployed to the edge. During a 30-minute outage that is fine. But in a real deployment, if the outage lasts hours or days, the edge model will encounter data patterns it was not trained on — a concept called model drift — and its accuracy will degrade silently. Your evaluation only tests 30-minute outages. Your 99% autonomy claim is therefore only valid for short outages, but you are presenting it as a general property of the system.</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Why it is rank 2:</w:t>
      </w:r>
      <w:r w:rsidDel="00000000" w:rsidR="00000000" w:rsidRPr="00000000">
        <w:rPr>
          <w:rtl w:val="0"/>
        </w:rPr>
        <w:t xml:space="preserve"> Your supervisor or thesis examiner will ask: "What happens after a 6-hour outage?" If you have no answer, the 99% claim is academically vulnerable.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Either scope the claim precisely — "99% autonomy for outages up to 60 minutes" — or add a drift detection component that alerts when the edge model confidence distribution shifts significantly, signalling that retraining is needed. The second option strengthens the thesis considerably.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b79kdrtu804i" w:id="3"/>
      <w:bookmarkEnd w:id="3"/>
      <w:r w:rsidDel="00000000" w:rsidR="00000000" w:rsidRPr="00000000">
        <w:rPr>
          <w:b w:val="1"/>
          <w:bCs w:val="1"/>
          <w:color w:val="000000"/>
          <w:sz w:val="26"/>
          <w:szCs w:val="26"/>
          <w:rtl w:val="0"/>
        </w:rPr>
        <w:t xml:space="preserve">Risk 3 — HIGH</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AWS costs could spiral during evaluation if not carefully controlled</w:t>
      </w:r>
    </w:p>
    <w:p w:rsidR="00000000" w:rsidDel="00000000" w:rsidP="00000000" w:rsidRDefault="00000000" w:rsidRPr="00000000" w14:paraId="00000014">
      <w:pPr>
        <w:spacing w:after="240" w:before="240" w:lineRule="auto"/>
        <w:rPr/>
      </w:pPr>
      <w:r w:rsidDel="00000000" w:rsidR="00000000" w:rsidRPr="00000000">
        <w:rPr>
          <w:rtl w:val="0"/>
        </w:rPr>
        <w:t xml:space="preserve">Your architecture includes AWS MSK (Kafka), Apache Spark on EMR, Delta Lake on S3, and MLflow. Running these continuously during a 24-week project — especially Spark on EMR, which is billed per cluster-hour — can accumulate hundreds of dollars in charges very quickly. MSK alone at minimum configuration costs approximately $0.21 per hour, which is $150 per month before data transfer charges.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Why it is rank 3:</w:t>
      </w:r>
      <w:r w:rsidDel="00000000" w:rsidR="00000000" w:rsidRPr="00000000">
        <w:rPr>
          <w:rtl w:val="0"/>
        </w:rPr>
        <w:t xml:space="preserve"> Running out of cloud budget mid-evaluation would force an unplanned architectural change at the worst possible time.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For development and most of the evaluation, replace AWS MSK with a local Kafka instance running in Docker on a VM or laptop. Only use actual AWS services for the final evaluation runs. Use AWS Free Tier where possible and set a billing alert at $50 so you are never surprised.</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r27j1wn74m62" w:id="4"/>
      <w:bookmarkEnd w:id="4"/>
      <w:r w:rsidDel="00000000" w:rsidR="00000000" w:rsidRPr="00000000">
        <w:rPr>
          <w:b w:val="1"/>
          <w:bCs w:val="1"/>
          <w:color w:val="000000"/>
          <w:sz w:val="26"/>
          <w:szCs w:val="26"/>
          <w:rtl w:val="0"/>
        </w:rPr>
        <w:t xml:space="preserve">Risk 4 — HIGH</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The SHAP explainability step in Hybrid Mode may introduce too much latency to be practically useful</w:t>
      </w:r>
    </w:p>
    <w:p w:rsidR="00000000" w:rsidDel="00000000" w:rsidP="00000000" w:rsidRDefault="00000000" w:rsidRPr="00000000" w14:paraId="0000001A">
      <w:pPr>
        <w:spacing w:after="240" w:before="240" w:lineRule="auto"/>
        <w:rPr/>
      </w:pPr>
      <w:r w:rsidDel="00000000" w:rsidR="00000000" w:rsidRPr="00000000">
        <w:rPr>
          <w:rtl w:val="0"/>
        </w:rPr>
        <w:t xml:space="preserve">Your Hybrid Mode design sends anomalous events to the cloud for SHAP analysis — generating feature importance explanations for why an anomaly was flagged. SHAP on a trained ensemble model can take 200ms to several seconds depending on model complexity and dataset size. If your cloud round-trip is already 80ms under normal conditions, adding SHAP computation could push Hybrid Mode response time above one second — which undermines the claim of real-time anomaly detection.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Why it is rank 4:</w:t>
      </w:r>
      <w:r w:rsidDel="00000000" w:rsidR="00000000" w:rsidRPr="00000000">
        <w:rPr>
          <w:rtl w:val="0"/>
        </w:rPr>
        <w:t xml:space="preserve"> If Hybrid Mode is too slow to be useful, it effectively does not exist as a practical mode, reducing your system to two modes rather than three.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Pre-compute SHAP background samples during model training to reduce runtime SHAP computation. Use TreeExplainer rather than KernelExplainer — it is orders of magnitude faster for tree-based models. Benchmark SHAP latency early and set a hard limit on acceptable response time.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p9as3yqc9jkv" w:id="5"/>
      <w:bookmarkEnd w:id="5"/>
      <w:r w:rsidDel="00000000" w:rsidR="00000000" w:rsidRPr="00000000">
        <w:rPr>
          <w:b w:val="1"/>
          <w:bCs w:val="1"/>
          <w:color w:val="000000"/>
          <w:sz w:val="26"/>
          <w:szCs w:val="26"/>
          <w:rtl w:val="0"/>
        </w:rPr>
        <w:t xml:space="preserve">Risk 5 — HIGH</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The policy thresholds (500ms, 80% CPU) may need per-deployment calibration, which your evaluation does not address</w:t>
      </w:r>
    </w:p>
    <w:p w:rsidR="00000000" w:rsidDel="00000000" w:rsidP="00000000" w:rsidRDefault="00000000" w:rsidRPr="00000000" w14:paraId="00000020">
      <w:pPr>
        <w:spacing w:after="240" w:before="240" w:lineRule="auto"/>
        <w:rPr/>
      </w:pPr>
      <w:r w:rsidDel="00000000" w:rsidR="00000000" w:rsidRPr="00000000">
        <w:rPr>
          <w:rtl w:val="0"/>
        </w:rPr>
        <w:t xml:space="preserve">Your orchestrator uses fixed thresholds: switch to Edge-Only when latency exceeds 500ms, shed load when CPU exceeds 80%. These values work in your test environment. But different industrial environments have different baseline latencies, different sensor sampling rates, and different hardware generations. A factory with a baseline latency of 400ms would be permanently stuck in Edge-Only mode with your current thresholds.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Why it is rank 5:</w:t>
      </w:r>
      <w:r w:rsidDel="00000000" w:rsidR="00000000" w:rsidRPr="00000000">
        <w:rPr>
          <w:rtl w:val="0"/>
        </w:rPr>
        <w:t xml:space="preserve"> If you present fixed thresholds as a general solution, an examiner will correctly point out that they are environment-specific and therefore the system is not truly adaptive — it is pre-configured for one environment.</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Add a short calibration phase to your architecture — a 5-minute baseline measurement when the system starts up that sets thresholds dynamically as percentiles above the observed baseline. This turns fixed thresholds into adaptive ones and significantly strengthens your contribution.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053rb4xtifv" w:id="6"/>
      <w:bookmarkEnd w:id="6"/>
      <w:r w:rsidDel="00000000" w:rsidR="00000000" w:rsidRPr="00000000">
        <w:rPr>
          <w:b w:val="1"/>
          <w:bCs w:val="1"/>
          <w:color w:val="000000"/>
          <w:sz w:val="26"/>
          <w:szCs w:val="26"/>
          <w:rtl w:val="0"/>
        </w:rPr>
        <w:t xml:space="preserve">Risk 6 — MEDIUM</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CWRU and SKAB datasets may not adequately represent multi-sensor IIoT complexity</w:t>
      </w:r>
    </w:p>
    <w:p w:rsidR="00000000" w:rsidDel="00000000" w:rsidP="00000000" w:rsidRDefault="00000000" w:rsidRPr="00000000" w14:paraId="00000026">
      <w:pPr>
        <w:spacing w:after="240" w:before="240" w:lineRule="auto"/>
        <w:rPr/>
      </w:pPr>
      <w:r w:rsidDel="00000000" w:rsidR="00000000" w:rsidRPr="00000000">
        <w:rPr>
          <w:rtl w:val="0"/>
        </w:rPr>
        <w:t xml:space="preserve">CWRU is a single-sensor vibration dataset from one motor. SKAB is a small-scale water system with four sensor channels. Your architecture diagram shows multiple sensors of multiple types feeding into gateways. The mismatch between what your architecture promises and what your evaluation actually tests could be flagged during thesis examination.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Why it is rank 6:</w:t>
      </w:r>
      <w:r w:rsidDel="00000000" w:rsidR="00000000" w:rsidRPr="00000000">
        <w:rPr>
          <w:rtl w:val="0"/>
        </w:rPr>
        <w:t xml:space="preserve"> It does not break the project, but it weakens the generalisability claim.</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Augment SKAB with synthetic multi-channel data generated by varying the replay across multiple virtual sensor identifiers. You can simulate a 10-sensor environment by replaying SKAB with different random seeds and noise profiles per channel. Also be precise in your thesis — say "evaluated on CWRU and SKAB as representative industrial time-series datasets" rather than claiming comprehensive multi-sensor coverage.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k89l8dz042m2" w:id="7"/>
      <w:bookmarkEnd w:id="7"/>
      <w:r w:rsidDel="00000000" w:rsidR="00000000" w:rsidRPr="00000000">
        <w:rPr>
          <w:b w:val="1"/>
          <w:bCs w:val="1"/>
          <w:color w:val="000000"/>
          <w:sz w:val="26"/>
          <w:szCs w:val="26"/>
          <w:rtl w:val="0"/>
        </w:rPr>
        <w:t xml:space="preserve">Risk 7 — MEDIUM</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NATS JetStream buffer size limits could be exceeded during long outages, causing data loss</w:t>
      </w:r>
    </w:p>
    <w:p w:rsidR="00000000" w:rsidDel="00000000" w:rsidP="00000000" w:rsidRDefault="00000000" w:rsidRPr="00000000" w14:paraId="0000002C">
      <w:pPr>
        <w:spacing w:after="240" w:before="240" w:lineRule="auto"/>
        <w:rPr/>
      </w:pPr>
      <w:r w:rsidDel="00000000" w:rsidR="00000000" w:rsidRPr="00000000">
        <w:rPr>
          <w:rtl w:val="0"/>
        </w:rPr>
        <w:t xml:space="preserve">You have set a 500-event buffer limit. At 100Hz sensor sampling, 500 events represents only 5 seconds of data. During a 30-minute outage at that rate, you would need 180,000 events in the buffer. This means either your sampling rate must be much lower, your buffer must be much larger, or you need a data prioritisation policy that drops low-severity events during extended outages.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Why it is rank 7:</w:t>
      </w:r>
      <w:r w:rsidDel="00000000" w:rsidR="00000000" w:rsidRPr="00000000">
        <w:rPr>
          <w:rtl w:val="0"/>
        </w:rPr>
        <w:t xml:space="preserve"> This is solvable but if not addressed it means your system silently loses data during any outage longer than a few seconds at realistic industrial sampling rates.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Define your sampling rate explicitly and size the buffer accordingly. Add a buffer pressure metric to your monitoring — when the buffer reaches 70% capacity, begin dropping NORMAL classification events and keeping only ANOMALY events. This is a sensible and defensible engineering decision that also adds to your contribution.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cm93w58qll9" w:id="8"/>
      <w:bookmarkEnd w:id="8"/>
      <w:r w:rsidDel="00000000" w:rsidR="00000000" w:rsidRPr="00000000">
        <w:rPr>
          <w:b w:val="1"/>
          <w:bCs w:val="1"/>
          <w:color w:val="000000"/>
          <w:sz w:val="26"/>
          <w:szCs w:val="26"/>
          <w:rtl w:val="0"/>
        </w:rPr>
        <w:t xml:space="preserve">Risk 8 — MEDIUM</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Docker on Jetson Nano introduces overhead that is not present in bare-metal deployments, affecting latency measurements</w:t>
      </w:r>
    </w:p>
    <w:p w:rsidR="00000000" w:rsidDel="00000000" w:rsidP="00000000" w:rsidRDefault="00000000" w:rsidRPr="00000000" w14:paraId="00000032">
      <w:pPr>
        <w:spacing w:after="240" w:before="240" w:lineRule="auto"/>
        <w:rPr/>
      </w:pPr>
      <w:r w:rsidDel="00000000" w:rsidR="00000000" w:rsidRPr="00000000">
        <w:rPr>
          <w:rtl w:val="0"/>
        </w:rPr>
        <w:t xml:space="preserve">You are containerising your components with Docker. On the Jetson Nano, Docker on ARM introduces networking overhead (bridge networking adds ~1ms per container hop) and startup latency that would not exist in a production bare-metal deployment. Your latency measurements inside Docker will be slightly higher than what the same code would achieve deployed natively.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Why it is rank 8:</w:t>
      </w:r>
      <w:r w:rsidDel="00000000" w:rsidR="00000000" w:rsidRPr="00000000">
        <w:rPr>
          <w:rtl w:val="0"/>
        </w:rPr>
        <w:t xml:space="preserve"> It does not invalidate your results but it needs to be disclosed and discussed in your methodology section.</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Run your latency benchmarks both with and without Docker networking overhead and report both numbers. Use host networking mode (</w:t>
      </w:r>
      <w:r w:rsidDel="00000000" w:rsidR="00000000" w:rsidRPr="00000000">
        <w:rPr>
          <w:rFonts w:ascii="Roboto Mono" w:cs="Roboto Mono" w:eastAsia="Roboto Mono" w:hAnsi="Roboto Mono"/>
          <w:color w:val="188038"/>
          <w:rtl w:val="0"/>
        </w:rPr>
        <w:t xml:space="preserve">--network host</w:t>
      </w:r>
      <w:r w:rsidDel="00000000" w:rsidR="00000000" w:rsidRPr="00000000">
        <w:rPr>
          <w:rtl w:val="0"/>
        </w:rPr>
        <w:t xml:space="preserve">) in Docker where possible to eliminate the bridge overhead.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v297deqnol5" w:id="9"/>
      <w:bookmarkEnd w:id="9"/>
      <w:r w:rsidDel="00000000" w:rsidR="00000000" w:rsidRPr="00000000">
        <w:rPr>
          <w:b w:val="1"/>
          <w:bCs w:val="1"/>
          <w:color w:val="000000"/>
          <w:sz w:val="26"/>
          <w:szCs w:val="26"/>
          <w:rtl w:val="0"/>
        </w:rPr>
        <w:t xml:space="preserve">Risk 9 — LOW</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tc netem simulation may not perfectly replicate industrial network behaviour</w:t>
      </w:r>
    </w:p>
    <w:p w:rsidR="00000000" w:rsidDel="00000000" w:rsidP="00000000" w:rsidRDefault="00000000" w:rsidRPr="00000000" w14:paraId="00000038">
      <w:pPr>
        <w:spacing w:after="240" w:before="240" w:lineRule="auto"/>
        <w:rPr/>
      </w:pPr>
      <w:r w:rsidDel="00000000" w:rsidR="00000000" w:rsidRPr="00000000">
        <w:rPr>
          <w:rtl w:val="0"/>
        </w:rPr>
        <w:t xml:space="preserve">tc netem uses statistical distributions to simulate latency and packet loss. Real satellite and WAN connections have correlated bursts — periods where many packets are lost together — rather than independent random losses. tc netem's default loss model is independent and may underestimate burstiness.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Why it is rank 9:</w:t>
      </w:r>
      <w:r w:rsidDel="00000000" w:rsidR="00000000" w:rsidRPr="00000000">
        <w:rPr>
          <w:rtl w:val="0"/>
        </w:rPr>
        <w:t xml:space="preserve"> This is a known limitation of network emulation in general and does not invalidate your results — it is a standard limitation that reviewers accept as long as you acknowledge it.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Use tc netem's built-in Markov state model (</w:t>
      </w:r>
      <w:r w:rsidDel="00000000" w:rsidR="00000000" w:rsidRPr="00000000">
        <w:rPr>
          <w:rFonts w:ascii="Roboto Mono" w:cs="Roboto Mono" w:eastAsia="Roboto Mono" w:hAnsi="Roboto Mono"/>
          <w:color w:val="188038"/>
          <w:rtl w:val="0"/>
        </w:rPr>
        <w:t xml:space="preserve">loss state</w:t>
      </w:r>
      <w:r w:rsidDel="00000000" w:rsidR="00000000" w:rsidRPr="00000000">
        <w:rPr>
          <w:rtl w:val="0"/>
        </w:rPr>
        <w:t xml:space="preserve">) for burst-aware packet loss simulation, which is more realistic than independent random loss. Acknowledge the limitation in your methodology chapter.</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j49aijyclu2n" w:id="10"/>
      <w:bookmarkEnd w:id="10"/>
      <w:r w:rsidDel="00000000" w:rsidR="00000000" w:rsidRPr="00000000">
        <w:rPr>
          <w:b w:val="1"/>
          <w:bCs w:val="1"/>
          <w:color w:val="000000"/>
          <w:sz w:val="26"/>
          <w:szCs w:val="26"/>
          <w:rtl w:val="0"/>
        </w:rPr>
        <w:t xml:space="preserve">Risk 10 — LOW</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The MLOps retraining loop may be architecturally described but practically out of scope for the M.Sc. timeline</w:t>
      </w:r>
    </w:p>
    <w:p w:rsidR="00000000" w:rsidDel="00000000" w:rsidP="00000000" w:rsidRDefault="00000000" w:rsidRPr="00000000" w14:paraId="0000003E">
      <w:pPr>
        <w:spacing w:after="240" w:before="240" w:lineRule="auto"/>
        <w:rPr/>
      </w:pPr>
      <w:r w:rsidDel="00000000" w:rsidR="00000000" w:rsidRPr="00000000">
        <w:rPr>
          <w:rtl w:val="0"/>
        </w:rPr>
        <w:t xml:space="preserve">Your architecture includes a Layer 4 MLOps loop with drift monitoring and retraining pipelines. Building a fully automated retraining pipeline that detects drift, retrains a model, validates it, and deploys it back to the edge is a significant engineering effort on its own — potentially a full research project. If you build it properly, it competes with your thesis timeline. If you build it superficially, an examiner will notice.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Why it is rank 10:</w:t>
      </w:r>
      <w:r w:rsidDel="00000000" w:rsidR="00000000" w:rsidRPr="00000000">
        <w:rPr>
          <w:rtl w:val="0"/>
        </w:rPr>
        <w:t xml:space="preserve"> It is the lowest priority risk because it does not affect your core contribution — the orchestration layer — and can be scoped appropriately.</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Mitigation:</w:t>
      </w:r>
      <w:r w:rsidDel="00000000" w:rsidR="00000000" w:rsidRPr="00000000">
        <w:rPr>
          <w:rtl w:val="0"/>
        </w:rPr>
        <w:t xml:space="preserve"> Scope it honestly. Implement manual retraining triggered by a script rather than automated drift detection. State clearly in your thesis: "The MLOps loop is implemented as a manually-triggered retraining pipeline; automated drift detection is identified as future work." This is academically respectable and saves you four to six weeks of engineering time.</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ey6600t3u10e" w:id="11"/>
      <w:bookmarkEnd w:id="11"/>
      <w:r w:rsidDel="00000000" w:rsidR="00000000" w:rsidRPr="00000000">
        <w:rPr>
          <w:b w:val="1"/>
          <w:bCs w:val="1"/>
          <w:sz w:val="34"/>
          <w:szCs w:val="34"/>
          <w:rtl w:val="0"/>
        </w:rPr>
        <w:t xml:space="preserve">Summary Table</w:t>
      </w:r>
    </w:p>
    <w:tbl>
      <w:tblPr>
        <w:tblStyle w:val="Table1"/>
        <w:tblW w:w="9015.0" w:type="dxa"/>
        <w:jc w:val="left"/>
        <w:tblBorders>
          <w:top w:color="fce5cd" w:space="0" w:sz="8" w:val="single"/>
          <w:left w:color="fce5cd" w:space="0" w:sz="8" w:val="single"/>
          <w:bottom w:color="fce5cd" w:space="0" w:sz="8" w:val="single"/>
          <w:right w:color="fce5cd" w:space="0" w:sz="8" w:val="single"/>
          <w:insideH w:color="fce5cd" w:space="0" w:sz="8" w:val="single"/>
          <w:insideV w:color="fce5cd" w:space="0" w:sz="8" w:val="single"/>
        </w:tblBorders>
        <w:tblLayout w:type="fixed"/>
        <w:tblLook w:val="0600"/>
      </w:tblPr>
      <w:tblGrid>
        <w:gridCol w:w="735"/>
        <w:gridCol w:w="4710"/>
        <w:gridCol w:w="1200"/>
        <w:gridCol w:w="2370"/>
        <w:tblGridChange w:id="0">
          <w:tblGrid>
            <w:gridCol w:w="735"/>
            <w:gridCol w:w="4710"/>
            <w:gridCol w:w="1200"/>
            <w:gridCol w:w="2370"/>
          </w:tblGrid>
        </w:tblGridChange>
      </w:tblGrid>
      <w:tr>
        <w:trPr>
          <w:cantSplit w:val="0"/>
          <w:trHeight w:val="50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3">
            <w:pPr>
              <w:ind w:right="-41.92913385826756"/>
              <w:jc w:val="center"/>
              <w:rPr/>
            </w:pPr>
            <w:r w:rsidDel="00000000" w:rsidR="00000000" w:rsidRPr="00000000">
              <w:rPr>
                <w:b w:val="1"/>
                <w:bCs w:val="1"/>
                <w:rtl w:val="0"/>
              </w:rPr>
              <w:t xml:space="preserve">Rank</w:t>
            </w:r>
            <w:r w:rsidDel="00000000" w:rsidR="00000000" w:rsidRPr="00000000">
              <w:rPr>
                <w:rtl w:val="0"/>
              </w:rPr>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Risk</w:t>
            </w:r>
            <w:r w:rsidDel="00000000" w:rsidR="00000000" w:rsidRPr="00000000">
              <w:rPr>
                <w:rtl w:val="0"/>
              </w:rPr>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Severity</w:t>
            </w:r>
            <w:r w:rsidDel="00000000" w:rsidR="00000000" w:rsidRPr="00000000">
              <w:rPr>
                <w:rtl w:val="0"/>
              </w:rPr>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Can it kill the project?</w:t>
            </w:r>
            <w:r w:rsidDel="00000000" w:rsidR="00000000" w:rsidRPr="00000000">
              <w:rPr>
                <w:rtl w:val="0"/>
              </w:rPr>
            </w:r>
          </w:p>
        </w:tc>
      </w:tr>
      <w:tr>
        <w:trPr>
          <w:cantSplit w:val="0"/>
          <w:trHeight w:val="50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1</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Jetson Nano compute overload</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Critical</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Yes</w:t>
            </w:r>
          </w:p>
        </w:tc>
      </w:tr>
      <w:tr>
        <w:trPr>
          <w:cantSplit w:val="0"/>
          <w:trHeight w:val="77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2</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Model drift during long outages invalidates 99% claim</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Critical</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Partially</w:t>
            </w:r>
          </w:p>
        </w:tc>
      </w:tr>
      <w:tr>
        <w:trPr>
          <w:cantSplit w:val="0"/>
          <w:trHeight w:val="50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3</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AWS costs spiral during evaluation</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High</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Yes if unchecked</w:t>
            </w:r>
          </w:p>
        </w:tc>
      </w:tr>
      <w:tr>
        <w:trPr>
          <w:cantSplit w:val="0"/>
          <w:trHeight w:val="50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4</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SHAP latency makes Hybrid Mode too slow</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High</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Weakens contribution</w:t>
            </w:r>
          </w:p>
        </w:tc>
      </w:tr>
      <w:tr>
        <w:trPr>
          <w:cantSplit w:val="0"/>
          <w:trHeight w:val="50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5</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Fixed thresholds are environment-specific</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High</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Weakens novelty claim</w:t>
            </w:r>
          </w:p>
        </w:tc>
      </w:tr>
      <w:tr>
        <w:trPr>
          <w:cantSplit w:val="0"/>
          <w:trHeight w:val="77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6</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Datasets underrepresent multi-sensor complexity</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Medium</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No — weakens scope claim</w:t>
            </w:r>
          </w:p>
        </w:tc>
      </w:tr>
      <w:tr>
        <w:trPr>
          <w:cantSplit w:val="0"/>
          <w:trHeight w:val="50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7</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NATS buffer overflow during long outages</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Medium</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Causes silent data loss</w:t>
            </w:r>
          </w:p>
        </w:tc>
      </w:tr>
      <w:tr>
        <w:trPr>
          <w:cantSplit w:val="0"/>
          <w:trHeight w:val="77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8</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Docker networking overhead distorts latency results</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Medium</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No — needs disclosure</w:t>
            </w:r>
          </w:p>
        </w:tc>
      </w:tr>
      <w:tr>
        <w:trPr>
          <w:cantSplit w:val="0"/>
          <w:trHeight w:val="50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9</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tc netem underestimates burst packet loss</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Low</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No — known limitation</w:t>
            </w:r>
          </w:p>
        </w:tc>
      </w:tr>
      <w:tr>
        <w:trPr>
          <w:cantSplit w:val="0"/>
          <w:trHeight w:val="500" w:hRule="atLeast"/>
          <w:tblHeader w:val="0"/>
        </w:trPr>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10</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MLOps loop is out of scope for M.Sc. timeline</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Low</w:t>
            </w:r>
          </w:p>
        </w:tc>
        <w:tc>
          <w:tcPr>
            <w:tcBorders>
              <w:top w:color="fce5cd" w:space="0" w:sz="8" w:val="single"/>
              <w:left w:color="fce5cd" w:space="0" w:sz="8" w:val="single"/>
              <w:bottom w:color="fce5cd" w:space="0" w:sz="8" w:val="single"/>
              <w:right w:color="fce5cd"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No — scope it honestly</w:t>
            </w:r>
          </w:p>
        </w:tc>
      </w:tr>
    </w:tbl>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zch7bno5fp52" w:id="12"/>
      <w:bookmarkEnd w:id="12"/>
      <w:r w:rsidDel="00000000" w:rsidR="00000000" w:rsidRPr="00000000">
        <w:rPr>
          <w:b w:val="1"/>
          <w:bCs w:val="1"/>
          <w:sz w:val="34"/>
          <w:szCs w:val="34"/>
          <w:rtl w:val="0"/>
        </w:rPr>
        <w:t xml:space="preserve">My Recommendation as a Senior Architect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Act on Risks 1, 3, and 5 this week</w:t>
      </w:r>
      <w:r w:rsidDel="00000000" w:rsidR="00000000" w:rsidRPr="00000000">
        <w:rPr>
          <w:rtl w:val="0"/>
        </w:rPr>
        <w:t xml:space="preserve">, before any other development work:</w:t>
      </w:r>
    </w:p>
    <w:p w:rsidR="00000000" w:rsidDel="00000000" w:rsidP="00000000" w:rsidRDefault="00000000" w:rsidRPr="00000000" w14:paraId="00000072">
      <w:pPr>
        <w:spacing w:after="240" w:before="240" w:lineRule="auto"/>
        <w:rPr/>
      </w:pPr>
      <w:r w:rsidDel="00000000" w:rsidR="00000000" w:rsidRPr="00000000">
        <w:rPr>
          <w:rtl w:val="0"/>
        </w:rPr>
        <w:t xml:space="preserve">Risk 1 — buy the Jetson Nano and run a resource profiling test immediately. Everything else depends on knowing the device can handle the workload.</w:t>
      </w:r>
    </w:p>
    <w:p w:rsidR="00000000" w:rsidDel="00000000" w:rsidP="00000000" w:rsidRDefault="00000000" w:rsidRPr="00000000" w14:paraId="00000073">
      <w:pPr>
        <w:spacing w:after="240" w:before="240" w:lineRule="auto"/>
        <w:rPr/>
      </w:pPr>
      <w:r w:rsidDel="00000000" w:rsidR="00000000" w:rsidRPr="00000000">
        <w:rPr>
          <w:rtl w:val="0"/>
        </w:rPr>
        <w:t xml:space="preserve">Risk 3 — replace AWS MSK with local Kafka in Docker for all development. Do not touch paid AWS services until Week 17.</w:t>
      </w:r>
    </w:p>
    <w:p w:rsidR="00000000" w:rsidDel="00000000" w:rsidP="00000000" w:rsidRDefault="00000000" w:rsidRPr="00000000" w14:paraId="00000074">
      <w:pPr>
        <w:spacing w:after="240" w:before="240" w:lineRule="auto"/>
        <w:rPr/>
      </w:pPr>
      <w:r w:rsidDel="00000000" w:rsidR="00000000" w:rsidRPr="00000000">
        <w:rPr>
          <w:rtl w:val="0"/>
        </w:rPr>
        <w:t xml:space="preserve">Risk 5 — redesign your threshold mechanism to include a calibration phase. It takes one day to implement and turns a weakness into an additional contribution.</w:t>
      </w:r>
    </w:p>
    <w:p w:rsidR="00000000" w:rsidDel="00000000" w:rsidP="00000000" w:rsidRDefault="00000000" w:rsidRPr="00000000" w14:paraId="00000075">
      <w:pPr>
        <w:spacing w:after="240" w:before="240" w:lineRule="auto"/>
        <w:rPr/>
      </w:pPr>
      <w:r w:rsidDel="00000000" w:rsidR="00000000" w:rsidRPr="00000000">
        <w:rPr>
          <w:rtl w:val="0"/>
        </w:rPr>
        <w:t xml:space="preserve">Risks 2 and 4 should be addressed in your thesis methodology with explicit scoping statements. They do not require code changes — they require intellectual honesty about what you are claiming.</w:t>
      </w:r>
    </w:p>
    <w:p w:rsidR="00000000" w:rsidDel="00000000" w:rsidP="00000000" w:rsidRDefault="00000000" w:rsidRPr="00000000" w14:paraId="00000076">
      <w:pPr>
        <w:spacing w:after="240" w:before="240" w:lineRule="auto"/>
        <w:rPr/>
      </w:pPr>
      <w:r w:rsidDel="00000000" w:rsidR="00000000" w:rsidRPr="00000000">
        <w:rPr>
          <w:rtl w:val="0"/>
        </w:rPr>
        <w:t xml:space="preserve">Risks 6 through 10 are standard research limitations that belong in your discussion chapter, not on your critical path.</w:t>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