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700" w:before="0" w:line="264"/>
        <w:jc w:val="center"/>
      </w:pPr>
      <w:r>
        <w:rPr>
          <w:rFonts w:ascii="Calibri" w:cs="Calibri" w:eastAsia="Calibri" w:hAnsi="Calibri"/>
          <w:b w:val="false"/>
          <w:bCs w:val="false"/>
          <w:i/>
          <w:iCs/>
          <w:color w:val="AAAAAA"/>
          <w:sz w:val="19"/>
          <w:szCs w:val="19"/>
        </w:rPr>
        <w:t xml:space="preserve">[ M&amp;T Bank logo ]</w:t>
      </w:r>
    </w:p>
    <w:p>
      <w:pPr>
        <w:spacing w:after="100"/>
        <w:jc w:val="center"/>
      </w:pPr>
      <w:r>
        <w:rPr>
          <w:rFonts w:ascii="Calibri Light" w:cs="Calibri Light" w:eastAsia="Calibri Light" w:hAnsi="Calibri Light"/>
          <w:b/>
          <w:bCs/>
          <w:color w:val="1F3864"/>
          <w:sz w:val="40"/>
          <w:szCs w:val="40"/>
        </w:rPr>
        <w:t xml:space="preserve">CL7 (Collate ETL) → RST / RLC</w:t>
      </w:r>
    </w:p>
    <w:p>
      <w:pPr>
        <w:spacing w:after="160"/>
        <w:jc w:val="center"/>
      </w:pPr>
      <w:r>
        <w:rPr>
          <w:rFonts w:ascii="Calibri Light" w:cs="Calibri Light" w:eastAsia="Calibri Light" w:hAnsi="Calibri Light"/>
          <w:color w:val="444444"/>
          <w:sz w:val="32"/>
          <w:szCs w:val="32"/>
        </w:rPr>
        <w:t xml:space="preserve">Flat File Specification Document</w:t>
      </w:r>
    </w:p>
    <w:p>
      <w:pPr>
        <w:spacing w:after="0"/>
        <w:jc w:val="center"/>
      </w:pPr>
      <w:r>
        <w:rPr>
          <w:rFonts w:ascii="Calibri" w:cs="Calibri" w:eastAsia="Calibri" w:hAnsi="Calibri"/>
          <w:b w:val="false"/>
          <w:bCs w:val="false"/>
          <w:i w:val="false"/>
          <w:iCs w:val="false"/>
          <w:color w:val="6A7688"/>
          <w:sz w:val="28"/>
          <w:szCs w:val="28"/>
        </w:rPr>
        <w:t xml:space="preserve">Real Estate Collateral-to-Loan Linkage — AFS Populations</w:t>
      </w:r>
    </w:p>
    <w:p>
      <w:r>
        <w:br w:type="page"/>
      </w:r>
    </w:p>
    <w:p>
      <w:pPr>
        <w:spacing w:after="24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800"/>
        <w:gridCol w:w="6560"/>
      </w:tblGrid>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Source Application</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(Collate ETL)</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Target Application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RST</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Interface Type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Flat file, fixed-width</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Record Length</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397 characters</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Frequency</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Daily, business days</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Document Version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Document Date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22 September 2026</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Prepared By</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tech team</w:t>
            </w:r>
          </w:p>
        </w:tc>
      </w:tr>
    </w:tbl>
    <w:p>
      <w:pPr>
        <w:spacing w:after="400"/>
      </w:pPr>
    </w:p>
    <w:p>
      <w:pPr>
        <w:spacing w:after="140" w:before="0" w:line="264"/>
      </w:pPr>
      <w:r>
        <w:rPr>
          <w:rFonts w:ascii="Calibri" w:cs="Calibri" w:eastAsia="Calibri" w:hAnsi="Calibri"/>
          <w:b w:val="false"/>
          <w:bCs w:val="false"/>
          <w:i w:val="false"/>
          <w:iCs w:val="false"/>
          <w:color w:val="222222"/>
          <w:sz w:val="21"/>
          <w:szCs w:val="21"/>
        </w:rPr>
        <w:t xml:space="preserve">This document defines the interface contract between CL7 and RST/RLC. Sections 4 through 8 are the technical contract: the selection logic, file characteristics, record layout and field mapping that both applications will build against.</w:t>
      </w:r>
    </w:p>
    <w:p>
      <w:r>
        <w:br w:type="page"/>
      </w:r>
    </w:p>
    <w:p>
      <w:pPr>
        <w:pStyle w:val="Heading1"/>
      </w:pPr>
      <w:r>
        <w:rPr>
          <w:rFonts w:ascii="Calibri" w:cs="Calibri" w:eastAsia="Calibri" w:hAnsi="Calibri"/>
          <w:b w:val="false"/>
          <w:bCs w:val="false"/>
          <w:i w:val="false"/>
          <w:iCs w:val="false"/>
          <w:color w:val="222222"/>
          <w:sz w:val="21"/>
          <w:szCs w:val="21"/>
        </w:rPr>
        <w:t xml:space="preserve">1.  Purpose and Scope</w:t>
      </w:r>
    </w:p>
    <w:p>
      <w:pPr>
        <w:spacing w:after="140" w:before="0" w:line="264"/>
      </w:pPr>
      <w:r>
        <w:rPr>
          <w:rFonts w:ascii="Calibri" w:cs="Calibri" w:eastAsia="Calibri" w:hAnsi="Calibri"/>
          <w:b w:val="false"/>
          <w:bCs w:val="false"/>
          <w:i w:val="false"/>
          <w:iCs w:val="false"/>
          <w:color w:val="222222"/>
          <w:sz w:val="21"/>
          <w:szCs w:val="21"/>
        </w:rPr>
        <w:t xml:space="preserve">This document defines the flat file interface by which CL7 (Collate ETL) delivers real estate collateral-to-loan linkage data to the RST/RLC application. Collate is the system of record for loan-to-collateral relationships. CL7 sources, transforms and delivers that linkage data to RST/RLC for AFS populations only, on a daily cadence.</w:t>
      </w:r>
    </w:p>
    <w:p>
      <w:pPr>
        <w:pStyle w:val="Heading2"/>
      </w:pPr>
      <w:r>
        <w:rPr>
          <w:rFonts w:ascii="Calibri" w:cs="Calibri" w:eastAsia="Calibri" w:hAnsi="Calibri"/>
          <w:b w:val="false"/>
          <w:bCs w:val="false"/>
          <w:i w:val="false"/>
          <w:iCs w:val="false"/>
          <w:color w:val="222222"/>
          <w:sz w:val="21"/>
          <w:szCs w:val="21"/>
        </w:rPr>
        <w:t xml:space="preserve">1.1  In Scope</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The layout and field definitions of the outbound linkage file (12 fields).</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Record selection and exclusion criteria applied by CL7 before file generation.</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File characteristics, naming and delivery.</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Field-level traceability from Collate Data Views to each file field.</w:t>
      </w:r>
    </w:p>
    <w:p>
      <w:pPr>
        <w:pStyle w:val="Heading2"/>
      </w:pPr>
      <w:r>
        <w:rPr>
          <w:rFonts w:ascii="Calibri" w:cs="Calibri" w:eastAsia="Calibri" w:hAnsi="Calibri"/>
          <w:b w:val="false"/>
          <w:bCs w:val="false"/>
          <w:i w:val="false"/>
          <w:iCs w:val="false"/>
          <w:color w:val="222222"/>
          <w:sz w:val="21"/>
          <w:szCs w:val="21"/>
        </w:rPr>
        <w:t xml:space="preserve">1.2  Out of Scope</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Implementation of the CL7 ETL logic and file generation routines.</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RST/RLC internal ingestion design and downstream reporting.</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Non-AFS populations and non-real-estate collateral types.</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Any return or acknowledgement file from RST/RLC to CL7.</w:t>
      </w:r>
    </w:p>
    <w:p>
      <w:pPr>
        <w:pStyle w:val="Heading2"/>
      </w:pPr>
      <w:r>
        <w:rPr>
          <w:rFonts w:ascii="Calibri" w:cs="Calibri" w:eastAsia="Calibri" w:hAnsi="Calibri"/>
          <w:b w:val="false"/>
          <w:bCs w:val="false"/>
          <w:i w:val="false"/>
          <w:iCs w:val="false"/>
          <w:color w:val="222222"/>
          <w:sz w:val="21"/>
          <w:szCs w:val="21"/>
        </w:rPr>
        <w:t xml:space="preserve">1.3  Glossary</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000"/>
        <w:gridCol w:w="7360"/>
      </w:tblGrid>
      <w:tr>
        <w:trPr>
          <w:cantSplit/>
          <w:tblHeader/>
        </w:trPr>
        <w:tc>
          <w:tcPr>
            <w:tcW w:type="dxa" w:w="20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Term</w:t>
            </w:r>
          </w:p>
        </w:tc>
        <w:tc>
          <w:tcPr>
            <w:tcW w:type="dxa" w:w="73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Definition</w:t>
            </w:r>
          </w:p>
        </w:tc>
      </w:tr>
      <w:tr>
        <w:trPr>
          <w:cantSplit/>
        </w:trPr>
        <w:tc>
          <w:tcPr>
            <w:tcW w:type="dxa" w:w="20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Collate</w:t>
            </w:r>
          </w:p>
        </w:tc>
        <w:tc>
          <w:tcPr>
            <w:tcW w:type="dxa" w:w="7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System of record for loan-to-collateral relationships.</w:t>
            </w:r>
          </w:p>
        </w:tc>
      </w:tr>
      <w:tr>
        <w:trPr>
          <w:cantSplit/>
        </w:trPr>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CL7</w:t>
            </w:r>
          </w:p>
        </w:tc>
        <w:tc>
          <w:tcPr>
            <w:tcW w:type="dxa" w:w="7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Collate ETL — the integration platform sourcing and delivering Collate data.</w:t>
            </w:r>
          </w:p>
        </w:tc>
      </w:tr>
      <w:tr>
        <w:trPr>
          <w:cantSplit/>
        </w:trPr>
        <w:tc>
          <w:tcPr>
            <w:tcW w:type="dxa" w:w="20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RST / RLC</w:t>
            </w:r>
          </w:p>
        </w:tc>
        <w:tc>
          <w:tcPr>
            <w:tcW w:type="dxa" w:w="7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consuming application receiving this file. App Code: RST.</w:t>
            </w:r>
          </w:p>
        </w:tc>
      </w:tr>
      <w:tr>
        <w:trPr>
          <w:cantSplit/>
        </w:trPr>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AFS</w:t>
            </w:r>
          </w:p>
        </w:tc>
        <w:tc>
          <w:tcPr>
            <w:tcW w:type="dxa" w:w="7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Source loan platform whose population is in scope for this interface.</w:t>
            </w:r>
          </w:p>
        </w:tc>
      </w:tr>
      <w:tr>
        <w:trPr>
          <w:cantSplit/>
        </w:trPr>
        <w:tc>
          <w:tcPr>
            <w:tcW w:type="dxa" w:w="20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LED</w:t>
            </w:r>
          </w:p>
        </w:tc>
        <w:tc>
          <w:tcPr>
            <w:tcW w:type="dxa" w:w="7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Lien-related filing record within Collate.</w:t>
            </w:r>
          </w:p>
        </w:tc>
      </w:tr>
      <w:tr>
        <w:trPr>
          <w:cantSplit/>
        </w:trPr>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ABOC</w:t>
            </w:r>
          </w:p>
        </w:tc>
        <w:tc>
          <w:tcPr>
            <w:tcW w:type="dxa" w:w="7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Abundance of Caution — collateral taken as additional protection, excluded from this file.</w:t>
            </w:r>
          </w:p>
        </w:tc>
      </w:tr>
      <w:tr>
        <w:trPr>
          <w:cantSplit/>
        </w:trPr>
        <w:tc>
          <w:tcPr>
            <w:tcW w:type="dxa" w:w="20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As-of date</w:t>
            </w:r>
          </w:p>
        </w:tc>
        <w:tc>
          <w:tcPr>
            <w:tcW w:type="dxa" w:w="7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business date for which the file contents are valid.</w:t>
            </w:r>
          </w:p>
        </w:tc>
      </w:tr>
    </w:tbl>
    <w:p>
      <w:r>
        <w:br w:type="page"/>
      </w:r>
    </w:p>
    <w:p>
      <w:pPr>
        <w:pStyle w:val="Heading1"/>
      </w:pPr>
      <w:r>
        <w:rPr>
          <w:rFonts w:ascii="Calibri" w:cs="Calibri" w:eastAsia="Calibri" w:hAnsi="Calibri"/>
          <w:b w:val="false"/>
          <w:bCs w:val="false"/>
          <w:i w:val="false"/>
          <w:iCs w:val="false"/>
          <w:color w:val="222222"/>
          <w:sz w:val="21"/>
          <w:szCs w:val="21"/>
        </w:rPr>
        <w:t xml:space="preserve">2.  Integration Overview</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800"/>
        <w:gridCol w:w="6560"/>
      </w:tblGrid>
      <w:tr>
        <w:trPr>
          <w:cantSplit/>
          <w:tblHeader/>
        </w:trPr>
        <w:tc>
          <w:tcPr>
            <w:tcW w:type="dxa" w:w="28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Attribute</w:t>
            </w:r>
          </w:p>
        </w:tc>
        <w:tc>
          <w:tcPr>
            <w:tcW w:type="dxa" w:w="65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Value</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Interface name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Collateral-to-Loan Linkage Extract</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Direction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Outbound — CL7 to RST/RLC</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Source system</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Collate, via CL7 (Collate ETL)</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Target system</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RST</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Interface type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Flat file</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Physical format</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Fixed-width, positional. No header record.</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Record length</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397 characters, excluding the record terminator</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Frequency</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Daily, business days</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Target delivery time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Approximately 08:00 ET, following completion of upstream CL7 processing</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Extract pattern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Full extract — each file contains the complete qualifying population as of the as-of date</w:t>
            </w:r>
          </w:p>
        </w:tc>
      </w:tr>
    </w:tbl>
    <w:p>
      <w:pPr>
        <w:spacing w:after="280"/>
      </w:pPr>
    </w:p>
    <w:p>
      <w:pPr>
        <w:pStyle w:val="Heading1"/>
      </w:pPr>
      <w:r>
        <w:rPr>
          <w:rFonts w:ascii="Calibri" w:cs="Calibri" w:eastAsia="Calibri" w:hAnsi="Calibri"/>
          <w:b w:val="false"/>
          <w:bCs w:val="false"/>
          <w:i w:val="false"/>
          <w:iCs w:val="false"/>
          <w:color w:val="222222"/>
          <w:sz w:val="21"/>
          <w:szCs w:val="21"/>
        </w:rPr>
        <w:t xml:space="preserve">3.  Source Data</w:t>
      </w:r>
    </w:p>
    <w:p>
      <w:pPr>
        <w:spacing w:after="140" w:before="0" w:line="264"/>
      </w:pPr>
      <w:r>
        <w:rPr>
          <w:rFonts w:ascii="Calibri" w:cs="Calibri" w:eastAsia="Calibri" w:hAnsi="Calibri"/>
          <w:b w:val="false"/>
          <w:bCs w:val="false"/>
          <w:i w:val="false"/>
          <w:iCs w:val="false"/>
          <w:color w:val="222222"/>
          <w:sz w:val="21"/>
          <w:szCs w:val="21"/>
        </w:rPr>
        <w:t xml:space="preserve">The file is sourced from the following Collate Data Views: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3000"/>
        <w:gridCol w:w="6360"/>
      </w:tblGrid>
      <w:tr>
        <w:trPr>
          <w:cantSplit/>
          <w:tblHeader/>
        </w:trPr>
        <w:tc>
          <w:tcPr>
            <w:tcW w:type="dxa" w:w="30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Collate Data View</w:t>
            </w:r>
          </w:p>
        </w:tc>
        <w:tc>
          <w:tcPr>
            <w:tcW w:type="dxa" w:w="63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Role in this interface</w:t>
            </w:r>
          </w:p>
        </w:tc>
      </w:tr>
      <w:tr>
        <w:trPr>
          <w:cantSplit/>
        </w:trPr>
        <w:tc>
          <w:tcPr>
            <w:tcW w:type="dxa" w:w="30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REAL_ESTATE_ASSET</w:t>
            </w:r>
          </w:p>
        </w:tc>
        <w:tc>
          <w:tcPr>
            <w:tcW w:type="dxa" w:w="6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Real estate collateral attributes — property type and occupancy.</w:t>
            </w:r>
          </w:p>
        </w:tc>
      </w:tr>
      <w:tr>
        <w:trPr>
          <w:cantSplit/>
        </w:trPr>
        <w:tc>
          <w:tcPr>
            <w:tcW w:type="dxa" w:w="30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ASSET</w:t>
            </w:r>
          </w:p>
        </w:tc>
        <w:tc>
          <w:tcPr>
            <w:tcW w:type="dxa" w:w="6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Asset-level external references — nCino collateral ID and Collate Asset ID.</w:t>
            </w:r>
          </w:p>
        </w:tc>
      </w:tr>
      <w:tr>
        <w:trPr>
          <w:cantSplit/>
        </w:trPr>
        <w:tc>
          <w:tcPr>
            <w:tcW w:type="dxa" w:w="30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LED_ENTITY</w:t>
            </w:r>
          </w:p>
        </w:tc>
        <w:tc>
          <w:tcPr>
            <w:tcW w:type="dxa" w:w="6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Association between LED records and legal entities.</w:t>
            </w:r>
          </w:p>
        </w:tc>
      </w:tr>
      <w:tr>
        <w:trPr>
          <w:cantSplit/>
        </w:trPr>
        <w:tc>
          <w:tcPr>
            <w:tcW w:type="dxa" w:w="30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LED_EXPOSURE</w:t>
            </w:r>
          </w:p>
        </w:tc>
        <w:tc>
          <w:tcPr>
            <w:tcW w:type="dxa" w:w="6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Association between LED records and exposures; carries the ABOC indicator.</w:t>
            </w:r>
          </w:p>
        </w:tc>
      </w:tr>
      <w:tr>
        <w:trPr>
          <w:cantSplit/>
        </w:trPr>
        <w:tc>
          <w:tcPr>
            <w:tcW w:type="dxa" w:w="30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REG_FILING</w:t>
            </w:r>
          </w:p>
        </w:tc>
        <w:tc>
          <w:tcPr>
            <w:tcW w:type="dxa" w:w="6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Registration and lien filing data, including LED status and perfection.</w:t>
            </w:r>
          </w:p>
        </w:tc>
      </w:tr>
      <w:tr>
        <w:trPr>
          <w:cantSplit/>
        </w:trPr>
        <w:tc>
          <w:tcPr>
            <w:tcW w:type="dxa" w:w="30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EXPOSURE</w:t>
            </w:r>
          </w:p>
        </w:tc>
        <w:tc>
          <w:tcPr>
            <w:tcW w:type="dxa" w:w="6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Loan and exposure level data, including external reference identifiers.</w:t>
            </w:r>
          </w:p>
        </w:tc>
      </w:tr>
    </w:tbl>
    <w:p>
      <w:pPr>
        <w:spacing w:after="180"/>
      </w:pPr>
    </w:p>
    <w:p>
      <w:pPr>
        <w:pStyle w:val="Heading2"/>
      </w:pPr>
      <w:r>
        <w:rPr>
          <w:rFonts w:ascii="Calibri" w:cs="Calibri" w:eastAsia="Calibri" w:hAnsi="Calibri"/>
          <w:b w:val="false"/>
          <w:bCs w:val="false"/>
          <w:i w:val="false"/>
          <w:iCs w:val="false"/>
          <w:color w:val="222222"/>
          <w:sz w:val="21"/>
          <w:szCs w:val="21"/>
        </w:rPr>
        <w:t xml:space="preserve">3.1  Record Grain</w:t>
      </w:r>
    </w:p>
    <w:p>
      <w:pPr>
        <w:spacing w:after="140" w:before="0" w:line="264"/>
      </w:pPr>
      <w:r>
        <w:rPr>
          <w:rFonts w:ascii="Calibri" w:cs="Calibri" w:eastAsia="Calibri" w:hAnsi="Calibri"/>
          <w:b w:val="false"/>
          <w:bCs w:val="false"/>
          <w:i w:val="false"/>
          <w:iCs w:val="false"/>
          <w:color w:val="222222"/>
          <w:sz w:val="21"/>
          <w:szCs w:val="21"/>
        </w:rPr>
        <w:t xml:space="preserve">One record represents one loan-to-collateral relationship, uniquely identified by Loan ID and Collate Asset ID together. A loan secured by several properties produces one record per property, and a property securing several loans produces one record per loan. Repeating values in either column are therefore expected and are not a data error.</w:t>
      </w:r>
    </w:p>
    <w:p>
      <w:r>
        <w:br w:type="page"/>
      </w:r>
    </w:p>
    <w:p>
      <w:pPr>
        <w:pStyle w:val="Heading1"/>
      </w:pPr>
      <w:r>
        <w:rPr>
          <w:rFonts w:ascii="Calibri" w:cs="Calibri" w:eastAsia="Calibri" w:hAnsi="Calibri"/>
          <w:b w:val="false"/>
          <w:bCs w:val="false"/>
          <w:i w:val="false"/>
          <w:iCs w:val="false"/>
          <w:color w:val="222222"/>
          <w:sz w:val="21"/>
          <w:szCs w:val="21"/>
        </w:rPr>
        <w:t xml:space="preserve">4.  Selection and Exclusion Logic</w:t>
      </w:r>
    </w:p>
    <w:p>
      <w:pPr>
        <w:spacing w:after="140" w:before="0" w:line="264"/>
      </w:pPr>
      <w:r>
        <w:rPr>
          <w:rFonts w:ascii="Calibri" w:cs="Calibri" w:eastAsia="Calibri" w:hAnsi="Calibri"/>
          <w:b w:val="false"/>
          <w:bCs w:val="false"/>
          <w:i w:val="false"/>
          <w:iCs w:val="false"/>
          <w:color w:val="222222"/>
          <w:sz w:val="21"/>
          <w:szCs w:val="21"/>
        </w:rPr>
        <w:t xml:space="preserve">CL7 applies all of the criteria below. A record is included in the file only where every criterion is satisfied.</w:t>
      </w:r>
    </w:p>
    <w:p>
      <w:pPr>
        <w:spacing w:after="9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700"/>
        <w:gridCol w:w="4700"/>
        <w:gridCol w:w="3960"/>
      </w:tblGrid>
      <w:tr>
        <w:trPr>
          <w:cantSplit/>
          <w:tblHeader/>
        </w:trPr>
        <w:tc>
          <w:tcPr>
            <w:tcW w:type="dxa" w:w="7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ID</w:t>
            </w:r>
          </w:p>
        </w:tc>
        <w:tc>
          <w:tcPr>
            <w:tcW w:type="dxa" w:w="47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Logic</w:t>
            </w:r>
          </w:p>
        </w:tc>
        <w:tc>
          <w:tcPr>
            <w:tcW w:type="dxa" w:w="39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Business Intent</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S1</w:t>
            </w:r>
          </w:p>
        </w:tc>
        <w:tc>
          <w:tcPr>
            <w:tcW w:type="dxa" w:w="47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EXTERNAL_REFERENCE.EXTERNAL_ID = AFS</w:t>
            </w:r>
          </w:p>
        </w:tc>
        <w:tc>
          <w:tcPr>
            <w:tcW w:type="dxa" w:w="39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Include AFS population only.</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S2</w:t>
            </w:r>
          </w:p>
        </w:tc>
        <w:tc>
          <w:tcPr>
            <w:tcW w:type="dxa" w:w="47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REAL_ESTATE_ASSET.REAL_ESTATE_DETAILS_DROPDOWN1 = 2</w:t>
            </w:r>
          </w:p>
        </w:tc>
        <w:tc>
          <w:tcPr>
            <w:tcW w:type="dxa" w:w="39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Occupancy code = investment.</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S3</w:t>
            </w:r>
          </w:p>
        </w:tc>
        <w:tc>
          <w:tcPr>
            <w:tcW w:type="dxa" w:w="47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LED_EXPOSURE.ABUNDANCE_OF_CAUTION_YN = 0</w:t>
            </w:r>
          </w:p>
        </w:tc>
        <w:tc>
          <w:tcPr>
            <w:tcW w:type="dxa" w:w="39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Exclude Abundance of Caution (ABOC) properties.</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S4</w:t>
            </w:r>
          </w:p>
        </w:tc>
        <w:tc>
          <w:tcPr>
            <w:tcW w:type="dxa" w:w="47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REAL_ESTATE_ASSET.REAL_ESTATE_PROPERTY_TYPE_CODE IN (AL2–AL12)</w:t>
            </w:r>
          </w:p>
        </w:tc>
        <w:tc>
          <w:tcPr>
            <w:tcW w:type="dxa" w:w="39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Perfected real estate collateral only.</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S5</w:t>
            </w:r>
          </w:p>
        </w:tc>
        <w:tc>
          <w:tcPr>
            <w:tcW w:type="dxa" w:w="47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REG_FILING.REGISTRATION_DATA &gt; regFilingCustomDropdown2</w:t>
            </w:r>
          </w:p>
        </w:tc>
        <w:tc>
          <w:tcPr>
            <w:tcW w:type="dxa" w:w="39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Perfected LEDs only.</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A1</w:t>
            </w:r>
          </w:p>
        </w:tc>
        <w:tc>
          <w:tcPr>
            <w:tcW w:type="dxa" w:w="47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Balance criteria</w:t>
            </w:r>
          </w:p>
        </w:tc>
        <w:tc>
          <w:tcPr>
            <w:tcW w:type="dxa" w:w="39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Exclude paid-off loans.</w:t>
            </w:r>
          </w:p>
        </w:tc>
      </w:tr>
    </w:tbl>
    <w:p>
      <w:pPr>
        <w:spacing w:after="280"/>
      </w:pPr>
    </w:p>
    <w:p>
      <w:pPr>
        <w:pStyle w:val="Heading1"/>
      </w:pPr>
      <w:r>
        <w:rPr>
          <w:rFonts w:ascii="Calibri" w:cs="Calibri" w:eastAsia="Calibri" w:hAnsi="Calibri"/>
          <w:b w:val="false"/>
          <w:bCs w:val="false"/>
          <w:i w:val="false"/>
          <w:iCs w:val="false"/>
          <w:color w:val="222222"/>
          <w:sz w:val="21"/>
          <w:szCs w:val="21"/>
        </w:rPr>
        <w:t xml:space="preserve">5.  File Characteristics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800"/>
        <w:gridCol w:w="6560"/>
      </w:tblGrid>
      <w:tr>
        <w:trPr>
          <w:cantSplit/>
          <w:tblHeader/>
        </w:trPr>
        <w:tc>
          <w:tcPr>
            <w:tcW w:type="dxa" w:w="28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Attribute</w:t>
            </w:r>
          </w:p>
        </w:tc>
        <w:tc>
          <w:tcPr>
            <w:tcW w:type="dxa" w:w="65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Value</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Physical format</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Fixed-width (positional)</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Field delimiter</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None. Fields are identified by character position only.</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Record length</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397 characters on every record, excluding the terminator</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Record terminator</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CRLF (0x0D 0x0A)</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Character encoding</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UTF-8, without byte order mark</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Header record</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None. The record layout in Section 7 defines the field positions.</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Field count per record</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Justification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All fields left-justified</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Padding</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Space (0x20) to the right, to the declared field length</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Empty value representation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field is filled with spaces for its full declared length</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Leading / trailing spaces in data</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Source values are trimmed before the field is padded</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Embedded line breaks</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Prohibited. Replaced with a single space by CL7.</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File extension</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.txt</w:t>
            </w:r>
          </w:p>
        </w:tc>
      </w:tr>
    </w:tbl>
    <w:p>
      <w:pPr>
        <w:spacing w:after="180"/>
      </w:pPr>
    </w:p>
    <w:tbl>
      <w:tblPr>
        <w:tblW w:type="dxa" w:w="9360"/>
        <w:tblBorders>
          <w:top w:val="single" w:color="9FC0E0" w:sz="4"/>
          <w:left w:val="single" w:color="2E74B5" w:sz="18"/>
          <w:bottom w:val="single" w:color="9FC0E0" w:sz="4"/>
          <w:right w:val="single" w:color="9FC0E0" w:sz="4"/>
          <w:insideH w:val="none"/>
          <w:insideV w:val="none"/>
        </w:tblBorders>
      </w:tblPr>
      <w:tblGrid>
        <w:gridCol w:w="9360"/>
      </w:tblGrid>
      <w:tr>
        <w:tc>
          <w:tcPr>
            <w:tcW w:type="dxa" w:w="9360"/>
            <w:shd w:fill="EDF3FA" w:color="auto" w:val="clear"/>
            <w:tcMar>
              <w:top w:type="dxa" w:w="70"/>
              <w:left w:type="dxa" w:w="100"/>
              <w:bottom w:type="dxa" w:w="70"/>
              <w:right w:type="dxa" w:w="100"/>
            </w:tcMar>
            <w:vAlign w:val="center"/>
          </w:tcPr>
          <w:p>
            <w:pPr>
              <w:spacing w:after="0" w:line="264"/>
            </w:pPr>
            <w:r>
              <w:rPr>
                <w:rFonts w:ascii="Calibri" w:cs="Calibri" w:eastAsia="Calibri" w:hAnsi="Calibri"/>
                <w:b w:val="false"/>
                <w:bCs w:val="false"/>
                <w:i w:val="false"/>
                <w:iCs w:val="false"/>
                <w:color w:val="222222"/>
                <w:sz w:val="19"/>
                <w:szCs w:val="19"/>
              </w:rPr>
              <w:t xml:space="preserve">There is no delimiter and no space separating one field from the next. Each field is padded to its declared length, so the following field always begins at the same character position on every record. Field 1 occupies positions 1–45; field 2 begins at position 46 on every record regardless of the length of the value in field 1.</w:t>
            </w:r>
          </w:p>
        </w:tc>
      </w:tr>
    </w:tbl>
    <w:p>
      <w:pPr>
        <w:pStyle w:val="Heading2"/>
      </w:pPr>
      <w:r>
        <w:rPr>
          <w:rFonts w:ascii="Calibri" w:cs="Calibri" w:eastAsia="Calibri" w:hAnsi="Calibri"/>
          <w:b w:val="false"/>
          <w:bCs w:val="false"/>
          <w:i w:val="false"/>
          <w:iCs w:val="false"/>
          <w:color w:val="222222"/>
          <w:sz w:val="21"/>
          <w:szCs w:val="21"/>
        </w:rPr>
        <w:t xml:space="preserve">5.1  File Naming Convention</w:t>
      </w:r>
    </w:p>
    <w:p>
      <w:pPr>
        <w:spacing w:after="140" w:before="0" w:line="264"/>
      </w:pPr>
      <w:r>
        <w:rPr>
          <w:rFonts w:ascii="Calibri" w:cs="Calibri" w:eastAsia="Calibri" w:hAnsi="Calibri"/>
          <w:b w:val="false"/>
          <w:bCs w:val="false"/>
          <w:i w:val="false"/>
          <w:iCs w:val="false"/>
          <w:color w:val="222222"/>
          <w:sz w:val="21"/>
          <w:szCs w:val="21"/>
        </w:rPr>
        <w:t xml:space="preserve">The file name carries the as-of date and the time of generation:</w:t>
      </w:r>
    </w:p>
    <w:p>
      <w:pPr>
        <w:spacing w:after="160"/>
        <w:ind w:left="220"/>
      </w:pPr>
      <w:r>
        <w:rPr>
          <w:rFonts w:ascii="Consolas" w:cs="Consolas" w:eastAsia="Consolas" w:hAnsi="Consolas"/>
          <w:b/>
          <w:bCs/>
          <w:color w:val="222222"/>
          <w:sz w:val="21"/>
          <w:szCs w:val="21"/>
        </w:rPr>
        <w:t xml:space="preserve">CL7_RST_COLL_LOAN_LINKAGE_&lt;YYYYMMDD&gt;_&lt;HHMMSS&gt;.txt</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200"/>
        <w:gridCol w:w="7160"/>
      </w:tblGrid>
      <w:tr>
        <w:trPr>
          <w:cantSplit/>
          <w:tblHeader/>
        </w:trPr>
        <w:tc>
          <w:tcPr>
            <w:tcW w:type="dxa" w:w="22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Token</w:t>
            </w:r>
          </w:p>
        </w:tc>
        <w:tc>
          <w:tcPr>
            <w:tcW w:type="dxa" w:w="71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Definition</w:t>
            </w:r>
          </w:p>
        </w:tc>
      </w:tr>
      <w:tr>
        <w:trPr>
          <w:cantSplit/>
        </w:trPr>
        <w:tc>
          <w:tcPr>
            <w:tcW w:type="dxa" w:w="22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YYYYMMDD</w:t>
            </w:r>
          </w:p>
        </w:tc>
        <w:tc>
          <w:tcPr>
            <w:tcW w:type="dxa" w:w="71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As-of business date of the data, not the date the file was physically written.</w:t>
            </w:r>
          </w:p>
        </w:tc>
      </w:tr>
      <w:tr>
        <w:trPr>
          <w:cantSplit/>
        </w:trPr>
        <w:tc>
          <w:tcPr>
            <w:tcW w:type="dxa" w:w="22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HHMMSS</w:t>
            </w:r>
          </w:p>
        </w:tc>
        <w:tc>
          <w:tcPr>
            <w:tcW w:type="dxa" w:w="71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Time of file generation, Eastern Time, 24-hour clock.</w:t>
            </w:r>
          </w:p>
        </w:tc>
      </w:tr>
    </w:tbl>
    <w:p>
      <w:pPr>
        <w:spacing w:after="140"/>
      </w:pPr>
    </w:p>
    <w:p>
      <w:pPr>
        <w:spacing w:after="140" w:before="0" w:line="264"/>
      </w:pPr>
      <w:r>
        <w:rPr>
          <w:rFonts w:ascii="Calibri" w:cs="Calibri" w:eastAsia="Calibri" w:hAnsi="Calibri"/>
          <w:b w:val="false"/>
          <w:bCs w:val="false"/>
          <w:i w:val="false"/>
          <w:iCs w:val="false"/>
          <w:color w:val="222222"/>
          <w:sz w:val="19"/>
          <w:szCs w:val="19"/>
        </w:rPr>
        <w:t xml:space="preserve">Example:  </w:t>
      </w:r>
      <w:r>
        <w:rPr>
          <w:rFonts w:ascii="Consolas" w:cs="Consolas" w:eastAsia="Consolas" w:hAnsi="Consolas"/>
          <w:b w:val="false"/>
          <w:bCs w:val="false"/>
          <w:color w:val="222222"/>
          <w:sz w:val="18"/>
          <w:szCs w:val="18"/>
        </w:rPr>
        <w:t xml:space="preserve">CL7_RST_COLL_LOAN_LINKAGE_20260922_080000.txt</w:t>
      </w:r>
    </w:p>
    <w:p>
      <w:r>
        <w:br w:type="page"/>
      </w:r>
    </w:p>
    <w:p>
      <w:pPr>
        <w:pStyle w:val="Heading1"/>
      </w:pPr>
      <w:r>
        <w:rPr>
          <w:rFonts w:ascii="Calibri" w:cs="Calibri" w:eastAsia="Calibri" w:hAnsi="Calibri"/>
          <w:b w:val="false"/>
          <w:bCs w:val="false"/>
          <w:i w:val="false"/>
          <w:iCs w:val="false"/>
          <w:color w:val="222222"/>
          <w:sz w:val="21"/>
          <w:szCs w:val="21"/>
        </w:rPr>
        <w:t xml:space="preserve">6.  Record Layout</w:t>
      </w:r>
    </w:p>
    <w:p>
      <w:pPr>
        <w:spacing w:after="140" w:before="0" w:line="264"/>
      </w:pPr>
      <w:r>
        <w:rPr>
          <w:rFonts w:ascii="Calibri" w:cs="Calibri" w:eastAsia="Calibri" w:hAnsi="Calibri"/>
          <w:b w:val="false"/>
          <w:bCs w:val="false"/>
          <w:i w:val="false"/>
          <w:iCs w:val="false"/>
          <w:color w:val="222222"/>
          <w:sz w:val="21"/>
          <w:szCs w:val="21"/>
        </w:rPr>
        <w:t xml:space="preserve">Twelve fields in fixed positions. Start and end positions are one-based and inclusive. All fields are alphanumeric, left-justified and space-padded on the right.</w:t>
      </w:r>
    </w:p>
    <w:p>
      <w:pPr>
        <w:spacing w:after="9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420"/>
        <w:gridCol w:w="1800"/>
        <w:gridCol w:w="680"/>
        <w:gridCol w:w="680"/>
        <w:gridCol w:w="700"/>
        <w:gridCol w:w="1150"/>
        <w:gridCol w:w="540"/>
        <w:gridCol w:w="3390"/>
      </w:tblGrid>
      <w:tr>
        <w:trPr>
          <w:cantSplit/>
          <w:tblHeader/>
        </w:trPr>
        <w:tc>
          <w:tcPr>
            <w:tcW w:type="dxa" w:w="42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w:t>
            </w:r>
          </w:p>
        </w:tc>
        <w:tc>
          <w:tcPr>
            <w:tcW w:type="dxa" w:w="18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Field Name</w:t>
            </w:r>
          </w:p>
        </w:tc>
        <w:tc>
          <w:tcPr>
            <w:tcW w:type="dxa" w:w="68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Start</w:t>
            </w:r>
          </w:p>
        </w:tc>
        <w:tc>
          <w:tcPr>
            <w:tcW w:type="dxa" w:w="68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End</w:t>
            </w:r>
          </w:p>
        </w:tc>
        <w:tc>
          <w:tcPr>
            <w:tcW w:type="dxa" w:w="7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Length</w:t>
            </w:r>
          </w:p>
        </w:tc>
        <w:tc>
          <w:tcPr>
            <w:tcW w:type="dxa" w:w="115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Datatype</w:t>
            </w:r>
          </w:p>
        </w:tc>
        <w:tc>
          <w:tcPr>
            <w:tcW w:type="dxa" w:w="54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Req</w:t>
            </w:r>
          </w:p>
        </w:tc>
        <w:tc>
          <w:tcPr>
            <w:tcW w:type="dxa" w:w="339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Definition</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Loan ID</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45</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45</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AFS loan identifier. Leading zeros are significant and are preserved.</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nCino Collateral ID</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46</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75</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nCino collateral identifier, external reference key code 'nCino'.</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Collate Asset ID</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76</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105</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30</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Collate asset identifier (CASSETID).</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Obligor Number</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106</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125</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AFS obligor identifier. Leading zeros are significant and are preserved.</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Obligation Number</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126</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149</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24</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AFS obligation identifier. Leading zeros are significant and are preserved.</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6</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LED Status</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150</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169</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Lien filing status, passed through unaltered from Collate.</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7</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1</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170</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219</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50</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First line of the property address.</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8</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2</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220</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269</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Second line. Spaces where Collate holds no value.</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9</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3</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270</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319</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50</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Third line. Spaces where Collate holds no value.</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City</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320</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369</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Property city.</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11</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State</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370</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377</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8</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State code as held in Collate.</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ZIP / Postal Code</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378</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397</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Delivered unformatted, without hyphen.</w:t>
            </w:r>
          </w:p>
        </w:tc>
      </w:tr>
    </w:tbl>
    <w:p>
      <w:pPr>
        <w:spacing w:after="180"/>
      </w:pPr>
    </w:p>
    <w:p>
      <w:pPr>
        <w:spacing w:after="140" w:before="0" w:line="264"/>
      </w:pPr>
      <w:r>
        <w:rPr>
          <w:rFonts w:ascii="Calibri" w:cs="Calibri" w:eastAsia="Calibri" w:hAnsi="Calibri"/>
          <w:b/>
          <w:bCs/>
          <w:i w:val="false"/>
          <w:iCs w:val="false"/>
          <w:color w:val="222222"/>
          <w:sz w:val="21"/>
          <w:szCs w:val="21"/>
        </w:rPr>
        <w:t xml:space="preserve">Total record length: </w:t>
      </w:r>
      <w:r>
        <w:rPr>
          <w:rFonts w:ascii="Calibri" w:cs="Calibri" w:eastAsia="Calibri" w:hAnsi="Calibri"/>
          <w:b w:val="false"/>
          <w:bCs w:val="false"/>
          <w:i w:val="false"/>
          <w:iCs w:val="false"/>
          <w:color w:val="222222"/>
          <w:sz w:val="21"/>
          <w:szCs w:val="21"/>
        </w:rPr>
        <w:t xml:space="preserve">397 characters, excluding the record terminator (CRLF).</w:t>
      </w:r>
    </w:p>
    <w:p>
      <w:r>
        <w:br w:type="page"/>
      </w:r>
    </w:p>
    <w:p>
      <w:pPr>
        <w:pStyle w:val="Heading1"/>
      </w:pPr>
      <w:r>
        <w:rPr>
          <w:rFonts w:ascii="Calibri" w:cs="Calibri" w:eastAsia="Calibri" w:hAnsi="Calibri"/>
          <w:b w:val="false"/>
          <w:bCs w:val="false"/>
          <w:i w:val="false"/>
          <w:iCs w:val="false"/>
          <w:color w:val="222222"/>
          <w:sz w:val="21"/>
          <w:szCs w:val="21"/>
        </w:rPr>
        <w:t xml:space="preserve">7.  Traceability Matrix</w:t>
      </w:r>
    </w:p>
    <w:p>
      <w:pPr>
        <w:spacing w:after="140" w:before="0" w:line="264"/>
      </w:pPr>
      <w:r>
        <w:rPr>
          <w:rFonts w:ascii="Calibri" w:cs="Calibri" w:eastAsia="Calibri" w:hAnsi="Calibri"/>
          <w:b w:val="false"/>
          <w:bCs w:val="false"/>
          <w:i w:val="false"/>
          <w:iCs w:val="false"/>
          <w:color w:val="222222"/>
          <w:sz w:val="21"/>
          <w:szCs w:val="21"/>
        </w:rPr>
        <w:t xml:space="preserve">Field-by-field lineage from the Collate Data View source to each file field, per the agreed data mapping document.</w:t>
      </w:r>
    </w:p>
    <w:p>
      <w:pPr>
        <w:spacing w:after="9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540"/>
        <w:gridCol w:w="1900"/>
        <w:gridCol w:w="4180"/>
        <w:gridCol w:w="2740"/>
      </w:tblGrid>
      <w:tr>
        <w:trPr>
          <w:cantSplit/>
          <w:tblHeader/>
        </w:trPr>
        <w:tc>
          <w:tcPr>
            <w:tcW w:type="dxa" w:w="54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w:t>
            </w:r>
          </w:p>
        </w:tc>
        <w:tc>
          <w:tcPr>
            <w:tcW w:type="dxa" w:w="19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File Field</w:t>
            </w:r>
          </w:p>
        </w:tc>
        <w:tc>
          <w:tcPr>
            <w:tcW w:type="dxa" w:w="418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Source (Collate Data View)</w:t>
            </w:r>
          </w:p>
        </w:tc>
        <w:tc>
          <w:tcPr>
            <w:tcW w:type="dxa" w:w="274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Source (Collate Table)</w:t>
            </w:r>
          </w:p>
        </w:tc>
      </w:tr>
      <w:tr>
        <w:trPr>
          <w:cantSplit/>
        </w:trPr>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w:t>
            </w:r>
          </w:p>
        </w:tc>
        <w:tc>
          <w:tcPr>
            <w:tcW w:type="dxa" w:w="19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Loan ID</w:t>
            </w:r>
          </w:p>
        </w:tc>
        <w:tc>
          <w:tcPr>
            <w:tcW w:type="dxa" w:w="41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EXPOSURE.EXPOSURE_EXTERNAL_REFERENCES (External ID, key code = 'AFS')</w:t>
            </w:r>
          </w:p>
        </w:tc>
        <w:tc>
          <w:tcPr>
            <w:tcW w:type="dxa" w:w="27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EXTERNAL_REFERENCE.EXTERNAL_ID</w:t>
            </w:r>
          </w:p>
        </w:tc>
      </w:tr>
      <w:tr>
        <w:trPr>
          <w:cantSplit/>
        </w:trPr>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w:t>
            </w:r>
          </w:p>
        </w:tc>
        <w:tc>
          <w:tcPr>
            <w:tcW w:type="dxa" w:w="19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nCino Collateral ID</w:t>
            </w:r>
          </w:p>
        </w:tc>
        <w:tc>
          <w:tcPr>
            <w:tcW w:type="dxa" w:w="41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ASSET.ASSET_EXTERNAL_REFERENCES (External ID, key code = 'nCino')</w:t>
            </w:r>
          </w:p>
        </w:tc>
        <w:tc>
          <w:tcPr>
            <w:tcW w:type="dxa" w:w="27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w:t>
            </w:r>
          </w:p>
        </w:tc>
      </w:tr>
      <w:tr>
        <w:trPr>
          <w:cantSplit/>
        </w:trPr>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w:t>
            </w:r>
          </w:p>
        </w:tc>
        <w:tc>
          <w:tcPr>
            <w:tcW w:type="dxa" w:w="19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Collate Asset ID</w:t>
            </w:r>
          </w:p>
        </w:tc>
        <w:tc>
          <w:tcPr>
            <w:tcW w:type="dxa" w:w="41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ASSET.ASSET_EXTERNAL_REFERENCES (External ID)</w:t>
            </w:r>
          </w:p>
        </w:tc>
        <w:tc>
          <w:tcPr>
            <w:tcW w:type="dxa" w:w="27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EXTERNAL_REFERENCE.EXTERNAL_ID</w:t>
            </w:r>
          </w:p>
        </w:tc>
      </w:tr>
      <w:tr>
        <w:trPr>
          <w:cantSplit/>
        </w:trPr>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w:t>
            </w:r>
          </w:p>
        </w:tc>
        <w:tc>
          <w:tcPr>
            <w:tcW w:type="dxa" w:w="19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Obligor Number</w:t>
            </w:r>
          </w:p>
        </w:tc>
        <w:tc>
          <w:tcPr>
            <w:tcW w:type="dxa" w:w="41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EXPOSURE.EXPOSURE_EXTERNAL_REFERENCES (key code = 'AFS')</w:t>
            </w:r>
          </w:p>
        </w:tc>
        <w:tc>
          <w:tcPr>
            <w:tcW w:type="dxa" w:w="27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EXTERNAL_REFERENCE.EXTERNAL_ID</w:t>
            </w:r>
          </w:p>
        </w:tc>
      </w:tr>
      <w:tr>
        <w:trPr>
          <w:cantSplit/>
        </w:trPr>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w:t>
            </w:r>
          </w:p>
        </w:tc>
        <w:tc>
          <w:tcPr>
            <w:tcW w:type="dxa" w:w="19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Obligation Number</w:t>
            </w:r>
          </w:p>
        </w:tc>
        <w:tc>
          <w:tcPr>
            <w:tcW w:type="dxa" w:w="41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EXPOSURE.EXPOSURE_EXTERNAL_REFERENCES (key code = 'AFS')</w:t>
            </w:r>
          </w:p>
        </w:tc>
        <w:tc>
          <w:tcPr>
            <w:tcW w:type="dxa" w:w="27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EXTERNAL_REFERENCE.EXTERNAL_ID</w:t>
            </w:r>
          </w:p>
        </w:tc>
      </w:tr>
      <w:tr>
        <w:trPr>
          <w:cantSplit/>
        </w:trPr>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6</w:t>
            </w:r>
          </w:p>
        </w:tc>
        <w:tc>
          <w:tcPr>
            <w:tcW w:type="dxa" w:w="19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LED Status</w:t>
            </w:r>
          </w:p>
        </w:tc>
        <w:tc>
          <w:tcPr>
            <w:tcW w:type="dxa" w:w="41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REG_FILING.REGISTRATION_DATA &gt; regFilingCustomDropdown2</w:t>
            </w:r>
          </w:p>
        </w:tc>
        <w:tc>
          <w:tcPr>
            <w:tcW w:type="dxa" w:w="27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REG_FILING.FILING_STATUS</w:t>
            </w:r>
          </w:p>
        </w:tc>
      </w:tr>
      <w:tr>
        <w:trPr>
          <w:cantSplit/>
        </w:trPr>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7</w:t>
            </w:r>
          </w:p>
        </w:tc>
        <w:tc>
          <w:tcPr>
            <w:tcW w:type="dxa" w:w="19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1</w:t>
            </w:r>
          </w:p>
        </w:tc>
        <w:tc>
          <w:tcPr>
            <w:tcW w:type="dxa" w:w="41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LEGAL_ENTITY.LEGAL_ENTITY_ADDRESS</w:t>
            </w:r>
          </w:p>
        </w:tc>
        <w:tc>
          <w:tcPr>
            <w:tcW w:type="dxa" w:w="27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ADDRESS.ADMIN_AREA_L3</w:t>
            </w:r>
          </w:p>
        </w:tc>
      </w:tr>
      <w:tr>
        <w:trPr>
          <w:cantSplit/>
        </w:trPr>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8</w:t>
            </w:r>
          </w:p>
        </w:tc>
        <w:tc>
          <w:tcPr>
            <w:tcW w:type="dxa" w:w="19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2</w:t>
            </w:r>
          </w:p>
        </w:tc>
        <w:tc>
          <w:tcPr>
            <w:tcW w:type="dxa" w:w="41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LEGAL_ENTITY.LEGAL_ENTITY_ADDRESS</w:t>
            </w:r>
          </w:p>
        </w:tc>
        <w:tc>
          <w:tcPr>
            <w:tcW w:type="dxa" w:w="27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ADDRESS.ADMIN_AREA_L4</w:t>
            </w:r>
          </w:p>
        </w:tc>
      </w:tr>
      <w:tr>
        <w:trPr>
          <w:cantSplit/>
        </w:trPr>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9</w:t>
            </w:r>
          </w:p>
        </w:tc>
        <w:tc>
          <w:tcPr>
            <w:tcW w:type="dxa" w:w="19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3</w:t>
            </w:r>
          </w:p>
        </w:tc>
        <w:tc>
          <w:tcPr>
            <w:tcW w:type="dxa" w:w="41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LEGAL_ENTITY.LEGAL_ENTITY_ADDRESS</w:t>
            </w:r>
          </w:p>
        </w:tc>
        <w:tc>
          <w:tcPr>
            <w:tcW w:type="dxa" w:w="27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ADDRESS.ADMIN_AREA_L5</w:t>
            </w:r>
          </w:p>
        </w:tc>
      </w:tr>
      <w:tr>
        <w:trPr>
          <w:cantSplit/>
        </w:trPr>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w:t>
            </w:r>
          </w:p>
        </w:tc>
        <w:tc>
          <w:tcPr>
            <w:tcW w:type="dxa" w:w="19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City</w:t>
            </w:r>
          </w:p>
        </w:tc>
        <w:tc>
          <w:tcPr>
            <w:tcW w:type="dxa" w:w="41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LEGAL_ENTITY.LEGAL_ENTITY_ADDRESS</w:t>
            </w:r>
          </w:p>
        </w:tc>
        <w:tc>
          <w:tcPr>
            <w:tcW w:type="dxa" w:w="27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ADDRESS.LOCALITY</w:t>
            </w:r>
          </w:p>
        </w:tc>
      </w:tr>
      <w:tr>
        <w:trPr>
          <w:cantSplit/>
        </w:trPr>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11</w:t>
            </w:r>
          </w:p>
        </w:tc>
        <w:tc>
          <w:tcPr>
            <w:tcW w:type="dxa" w:w="19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State</w:t>
            </w:r>
          </w:p>
        </w:tc>
        <w:tc>
          <w:tcPr>
            <w:tcW w:type="dxa" w:w="41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LEGAL_ENTITY.LEGAL_ENTITY_ADDRESS</w:t>
            </w:r>
          </w:p>
        </w:tc>
        <w:tc>
          <w:tcPr>
            <w:tcW w:type="dxa" w:w="27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ADDRESS.ADMIN_AREA_L1</w:t>
            </w:r>
          </w:p>
        </w:tc>
      </w:tr>
      <w:tr>
        <w:trPr>
          <w:cantSplit/>
        </w:trPr>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w:t>
            </w:r>
          </w:p>
        </w:tc>
        <w:tc>
          <w:tcPr>
            <w:tcW w:type="dxa" w:w="19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ZIP / Postal Code</w:t>
            </w:r>
          </w:p>
        </w:tc>
        <w:tc>
          <w:tcPr>
            <w:tcW w:type="dxa" w:w="41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LEGAL_ENTITY.LEGAL_ENTITY_ADDRESS</w:t>
            </w:r>
          </w:p>
        </w:tc>
        <w:tc>
          <w:tcPr>
            <w:tcW w:type="dxa" w:w="27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5"/>
                <w:szCs w:val="15"/>
              </w:rPr>
              <w:t xml:space="preserve">ADDRESS.POST_CODE</w:t>
            </w:r>
          </w:p>
        </w:tc>
      </w:tr>
    </w:tbl>
    <w:p>
      <w:r>
        <w:br w:type="page"/>
      </w:r>
    </w:p>
    <w:p>
      <w:pPr>
        <w:pStyle w:val="Heading1"/>
      </w:pPr>
      <w:r>
        <w:rPr>
          <w:rFonts w:ascii="Calibri" w:cs="Calibri" w:eastAsia="Calibri" w:hAnsi="Calibri"/>
          <w:b w:val="false"/>
          <w:bCs w:val="false"/>
          <w:i w:val="false"/>
          <w:iCs w:val="false"/>
          <w:color w:val="222222"/>
          <w:sz w:val="21"/>
          <w:szCs w:val="21"/>
        </w:rPr>
        <w:t xml:space="preserve">8.  Functional Requirements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700"/>
        <w:gridCol w:w="8660"/>
      </w:tblGrid>
      <w:tr>
        <w:trPr>
          <w:cantSplit/>
          <w:tblHeader/>
        </w:trPr>
        <w:tc>
          <w:tcPr>
            <w:tcW w:type="dxa" w:w="7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ID</w:t>
            </w:r>
          </w:p>
        </w:tc>
        <w:tc>
          <w:tcPr>
            <w:tcW w:type="dxa" w:w="86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Requirement</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FR1</w:t>
            </w:r>
          </w:p>
        </w:tc>
        <w:tc>
          <w:tcPr>
            <w:tcW w:type="dxa" w:w="86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file name includes an as-of date and time stamp, per the convention in Section 5.1.</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FR2</w:t>
            </w:r>
          </w:p>
        </w:tc>
        <w:tc>
          <w:tcPr>
            <w:tcW w:type="dxa" w:w="86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Where no records qualify, no file is sent to RST/RLC.</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FR3</w:t>
            </w:r>
          </w:p>
        </w:tc>
        <w:tc>
          <w:tcPr>
            <w:tcW w:type="dxa" w:w="86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file is delivered daily on business days, targeting approximately 08:00 AM ET. Exact timing is dependent on upstream processing completion.</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FR4</w:t>
            </w:r>
          </w:p>
        </w:tc>
        <w:tc>
          <w:tcPr>
            <w:tcW w:type="dxa" w:w="86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Address is delivered as separate fields: Address 1, Address 2, Address 3, City, State and ZIP.</w:t>
            </w:r>
          </w:p>
        </w:tc>
      </w:tr>
    </w:tbl>
    <w:p>
      <w:pPr>
        <w:pStyle w:val="Heading2"/>
      </w:pPr>
      <w:r>
        <w:rPr>
          <w:rFonts w:ascii="Calibri" w:cs="Calibri" w:eastAsia="Calibri" w:hAnsi="Calibri"/>
          <w:b w:val="false"/>
          <w:bCs w:val="false"/>
          <w:i w:val="false"/>
          <w:iCs w:val="false"/>
          <w:color w:val="222222"/>
          <w:sz w:val="21"/>
          <w:szCs w:val="21"/>
        </w:rPr>
        <w:t xml:space="preserve">8.1  Zero-Record Behaviour</w:t>
      </w:r>
    </w:p>
    <w:p>
      <w:pPr>
        <w:spacing w:after="140" w:before="0" w:line="264"/>
      </w:pPr>
      <w:r>
        <w:rPr>
          <w:rFonts w:ascii="Calibri" w:cs="Calibri" w:eastAsia="Calibri" w:hAnsi="Calibri"/>
          <w:b w:val="false"/>
          <w:bCs w:val="false"/>
          <w:i w:val="false"/>
          <w:iCs w:val="false"/>
          <w:color w:val="222222"/>
          <w:sz w:val="21"/>
          <w:szCs w:val="21"/>
        </w:rPr>
        <w:t xml:space="preserve">Per FR2, on a business day where no records satisfy the selection criteria in Section 4, CL7 does not generate or deliver a file.</w:t>
      </w:r>
    </w:p>
    <w:p>
      <w:pPr>
        <w:spacing w:after="90"/>
      </w:pPr>
    </w:p>
    <w:tbl>
      <w:tblPr>
        <w:tblW w:type="dxa" w:w="9360"/>
        <w:tblBorders>
          <w:top w:val="single" w:color="9FC0E0" w:sz="4"/>
          <w:left w:val="single" w:color="2E74B5" w:sz="18"/>
          <w:bottom w:val="single" w:color="9FC0E0" w:sz="4"/>
          <w:right w:val="single" w:color="9FC0E0" w:sz="4"/>
          <w:insideH w:val="none"/>
          <w:insideV w:val="none"/>
        </w:tblBorders>
      </w:tblPr>
      <w:tblGrid>
        <w:gridCol w:w="9360"/>
      </w:tblGrid>
      <w:tr>
        <w:tc>
          <w:tcPr>
            <w:tcW w:type="dxa" w:w="9360"/>
            <w:shd w:fill="EDF3FA" w:color="auto" w:val="clear"/>
            <w:tcMar>
              <w:top w:type="dxa" w:w="70"/>
              <w:left w:type="dxa" w:w="100"/>
              <w:bottom w:type="dxa" w:w="70"/>
              <w:right w:type="dxa" w:w="100"/>
            </w:tcMar>
            <w:vAlign w:val="center"/>
          </w:tcPr>
          <w:p>
            <w:pPr>
              <w:spacing w:after="0" w:line="264"/>
            </w:pPr>
            <w:r>
              <w:rPr>
                <w:rFonts w:ascii="Calibri" w:cs="Calibri" w:eastAsia="Calibri" w:hAnsi="Calibri"/>
                <w:b w:val="false"/>
                <w:bCs w:val="false"/>
                <w:i w:val="false"/>
                <w:iCs w:val="false"/>
                <w:color w:val="222222"/>
                <w:sz w:val="19"/>
                <w:szCs w:val="19"/>
              </w:rPr>
              <w:t xml:space="preserve">Because no file is sent on a zero-record day, the absence of a file is not by itself an indication of failure. RST/RLC should not raise a missing-file alert on that basis alone. CL7 will confirm the run outcome through its own batch monitoring, and will notify RST/RLC where a scheduled run does not complete.</w:t>
            </w:r>
          </w:p>
        </w:tc>
      </w:tr>
    </w:tbl>
    <w:p>
      <w:r>
        <w:br w:type="page"/>
      </w:r>
    </w:p>
    <w:p>
      <w:pPr>
        <w:pStyle w:val="Heading1"/>
      </w:pPr>
      <w:r>
        <w:rPr>
          <w:rFonts w:ascii="Calibri" w:cs="Calibri" w:eastAsia="Calibri" w:hAnsi="Calibri"/>
          <w:b w:val="false"/>
          <w:bCs w:val="false"/>
          <w:i w:val="false"/>
          <w:iCs w:val="false"/>
          <w:color w:val="222222"/>
          <w:sz w:val="21"/>
          <w:szCs w:val="21"/>
        </w:rPr>
        <w:t xml:space="preserve">Appendix A.  Sample File</w:t>
      </w:r>
    </w:p>
    <w:p>
      <w:pPr>
        <w:spacing w:after="140" w:before="0" w:line="264"/>
      </w:pPr>
      <w:r>
        <w:rPr>
          <w:rFonts w:ascii="Calibri" w:cs="Calibri" w:eastAsia="Calibri" w:hAnsi="Calibri"/>
          <w:b w:val="false"/>
          <w:bCs w:val="false"/>
          <w:i w:val="false"/>
          <w:iCs w:val="false"/>
          <w:color w:val="222222"/>
          <w:sz w:val="21"/>
          <w:szCs w:val="21"/>
        </w:rPr>
        <w:t xml:space="preserve">Illustrative file containing three records. Values are fictitious and are shown to illustrate structure only. There is no header record.</w:t>
      </w:r>
    </w:p>
    <w:p>
      <w:pPr>
        <w:spacing w:after="90"/>
      </w:pPr>
    </w:p>
    <w:p>
      <w:pPr>
        <w:spacing w:after="140" w:before="0" w:line="264"/>
      </w:pPr>
      <w:r>
        <w:rPr>
          <w:rFonts w:ascii="Calibri" w:cs="Calibri" w:eastAsia="Calibri" w:hAnsi="Calibri"/>
          <w:b w:val="false"/>
          <w:bCs w:val="false"/>
          <w:i/>
          <w:iCs/>
          <w:color w:val="222222"/>
          <w:sz w:val="19"/>
          <w:szCs w:val="19"/>
        </w:rPr>
        <w:t xml:space="preserve">Each record is 397 characters and is shown wrapped across lines of 90 characters for legibility. In the actual file each record is a single unbroken line. Spaces are shown as middle dots; the actual file contains ordinary space characters (0x20). The number at the start of each line is the character position at which that line begins.</w:t>
      </w:r>
    </w:p>
    <w:p>
      <w:pPr>
        <w:spacing w:after="160"/>
      </w:pPr>
    </w:p>
    <w:p>
      <w:pPr>
        <w:keepNext/>
        <w:spacing w:after="50"/>
      </w:pPr>
      <w:r>
        <w:rPr>
          <w:rFonts w:ascii="Calibri" w:cs="Calibri" w:eastAsia="Calibri" w:hAnsi="Calibri"/>
          <w:b/>
          <w:bCs/>
          <w:i w:val="false"/>
          <w:iCs w:val="false"/>
          <w:color w:val="2E74B5"/>
          <w:sz w:val="17"/>
          <w:szCs w:val="17"/>
        </w:rPr>
        <w:t xml:space="preserve">Record 1</w:t>
      </w:r>
    </w:p>
    <w:p>
      <w:pPr>
        <w:spacing w:after="24" w:line="200"/>
        <w:ind w:left="140"/>
      </w:pPr>
      <w:r>
        <w:rPr>
          <w:rFonts w:ascii="Consolas" w:cs="Consolas" w:eastAsia="Consolas" w:hAnsi="Consolas"/>
          <w:b w:val="false"/>
          <w:bCs w:val="false"/>
          <w:color w:val="222222"/>
          <w:sz w:val="13"/>
          <w:szCs w:val="13"/>
        </w:rPr>
        <w:t xml:space="preserve">  1: 0009988776/0004455667························20363389······················20363389·······</w:t>
      </w:r>
    </w:p>
    <w:p>
      <w:pPr>
        <w:spacing w:after="24" w:line="200"/>
        <w:ind w:left="140"/>
      </w:pPr>
      <w:r>
        <w:rPr>
          <w:rFonts w:ascii="Consolas" w:cs="Consolas" w:eastAsia="Consolas" w:hAnsi="Consolas"/>
          <w:b w:val="false"/>
          <w:bCs w:val="false"/>
          <w:color w:val="222222"/>
          <w:sz w:val="13"/>
          <w:szCs w:val="13"/>
        </w:rPr>
        <w:t xml:space="preserve"> 91: ···············0009988776··········0004455667··············SUBMITTED···········100·Main·St</w:t>
      </w:r>
    </w:p>
    <w:p>
      <w:pPr>
        <w:spacing w:after="24" w:line="200"/>
        <w:ind w:left="140"/>
      </w:pPr>
      <w:r>
        <w:rPr>
          <w:rFonts w:ascii="Consolas" w:cs="Consolas" w:eastAsia="Consolas" w:hAnsi="Consolas"/>
          <w:b w:val="false"/>
          <w:bCs w:val="false"/>
          <w:color w:val="222222"/>
          <w:sz w:val="13"/>
          <w:szCs w:val="13"/>
        </w:rPr>
        <w:t xml:space="preserve">181: reet···································Suite·400··········································</w:t>
      </w:r>
    </w:p>
    <w:p>
      <w:pPr>
        <w:spacing w:after="24" w:line="200"/>
        <w:ind w:left="140"/>
      </w:pPr>
      <w:r>
        <w:rPr>
          <w:rFonts w:ascii="Consolas" w:cs="Consolas" w:eastAsia="Consolas" w:hAnsi="Consolas"/>
          <w:b w:val="false"/>
          <w:bCs w:val="false"/>
          <w:color w:val="222222"/>
          <w:sz w:val="13"/>
          <w:szCs w:val="13"/>
        </w:rPr>
        <w:t xml:space="preserve">271: ·················································Buffalo··································</w:t>
      </w:r>
    </w:p>
    <w:p>
      <w:pPr>
        <w:spacing w:after="24" w:line="200"/>
        <w:ind w:left="140"/>
      </w:pPr>
      <w:r>
        <w:rPr>
          <w:rFonts w:ascii="Consolas" w:cs="Consolas" w:eastAsia="Consolas" w:hAnsi="Consolas"/>
          <w:b w:val="false"/>
          <w:bCs w:val="false"/>
          <w:color w:val="222222"/>
          <w:sz w:val="13"/>
          <w:szCs w:val="13"/>
        </w:rPr>
        <w:t xml:space="preserve">361: ·········NY······14203···············</w:t>
      </w:r>
    </w:p>
    <w:p>
      <w:pPr>
        <w:spacing w:after="180"/>
      </w:pPr>
    </w:p>
    <w:p>
      <w:pPr>
        <w:keepNext/>
        <w:spacing w:after="50"/>
      </w:pPr>
      <w:r>
        <w:rPr>
          <w:rFonts w:ascii="Calibri" w:cs="Calibri" w:eastAsia="Calibri" w:hAnsi="Calibri"/>
          <w:b/>
          <w:bCs/>
          <w:i w:val="false"/>
          <w:iCs w:val="false"/>
          <w:color w:val="2E74B5"/>
          <w:sz w:val="17"/>
          <w:szCs w:val="17"/>
        </w:rPr>
        <w:t xml:space="preserve">Record 2</w:t>
      </w:r>
    </w:p>
    <w:p>
      <w:pPr>
        <w:spacing w:after="24" w:line="200"/>
        <w:ind w:left="140"/>
      </w:pPr>
      <w:r>
        <w:rPr>
          <w:rFonts w:ascii="Consolas" w:cs="Consolas" w:eastAsia="Consolas" w:hAnsi="Consolas"/>
          <w:b w:val="false"/>
          <w:bCs w:val="false"/>
          <w:color w:val="222222"/>
          <w:sz w:val="13"/>
          <w:szCs w:val="13"/>
        </w:rPr>
        <w:t xml:space="preserve">  1: 0009988776/0004455668························20363390······················20363390·······</w:t>
      </w:r>
    </w:p>
    <w:p>
      <w:pPr>
        <w:spacing w:after="24" w:line="200"/>
        <w:ind w:left="140"/>
      </w:pPr>
      <w:r>
        <w:rPr>
          <w:rFonts w:ascii="Consolas" w:cs="Consolas" w:eastAsia="Consolas" w:hAnsi="Consolas"/>
          <w:b w:val="false"/>
          <w:bCs w:val="false"/>
          <w:color w:val="222222"/>
          <w:sz w:val="13"/>
          <w:szCs w:val="13"/>
        </w:rPr>
        <w:t xml:space="preserve"> 91: ···············0009988776··········0004455668··············SUBMITTED···········2200·Delawa</w:t>
      </w:r>
    </w:p>
    <w:p>
      <w:pPr>
        <w:spacing w:after="24" w:line="200"/>
        <w:ind w:left="140"/>
      </w:pPr>
      <w:r>
        <w:rPr>
          <w:rFonts w:ascii="Consolas" w:cs="Consolas" w:eastAsia="Consolas" w:hAnsi="Consolas"/>
          <w:b w:val="false"/>
          <w:bCs w:val="false"/>
          <w:color w:val="222222"/>
          <w:sz w:val="13"/>
          <w:szCs w:val="13"/>
        </w:rPr>
        <w:t xml:space="preserve">181: re·Avenue·················································································</w:t>
      </w:r>
    </w:p>
    <w:p>
      <w:pPr>
        <w:spacing w:after="24" w:line="200"/>
        <w:ind w:left="140"/>
      </w:pPr>
      <w:r>
        <w:rPr>
          <w:rFonts w:ascii="Consolas" w:cs="Consolas" w:eastAsia="Consolas" w:hAnsi="Consolas"/>
          <w:b w:val="false"/>
          <w:bCs w:val="false"/>
          <w:color w:val="222222"/>
          <w:sz w:val="13"/>
          <w:szCs w:val="13"/>
        </w:rPr>
        <w:t xml:space="preserve">271: ·················································Buffalo··································</w:t>
      </w:r>
    </w:p>
    <w:p>
      <w:pPr>
        <w:spacing w:after="24" w:line="200"/>
        <w:ind w:left="140"/>
      </w:pPr>
      <w:r>
        <w:rPr>
          <w:rFonts w:ascii="Consolas" w:cs="Consolas" w:eastAsia="Consolas" w:hAnsi="Consolas"/>
          <w:b w:val="false"/>
          <w:bCs w:val="false"/>
          <w:color w:val="222222"/>
          <w:sz w:val="13"/>
          <w:szCs w:val="13"/>
        </w:rPr>
        <w:t xml:space="preserve">361: ·········NY······14216···············</w:t>
      </w:r>
    </w:p>
    <w:p>
      <w:pPr>
        <w:spacing w:after="180"/>
      </w:pPr>
    </w:p>
    <w:p>
      <w:pPr>
        <w:keepNext/>
        <w:spacing w:after="50"/>
      </w:pPr>
      <w:r>
        <w:rPr>
          <w:rFonts w:ascii="Calibri" w:cs="Calibri" w:eastAsia="Calibri" w:hAnsi="Calibri"/>
          <w:b/>
          <w:bCs/>
          <w:i w:val="false"/>
          <w:iCs w:val="false"/>
          <w:color w:val="2E74B5"/>
          <w:sz w:val="17"/>
          <w:szCs w:val="17"/>
        </w:rPr>
        <w:t xml:space="preserve">Record 3</w:t>
      </w:r>
    </w:p>
    <w:p>
      <w:pPr>
        <w:spacing w:after="24" w:line="200"/>
        <w:ind w:left="140"/>
      </w:pPr>
      <w:r>
        <w:rPr>
          <w:rFonts w:ascii="Consolas" w:cs="Consolas" w:eastAsia="Consolas" w:hAnsi="Consolas"/>
          <w:b w:val="false"/>
          <w:bCs w:val="false"/>
          <w:color w:val="222222"/>
          <w:sz w:val="13"/>
          <w:szCs w:val="13"/>
        </w:rPr>
        <w:t xml:space="preserve">  1: 0001122334/0007788990························20364102······················20364102·······</w:t>
      </w:r>
    </w:p>
    <w:p>
      <w:pPr>
        <w:spacing w:after="24" w:line="200"/>
        <w:ind w:left="140"/>
      </w:pPr>
      <w:r>
        <w:rPr>
          <w:rFonts w:ascii="Consolas" w:cs="Consolas" w:eastAsia="Consolas" w:hAnsi="Consolas"/>
          <w:b w:val="false"/>
          <w:bCs w:val="false"/>
          <w:color w:val="222222"/>
          <w:sz w:val="13"/>
          <w:szCs w:val="13"/>
        </w:rPr>
        <w:t xml:space="preserve"> 91: ···············0001122334··········0007788990··············SUBMITTED···········1·Innovatio</w:t>
      </w:r>
    </w:p>
    <w:p>
      <w:pPr>
        <w:spacing w:after="24" w:line="200"/>
        <w:ind w:left="140"/>
      </w:pPr>
      <w:r>
        <w:rPr>
          <w:rFonts w:ascii="Consolas" w:cs="Consolas" w:eastAsia="Consolas" w:hAnsi="Consolas"/>
          <w:b w:val="false"/>
          <w:bCs w:val="false"/>
          <w:color w:val="222222"/>
          <w:sz w:val="13"/>
          <w:szCs w:val="13"/>
        </w:rPr>
        <w:t xml:space="preserve">181: n·Way,·Building·C······················Attn:·Property·Mgmt································</w:t>
      </w:r>
    </w:p>
    <w:p>
      <w:pPr>
        <w:spacing w:after="24" w:line="200"/>
        <w:ind w:left="140"/>
      </w:pPr>
      <w:r>
        <w:rPr>
          <w:rFonts w:ascii="Consolas" w:cs="Consolas" w:eastAsia="Consolas" w:hAnsi="Consolas"/>
          <w:b w:val="false"/>
          <w:bCs w:val="false"/>
          <w:color w:val="222222"/>
          <w:sz w:val="13"/>
          <w:szCs w:val="13"/>
        </w:rPr>
        <w:t xml:space="preserve">271: ·················································Amherst··································</w:t>
      </w:r>
    </w:p>
    <w:p>
      <w:pPr>
        <w:spacing w:after="24" w:line="200"/>
        <w:ind w:left="140"/>
      </w:pPr>
      <w:r>
        <w:rPr>
          <w:rFonts w:ascii="Consolas" w:cs="Consolas" w:eastAsia="Consolas" w:hAnsi="Consolas"/>
          <w:b w:val="false"/>
          <w:bCs w:val="false"/>
          <w:color w:val="222222"/>
          <w:sz w:val="13"/>
          <w:szCs w:val="13"/>
        </w:rPr>
        <w:t xml:space="preserve">361: ·········NY······142280000···········</w:t>
      </w:r>
    </w:p>
    <w:p>
      <w:pPr>
        <w:spacing w:after="180"/>
      </w:pPr>
    </w:p>
    <w:p>
      <w:pPr>
        <w:spacing w:after="120"/>
      </w:pPr>
    </w:p>
    <w:p>
      <w:pPr>
        <w:spacing w:after="140" w:before="0" w:line="264"/>
      </w:pPr>
      <w:r>
        <w:rPr>
          <w:rFonts w:ascii="Calibri" w:cs="Calibri" w:eastAsia="Calibri" w:hAnsi="Calibri"/>
          <w:b w:val="false"/>
          <w:bCs w:val="false"/>
          <w:i w:val="false"/>
          <w:iCs w:val="false"/>
          <w:color w:val="222222"/>
          <w:sz w:val="21"/>
          <w:szCs w:val="21"/>
        </w:rPr>
        <w:t xml:space="preserve">Points to note in the sample:</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Records 1 and 2 share a Loan ID</w:t>
      </w:r>
      <w:r>
        <w:rPr>
          <w:rFonts w:ascii="Calibri" w:cs="Calibri" w:eastAsia="Calibri" w:hAnsi="Calibri"/>
          <w:b w:val="false"/>
          <w:bCs w:val="false"/>
          <w:i w:val="false"/>
          <w:iCs w:val="false"/>
          <w:color w:val="222222"/>
          <w:sz w:val="21"/>
          <w:szCs w:val="21"/>
        </w:rPr>
        <w:t xml:space="preserve"> — one loan secured by two properties, per the record grain in Section 3.1.</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Every record is exactly 397 characters</w:t>
      </w:r>
      <w:r>
        <w:rPr>
          <w:rFonts w:ascii="Calibri" w:cs="Calibri" w:eastAsia="Calibri" w:hAnsi="Calibri"/>
          <w:b w:val="false"/>
          <w:bCs w:val="false"/>
          <w:i w:val="false"/>
          <w:iCs w:val="false"/>
          <w:color w:val="222222"/>
          <w:sz w:val="21"/>
          <w:szCs w:val="21"/>
        </w:rPr>
        <w:t xml:space="preserve">, so field boundaries fall at the same positions on every record.</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Empty optional fields are filled with spaces</w:t>
      </w:r>
      <w:r>
        <w:rPr>
          <w:rFonts w:ascii="Calibri" w:cs="Calibri" w:eastAsia="Calibri" w:hAnsi="Calibri"/>
          <w:b w:val="false"/>
          <w:bCs w:val="false"/>
          <w:i w:val="false"/>
          <w:iCs w:val="false"/>
          <w:color w:val="222222"/>
          <w:sz w:val="21"/>
          <w:szCs w:val="21"/>
        </w:rPr>
        <w:t xml:space="preserve"> for their full declared length — Property Address 3 is spaces on all three records.</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Leading zeros are present</w:t>
      </w:r>
      <w:r>
        <w:rPr>
          <w:rFonts w:ascii="Calibri" w:cs="Calibri" w:eastAsia="Calibri" w:hAnsi="Calibri"/>
          <w:b w:val="false"/>
          <w:bCs w:val="false"/>
          <w:i w:val="false"/>
          <w:iCs w:val="false"/>
          <w:color w:val="222222"/>
          <w:sz w:val="21"/>
          <w:szCs w:val="21"/>
        </w:rPr>
        <w:t xml:space="preserve"> on the identifier fields and are significant.</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Loan ID is Obligor Number, '/' and Obligation Number</w:t>
      </w:r>
      <w:r>
        <w:rPr>
          <w:rFonts w:ascii="Calibri" w:cs="Calibri" w:eastAsia="Calibri" w:hAnsi="Calibri"/>
          <w:b w:val="false"/>
          <w:bCs w:val="false"/>
          <w:i w:val="false"/>
          <w:iCs w:val="false"/>
          <w:color w:val="222222"/>
          <w:sz w:val="21"/>
          <w:szCs w:val="21"/>
        </w:rPr>
        <w:t xml:space="preserve"> — in record 1, positions 1–45 hold 0009988776/0004455667, which is field 4 and field 5 joined.</w:t>
      </w:r>
    </w:p>
    <w:p>
      <w:r>
        <w:br w:type="page"/>
      </w:r>
    </w:p>
    <w:p>
      <w:pPr>
        <w:pStyle w:val="Heading1"/>
      </w:pPr>
      <w:r>
        <w:rPr>
          <w:rFonts w:ascii="Calibri" w:cs="Calibri" w:eastAsia="Calibri" w:hAnsi="Calibri"/>
          <w:b w:val="false"/>
          <w:bCs w:val="false"/>
          <w:i w:val="false"/>
          <w:iCs w:val="false"/>
          <w:color w:val="222222"/>
          <w:sz w:val="21"/>
          <w:szCs w:val="21"/>
        </w:rPr>
        <w:t xml:space="preserve">Review and Sign-off</w:t>
      </w:r>
    </w:p>
    <w:p>
      <w:pPr>
        <w:spacing w:after="140" w:before="0" w:line="264"/>
      </w:pPr>
      <w:r>
        <w:rPr>
          <w:rFonts w:ascii="Calibri" w:cs="Calibri" w:eastAsia="Calibri" w:hAnsi="Calibri"/>
          <w:b w:val="false"/>
          <w:bCs w:val="false"/>
          <w:i w:val="false"/>
          <w:iCs w:val="false"/>
          <w:color w:val="222222"/>
          <w:sz w:val="21"/>
          <w:szCs w:val="21"/>
        </w:rPr>
        <w:t xml:space="preserve">This specification is baselined once all parties below have signed. Any subsequent change to Section 5 (File Characteristics) or Section 7 (Record Layout) requires a new version and a repeat of this sign-off.</w:t>
      </w:r>
    </w:p>
    <w:p>
      <w:pPr>
        <w:spacing w:after="16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200"/>
        <w:gridCol w:w="2800"/>
        <w:gridCol w:w="2360"/>
        <w:gridCol w:w="2000"/>
      </w:tblGrid>
      <w:tr>
        <w:trPr>
          <w:cantSplit/>
          <w:tblHeader/>
        </w:trPr>
        <w:tc>
          <w:tcPr>
            <w:tcW w:type="dxa" w:w="22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Party</w:t>
            </w:r>
          </w:p>
        </w:tc>
        <w:tc>
          <w:tcPr>
            <w:tcW w:type="dxa" w:w="28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Role</w:t>
            </w:r>
          </w:p>
        </w:tc>
        <w:tc>
          <w:tcPr>
            <w:tcW w:type="dxa" w:w="23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Name</w:t>
            </w:r>
          </w:p>
        </w:tc>
        <w:tc>
          <w:tcPr>
            <w:tcW w:type="dxa" w:w="20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Date</w:t>
            </w:r>
          </w:p>
        </w:tc>
      </w:tr>
      <w:tr>
        <w:trPr>
          <w:cantSplit/>
        </w:trPr>
        <w:tc>
          <w:tcPr>
            <w:tcW w:type="dxa" w:w="22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Business</w:t>
            </w:r>
          </w:p>
        </w:tc>
        <w:tc>
          <w:tcPr>
            <w:tcW w:type="dxa" w:w="28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Product Owner</w:t>
            </w:r>
          </w:p>
        </w:tc>
        <w:tc>
          <w:tcPr>
            <w:tcW w:type="dxa" w:w="2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22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Technology</w:t>
            </w:r>
          </w:p>
        </w:tc>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Tech Lead</w:t>
            </w:r>
          </w:p>
        </w:tc>
        <w:tc>
          <w:tcPr>
            <w:tcW w:type="dxa" w:w="2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22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Technology</w:t>
            </w:r>
          </w:p>
        </w:tc>
        <w:tc>
          <w:tcPr>
            <w:tcW w:type="dxa" w:w="28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Engineering Manager</w:t>
            </w:r>
          </w:p>
        </w:tc>
        <w:tc>
          <w:tcPr>
            <w:tcW w:type="dxa" w:w="2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22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RST / RLC</w:t>
            </w:r>
          </w:p>
        </w:tc>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RST Engineering Manager</w:t>
            </w:r>
          </w:p>
        </w:tc>
        <w:tc>
          <w:tcPr>
            <w:tcW w:type="dxa" w:w="2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22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RST / RLC</w:t>
            </w:r>
          </w:p>
        </w:tc>
        <w:tc>
          <w:tcPr>
            <w:tcW w:type="dxa" w:w="28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Product Owner</w:t>
            </w:r>
          </w:p>
        </w:tc>
        <w:tc>
          <w:tcPr>
            <w:tcW w:type="dxa" w:w="2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bl>
    <w:p>
      <w:pPr>
        <w:spacing w:after="500"/>
      </w:pPr>
    </w:p>
    <w:p>
      <w:pPr>
        <w:pStyle w:val="Heading2"/>
      </w:pPr>
      <w:r>
        <w:rPr>
          <w:rFonts w:ascii="Calibri" w:cs="Calibri" w:eastAsia="Calibri" w:hAnsi="Calibri"/>
          <w:b w:val="false"/>
          <w:bCs w:val="false"/>
          <w:i w:val="false"/>
          <w:iCs w:val="false"/>
          <w:color w:val="222222"/>
          <w:sz w:val="21"/>
          <w:szCs w:val="21"/>
        </w:rPr>
        <w:t xml:space="preserve">Revision History</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1100"/>
        <w:gridCol w:w="1600"/>
        <w:gridCol w:w="2400"/>
        <w:gridCol w:w="4260"/>
      </w:tblGrid>
      <w:tr>
        <w:trPr>
          <w:cantSplit/>
          <w:tblHeader/>
        </w:trPr>
        <w:tc>
          <w:tcPr>
            <w:tcW w:type="dxa" w:w="11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Version</w:t>
            </w:r>
          </w:p>
        </w:tc>
        <w:tc>
          <w:tcPr>
            <w:tcW w:type="dxa" w:w="16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Date</w:t>
            </w:r>
          </w:p>
        </w:tc>
        <w:tc>
          <w:tcPr>
            <w:tcW w:type="dxa" w:w="24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Author</w:t>
            </w:r>
          </w:p>
        </w:tc>
        <w:tc>
          <w:tcPr>
            <w:tcW w:type="dxa" w:w="42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Description</w:t>
            </w:r>
          </w:p>
        </w:tc>
      </w:tr>
      <w:tr>
        <w:trPr>
          <w:cantSplit/>
        </w:trPr>
        <w:tc>
          <w:tcPr>
            <w:tcW w:type="dxa" w:w="11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w:t>
            </w:r>
          </w:p>
        </w:tc>
        <w:tc>
          <w:tcPr>
            <w:tcW w:type="dxa" w:w="16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22-Sep-2026</w:t>
            </w:r>
          </w:p>
        </w:tc>
        <w:tc>
          <w:tcPr>
            <w:tcW w:type="dxa" w:w="24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tech team</w:t>
            </w:r>
          </w:p>
        </w:tc>
        <w:tc>
          <w:tcPr>
            <w:tcW w:type="dxa" w:w="42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Initial issue for review and sign-off. Fixed-width layout.</w:t>
            </w:r>
          </w:p>
        </w:tc>
      </w:tr>
      <w:tr>
        <w:trPr>
          <w:cantSplit/>
        </w:trPr>
        <w:tc>
          <w:tcPr>
            <w:tcW w:type="dxa" w:w="11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16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4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42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11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16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4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42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0" w:sz="4"/>
      </w:pBdr>
      <w:spacing w:before="110"/>
      <w:jc w:val="center"/>
    </w:pPr>
    <w:r>
      <w:rPr>
        <w:rFonts w:ascii="Calibri" w:cs="Calibri" w:eastAsia="Calibri" w:hAnsi="Calibri"/>
        <w:b w:val="false"/>
        <w:bCs w:val="false"/>
        <w:i w:val="false"/>
        <w:iCs w:val="false"/>
        <w:color w:val="6A7688"/>
        <w:sz w:val="16"/>
        <w:szCs w:val="16"/>
      </w:rPr>
      <w:t xml:space="preserve">CL7 → RST/RLC Collateral-to-Loan Linkage — Flat File Specification  |  Page </w:t>
    </w:r>
    <w:r>
      <w:rPr>
        <w:rFonts w:ascii="Calibri" w:cs="Calibri" w:eastAsia="Calibri" w:hAnsi="Calibri"/>
        <w:color w:val="6A7688"/>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6A7688"/>
        <w:sz w:val="16"/>
        <w:szCs w:val="16"/>
      </w:rPr>
      <w:t xml:space="preserve"> of </w:t>
    </w:r>
    <w:r>
      <w:rPr>
        <w:rFonts w:ascii="Calibri" w:cs="Calibri" w:eastAsia="Calibri" w:hAnsi="Calibri"/>
        <w:color w:val="6A76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after="140" w:line="264"/>
      </w:pPr>
    </w:pPrDefault>
  </w:docDefaults>
  <w:style w:type="paragraph" w:styleId="Title">
    <w:name w:val="Title"/>
    <w:basedOn w:val="Normal"/>
    <w:next w:val="Normal"/>
    <w:qFormat/>
    <w:pPr>
      <w:spacing w:after="120"/>
    </w:pPr>
    <w:rPr>
      <w:rFonts w:ascii="Calibri Light" w:cs="Calibri Light" w:eastAsia="Calibri Light" w:hAnsi="Calibri Light"/>
      <w:b/>
      <w:bCs/>
      <w:color w:val="1F3864"/>
      <w:sz w:val="64"/>
      <w:szCs w:val="64"/>
    </w:rPr>
  </w:style>
  <w:style w:type="paragraph" w:styleId="Heading1">
    <w:name w:val="Heading 1"/>
    <w:basedOn w:val="Normal"/>
    <w:next w:val="Normal"/>
    <w:qFormat/>
    <w:pPr>
      <w:keepNext/>
      <w:spacing w:after="180" w:before="360" w:line="264"/>
      <w:outlineLvl w:val="0"/>
    </w:pPr>
    <w:rPr>
      <w:rFonts w:ascii="Calibri Light" w:cs="Calibri Light" w:eastAsia="Calibri Light" w:hAnsi="Calibri Light"/>
      <w:b/>
      <w:bCs/>
      <w:color w:val="1F3864"/>
      <w:sz w:val="30"/>
      <w:szCs w:val="30"/>
    </w:rPr>
  </w:style>
  <w:style w:type="paragraph" w:styleId="Heading2">
    <w:name w:val="Heading 2"/>
    <w:basedOn w:val="Normal"/>
    <w:next w:val="Normal"/>
    <w:qFormat/>
    <w:pPr>
      <w:keepNext/>
      <w:spacing w:after="140" w:before="260" w:line="264"/>
      <w:outlineLvl w:val="1"/>
    </w:pPr>
    <w:rPr>
      <w:rFonts w:ascii="Calibri Light" w:cs="Calibri Light" w:eastAsia="Calibri Light" w:hAnsi="Calibri Light"/>
      <w:b/>
      <w:bCs/>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CL7 (Collate ETL) to RST/RLC — Flat File Specification Document</dc:title>
  <dc:creator>CL7 tech team</dc:creator>
  <dc:description>Fixed-width flat file specification, record length 397</dc:description>
  <cp:lastModifiedBy>Un-named</cp:lastModifiedBy>
  <cp:revision>1</cp:revision>
  <dcterms:created xsi:type="dcterms:W3CDTF">2026-09-24T01:09:22.835Z</dcterms:created>
  <dcterms:modified xsi:type="dcterms:W3CDTF">2026-09-24T01:09:22.844Z</dcterms:modified>
</cp:coreProperties>
</file>

<file path=docProps/custom.xml><?xml version="1.0" encoding="utf-8"?>
<Properties xmlns="http://schemas.openxmlformats.org/officeDocument/2006/custom-properties" xmlns:vt="http://schemas.openxmlformats.org/officeDocument/2006/docPropsVTypes"/>
</file>