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18"/>
          <w:szCs w:val="18"/>
        </w:rPr>
        <w:t xml:space="preserve">M&amp;T BANK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Flat File Specification</w:t>
      </w:r>
    </w:p>
    <w:p>
      <w:pPr>
        <w:pBdr>
          <w:bottom w:val="single" w:color="2E74B5" w:sz="12"/>
        </w:pBdr>
        <w:spacing w:after="24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32"/>
          <w:szCs w:val="32"/>
        </w:rPr>
        <w:t xml:space="preserve">CL7 (Collate ETL) → RST / RLC</w:t>
      </w:r>
    </w:p>
    <w:p>
      <w:pPr>
        <w:spacing w:after="7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Real Estate Collateral-to-Loan Linkage — AFS Populations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Source Application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CL7 (Collate ETL)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Target Application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RST / RLC  —  App Code: RST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Interface Type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Flat file, pipe-delimited with header record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Frequency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Daily, business days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September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Ajay — Solutions Developer, CL7</w:t>
            </w:r>
          </w:p>
        </w:tc>
      </w:tr>
    </w:tbl>
    <w:p>
      <w:pPr>
        <w:spacing w:after="5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This document defines the interface contract between CL7 and RST/RLC. Sections 4 through 8 are the technical contract: the selection logic, file characteristics, record layout and field mapping that both applications will build against.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Purpose and Scope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document defines the flat file interface by which CL7 (Collate ETL) delivers real estate collateral-to-loan linkage data to the RST/RLC application. Collate is the system of record for loan-to-collateral relationships. CL7 sources, transforms and delivers that linkage data to RST/RLC for AFS populations only, on a daily cadence.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1.1 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layout and field definitions of the outbound linkage file (14 fields).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Record selection and exclusion criteria applied by CL7 before file generation.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File characteristics, naming and delivery.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Field-level traceability from Collate Data Views to STOC target fields.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1.2 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Implementation of the CL7 ETL logic and file generation routines.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RST/RLC internal ingestion design and downstream reporting.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Non-AFS populations and non-real-estate collateral types.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Any return or acknowledgement file from RST/RLC to CL7.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1.3  Glossary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Collate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 of record for loan-to-collateral relationships.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CL7</w:t>
            </w:r>
          </w:p>
        </w:tc>
        <w:tc>
          <w:tcPr>
            <w:tcW w:type="dxa" w:w="7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Collate ETL — the integration platform sourcing and delivering Collate data.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RST / RLC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consuming application receiving this file. App Code: RST.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STOC</w:t>
            </w:r>
          </w:p>
        </w:tc>
        <w:tc>
          <w:tcPr>
            <w:tcW w:type="dxa" w:w="7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legacy target data structure within RST/RLC to which each file field is mapped.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AFS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Source loan platform whose population is in scope for this interface.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LED</w:t>
            </w:r>
          </w:p>
        </w:tc>
        <w:tc>
          <w:tcPr>
            <w:tcW w:type="dxa" w:w="7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Lien-related filing record within Collate.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ABOC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Abundance of Caution — collateral taken as additional protection, excluded from this file.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7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business date for which the file contents are valid.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Integration Overview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Interface name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CL7 Collateral-to-Loan Linkage Extract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Outbound — CL7 to RST/RLC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Collate, via CL7 (Collate ETL)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Target system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RST / RLC (App Code: RST)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Interface type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Flat file (batch)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Physical format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Pipe-delimited, with header and trailer records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Delivery channel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SFTP / Managed File Transfer — push from CL7 to RST/RLC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Frequency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Daily, business days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Target delivery time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Approximately 08:00 ET, following completion of upstream CL7 processing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Extract pattern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extract — each file contains the complete qualifying population as of the as-of date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Automic batch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Source Data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file is sourced from the following Collate Data Views: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Collate Data View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this interface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REAL_ESTATE_ASSET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estate collateral attributes — property type, occupancy, country.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LED_ASSET</w:t>
            </w:r>
          </w:p>
        </w:tc>
        <w:tc>
          <w:tcPr>
            <w:tcW w:type="dxa" w:w="6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Association between LED records and collateral assets.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LED_EXPOSURE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Association between LED records and exposures; carries the ABOC indicator.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EXPOSURE</w:t>
            </w:r>
          </w:p>
        </w:tc>
        <w:tc>
          <w:tcPr>
            <w:tcW w:type="dxa" w:w="6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Loan and exposure level data, including external reference identifiers.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following supporting Collate structures are referenced by the selection logic in Section 4 and the field mappings in Section 8: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this interface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 system identifiers — nCino, CASSETID, obligor and obligation keys.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</w:t>
            </w:r>
          </w:p>
        </w:tc>
        <w:tc>
          <w:tcPr>
            <w:tcW w:type="dxa" w:w="6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 address components.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REG_FILING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Registration and lien filing data, including LED status and perfection.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3.1  Record Grain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One record represents one loan-to-collateral relationship, uniquely identified by Loan ID and Collate Asset ID together. A loan secured by several properties produces one record per property, and a property securing several loans produces one record per loan. Repeating values in either column are therefore expected and are not a data error.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Selection and Exclusion Logic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CL7 applies all of the criteria below. A record is included in the file only where every criterion is satisfied.</w:t>
      </w:r>
    </w:p>
    <w:p>
      <w:pPr>
        <w:spacing w:after="80"/>
      </w:pP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700"/>
        <w:gridCol w:w="4600"/>
        <w:gridCol w:w="40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40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Intent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EXTERNAL_REFERENCE.EXTERNAL_ID = AFS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 AFS population only.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REAL_ESTATE_ASSET.REAL_ESTATE_DETAILS_DROPDOWN1 = 2</w:t>
            </w:r>
          </w:p>
        </w:tc>
        <w:tc>
          <w:tcPr>
            <w:tcW w:type="dxa" w:w="40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Occupancy code = investment.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LED_EXPOSURE.ABUNDANCE_OF_CAUTION_YN = 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 Abundance of Caution (ABOC) properties.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REAL_ESTATE_ASSET.REAL_ESTATE_PROPERTY_TYPE_CODE IN (AL2–AL12)</w:t>
            </w:r>
          </w:p>
        </w:tc>
        <w:tc>
          <w:tcPr>
            <w:tcW w:type="dxa" w:w="40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Perfected real estate collateral only.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REG_FILING.REGISTRATION_DATA &gt; regFilingCustomDropdown2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Perfected LEDs only.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Balance criteria</w:t>
            </w:r>
          </w:p>
        </w:tc>
        <w:tc>
          <w:tcPr>
            <w:tcW w:type="dxa" w:w="40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 paid-off loans.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File Characteristics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Physical format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Pipe-delimited (variable length)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Field delimiter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  |  (0x7C)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Text qualifier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None. The delimiter is prohibited in data and is removed by CL7 before write.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Record terminator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CRLF (0x0D 0x0A)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Character encoding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UTF-8, without byte order mark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Header record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— one record of field names (Section 5.1)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Trailer record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— record count (Section 5.2)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Field count per record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Field order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Fixed, as listed in Section 7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Empty value representation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Zero-length string between delimiters. No literal NULL token.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Leading / trailing spaces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Trimmed by CL7 before write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Embedded line breaks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Prohibited. Replaced with a single space by CL7.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File extension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.txt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67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 transit, provided by the MFT channel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5.1  Header Record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first record of every file is a header carrying the 14 field names, in order, separated by the field delimiter:</w:t>
      </w:r>
    </w:p>
    <w:p>
      <w:pPr>
        <w:spacing w:after="140"/>
        <w:ind w:left="200"/>
      </w:pPr>
      <w:r>
        <w:rPr>
          <w:rFonts w:ascii="Consolas" w:cs="Consolas" w:eastAsia="Consolas" w:hAnsi="Consolas"/>
          <w:b w:val="false"/>
          <w:bCs w:val="false"/>
          <w:color w:val="1A1A1A"/>
          <w:sz w:val="14"/>
          <w:szCs w:val="14"/>
        </w:rPr>
        <w:t xml:space="preserve">LOAN_ID|NCINO_COLLATERAL_ID|COLLATE_ASSET_ID|OBLIGOR_NUMBER|OBLIGATION_NUMBER|LED_STATUS|PROPERTY_ADDRESS_1|PROPERTY_ADDRESS_2|PROPERTY_ADDRESS_3|CITY|STATE|ZIP_POSTAL_CODE|COUNTRY_CODE|COUNTRY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header is fixed and does not vary between files. RST/RLC may use it to verify field order on receipt.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5.2  Trailer Record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last record of every file is a trailer carrying the count of detail records, which allows RST/RLC to confirm the file was received complete:</w:t>
      </w:r>
    </w:p>
    <w:p>
      <w:pPr>
        <w:spacing w:after="140"/>
        <w:ind w:left="200"/>
      </w:pPr>
      <w:r>
        <w:rPr>
          <w:rFonts w:ascii="Consolas" w:cs="Consolas" w:eastAsia="Consolas" w:hAnsi="Consolas"/>
          <w:b w:val="false"/>
          <w:bCs w:val="false"/>
          <w:color w:val="1A1A1A"/>
          <w:sz w:val="17"/>
          <w:szCs w:val="17"/>
        </w:rPr>
        <w:t xml:space="preserve">TRAILER|&lt;detail record count&gt;|&lt;as-of date YYYYMMDD&gt;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The count excludes the header and trailer records themselves. Where the count does not match the detail records received, RST/RLC should reject the file in full rather than perform a partial load.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5.3  File Naming Convention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file name carries the as-of date and the time of generation:</w:t>
      </w:r>
    </w:p>
    <w:p>
      <w:pPr>
        <w:spacing w:after="140"/>
        <w:ind w:left="20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CL7_RST_COLLATERAL_LOAN_LINKAGE_&lt;YYYYMMDD&gt;_&lt;HHMMSS&gt;_&lt;NNN&gt;.txt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7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YYYYMMDD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As-of business date of the data, not the date the file was physically written.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HHMMSS</w:t>
            </w:r>
          </w:p>
        </w:tc>
        <w:tc>
          <w:tcPr>
            <w:tcW w:type="dxa" w:w="71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 of file generation, Eastern Time, 24-hour clock.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NNN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Sequence number, zero-padded, starting at 001. Incremented only where a file is reissued for the same as-of date, in which case the highest sequence number supersedes all earlier files for that date in full.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Example:  </w:t>
      </w:r>
      <w:r>
        <w:rPr>
          <w:rFonts w:ascii="Consolas" w:cs="Consolas" w:eastAsia="Consolas" w:hAnsi="Consolas"/>
          <w:b w:val="false"/>
          <w:bCs w:val="false"/>
          <w:color w:val="1A1A1A"/>
          <w:sz w:val="18"/>
          <w:szCs w:val="18"/>
        </w:rPr>
        <w:t xml:space="preserve">CL7_RST_COLLATERAL_LOAN_LINKAGE_20260921_080000_001.txt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5.4  Trigger File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CL7 writes the data file first and, only on successful completion, writes a zero-byte trigger file carrying the same base name with a .done extension. RST/RLC should not begin ingestion until the trigger file is present, which prevents a partially written file from being picked up.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 Data Types and Conventions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Field types in Section 7 describe the content of the file, not the storage type in either application. AN denotes an alphanumeric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Length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is the maximum number of characters a value will occupy. Values shorter than the maximum are delivered at their natural length; the field is not padded.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Identifiers are alphanumeric, not numeric.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Loan ID, Obligor Number and Obligation Number may carry leading zeros which are significant and are preserved in the file. They must not be parsed as numbers on receipt.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Mandatory (M)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fields are populated on every record.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Optional (O)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fields may be delivered empty.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Truncation.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Where a source value exceeds the maximum length, CL7 truncates on the right and logs the occurrence. The record is still delivered.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Address is delivered as discrete fields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— Address 1, Address 2, Address 3, City, State and ZIP are separate fields and are never concatenated into a single address string.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Prohibited characters.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The pipe character, carriage return, line feed and non-printable control characters are removed or replaced by CL7 before the file is written.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 Record Layout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Fourteen fields, delivered in the order shown. The header record carries the field names in the Header Name column.</w:t>
      </w:r>
    </w:p>
    <w:p>
      <w:pPr>
        <w:spacing w:after="80"/>
      </w:pP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420"/>
        <w:gridCol w:w="1800"/>
        <w:gridCol w:w="2200"/>
        <w:gridCol w:w="700"/>
        <w:gridCol w:w="700"/>
        <w:gridCol w:w="520"/>
        <w:gridCol w:w="3020"/>
      </w:tblGrid>
      <w:tr>
        <w:trPr>
          <w:tblHeader/>
        </w:trPr>
        <w:tc>
          <w:tcPr>
            <w:tcW w:type="dxa" w:w="4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Header Name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Len</w:t>
            </w:r>
          </w:p>
        </w:tc>
        <w:tc>
          <w:tcPr>
            <w:tcW w:type="dxa" w:w="5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30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Loan 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LOAN_ID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AFS loan identifier. Delivered as held in Collate; leading zeros are significant and are preserved.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nCino Collateral ID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NCINO_COLLATERAL_ID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nCino record identifier.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Collate Asset 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COLLATE_ASSET_ID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Collate asset identifier (CASSETID).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Obligor Number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OBLIGOR_NUMBER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AFS obligor identifier. Leading zeros preserved.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Obligation Number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OBLIGATION_NUMBER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AFS obligation identifier. Leading zeros preserved.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LED Status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LED_STATUS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Lien filing status, passed through unaltered from Collate.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PROPERTY_ADDRESS_1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line of the property address.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2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PROPERTY_ADDRESS_2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Second line. Empty where Collate holds no value.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PROPERTY_ADDRESS_3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Third line. Empty where Collate holds no value.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CITY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 city.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STATE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USPS two-character state code, uppercase.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ZIP / Postal Code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ZIP_POSTAL_CODE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Delivered unformatted, without hyphen.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Country Code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COUNTRY_CODE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Country code as held in Collate.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COUNTRY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</w:t>
            </w:r>
          </w:p>
        </w:tc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30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Country name as held in Collate.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 Traceability Matrix — Collate to STOC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Field-by-field lineage from the Collate Data View source to the RST/RLC STOC target, per the agreed data mapping document.</w:t>
      </w:r>
    </w:p>
    <w:p>
      <w:pPr>
        <w:spacing w:after="80"/>
      </w:pP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420"/>
        <w:gridCol w:w="1820"/>
        <w:gridCol w:w="4120"/>
        <w:gridCol w:w="3000"/>
      </w:tblGrid>
      <w:tr>
        <w:trPr>
          <w:tblHeader/>
        </w:trPr>
        <w:tc>
          <w:tcPr>
            <w:tcW w:type="dxa" w:w="4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Field</w:t>
            </w:r>
          </w:p>
        </w:tc>
        <w:tc>
          <w:tcPr>
            <w:tcW w:type="dxa" w:w="41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(Collate)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STOC Mapping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Loan ID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EXPOSURE.EXPOSURE_EXTERNAL_REFERENCES → JSON key LOANID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LOAN_ACCOUNTS.OBLIGATION_NO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nCino Collateral ID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EXTERNAL_REFERENCE.EXTERNAL_ID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Collate Asset ID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EXTERNAL_REFERENCE.EXTERNAL_ID (CASSETID key)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Obligor Number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EXTERNAL_REFERENCE.EXTERNAL_ID (key code specific)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LOAN_ACCOUNTS.OBLIGOR_NO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Obligation Number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EXTERNAL_REFERENCE.EXTERNAL_ID (key code specific)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LOAN_COLLATERAL.OBLIGATION_NO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LED Status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REG_FILING.REGISTRATION_DATA &gt; regFilingCustomText2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LIEN_FILINGS.FILE_STATUS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1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ADDRESS.ADMIN_AREA_L3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COLL_RE.PROPERTY_ADDR1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2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ADDRESS.ADMIN_AREA_L4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COLL_RE.PROPERTY_ADDR2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Property Address 3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ADDRESS.ADMIN_AREA_L5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COLL_RE.PROPERTY_ADDR3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ADDRESS.LOCALITY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COLL_RE.PROPERTY_ADDR4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ADDRESS.ADMIN_AREA_L1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COLL_RE.STATE_CODE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ZIP / Postal Code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ADDRESS.POST_CODE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COLL_RE.POST_CODE_1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Country Code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REAL_ESTATE_ASSET.REAL_ESTATE_COUNTRY_CODE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4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412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REAL_ESTATE_ASSET.REAL_ESTATE_COUNTRY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Fields 2, 3, 13 and 14 carry no STOC mapping. They are delivered as Collate reference and audit values.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 Functional Requirements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FR1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file name includes an as-of date and time stamp, per the convention in Section 5.3.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FR2</w:t>
            </w:r>
          </w:p>
        </w:tc>
        <w:tc>
          <w:tcPr>
            <w:tcW w:type="dxa" w:w="86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Where no records qualify, no file is sent to RST/RLC.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FR3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file is delivered daily on business days, targeting approximately 08:00 AM ET. Exact timing is dependent on upstream processing completion.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FR4</w:t>
            </w:r>
          </w:p>
        </w:tc>
        <w:tc>
          <w:tcPr>
            <w:tcW w:type="dxa" w:w="86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 is delivered as separate fields: Address 1, Address 2, Address 3, City, State and ZIP.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9.1  Zero-Record Behaviour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Per FR2, on a business day where no records satisfy the selection criteria in Section 4, CL7 does not generate or deliver a file. No empty file and no trigger file are produced.</w:t>
      </w:r>
    </w:p>
    <w:p>
      <w:pPr>
        <w:spacing w:after="80"/>
      </w:pPr>
    </w:p>
    <w:tbl>
      <w:tblPr>
        <w:tblW w:type="dxa" w:w="9360"/>
        <w:tblBorders>
          <w:top w:val="single" w:color="9FC0E0" w:sz="4"/>
          <w:left w:val="single" w:color="2E74B5" w:sz="18"/>
          <w:bottom w:val="single" w:color="9FC0E0" w:sz="4"/>
          <w:right w:val="single" w:color="9FC0E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Because no file is sent on a zero-record day, the absence of a file is not by itself an indication of failure. RST/RLC should not raise a missing-file alert on that basis alone. CL7 will confirm the run outcome through its own batch monitoring, and will notify RST/RLC where a scheduled run does not complete.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Appendix A.  Sample File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Illustrative file containing a header record, five detail records and a trailer. Values are fictitious and are shown to illustrate structure only.</w:t>
      </w:r>
    </w:p>
    <w:p>
      <w:pPr>
        <w:spacing w:after="100"/>
      </w:pP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LOAN_ID|NCINO_COLLATERAL_ID|COLLATE_ASSET_ID|OBLIGOR_NUMBER|OBLIGATION_NUMBER|LED_STATUS|PROPERTY_ADDRESS_1|PROPERTY_ADDRESS_2|PROPERTY_ADDRESS_3|CITY|STATE|ZIP_POSTAL_CODE|COUNTRY_CODE|COUNTRY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0012345678|a0X5f000000ABCDE|CAS0000123456|0009988776|0004455667|PERFECTED|100 Main Street|Suite 400||Buffalo|NY|14203|USA|United States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0012345678|a0X5f000000FGHIJ|CAS0000123457|0009988776|0004455668|PERFECTED|2200 Delaware Avenue|||Buffalo|NY|14216|USA|United States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0098765432|a0X5f000000KLMNO|CAS0000987654|0001122334|0007788990|PERFECTED|45 Seneca Street|||Rochester|NY|146040000|USA|United States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0055512345|a0X5f000000PQRST|CAS0000555123|0004455661|0002233445|FILED|1 Innovation Way, Building C|Attn: Property Mgmt||Amherst|NY|14228|USA|United States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0077788899|a0X5f000000UVWXY|CAS0000777888|0006677889|0009900112|PERFECTED|8900 Transit Road Commercial Plaza East|Unit 12B|Parcel 3|East Amherst|NY|14051|USA|United States</w:t>
      </w:r>
    </w:p>
    <w:p>
      <w:pPr>
        <w:spacing w:after="90"/>
        <w:ind w:left="120"/>
      </w:pPr>
      <w:r>
        <w:rPr>
          <w:rFonts w:ascii="Consolas" w:cs="Consolas" w:eastAsia="Consolas" w:hAnsi="Consolas"/>
          <w:b w:val="false"/>
          <w:bCs w:val="false"/>
          <w:color w:val="1A1A1A"/>
          <w:sz w:val="13"/>
          <w:szCs w:val="13"/>
        </w:rPr>
        <w:t xml:space="preserve">TRAILER|5|20260921</w:t>
      </w:r>
    </w:p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Points to note in the sample: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Records 1 and 2 share a Loan 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— one loan secured by two properties, per the record grain in Section 3.1.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Records 2 and 3 show consecutive delimiters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— Address 2 and Address 3 are empty for those properties.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Record 4 contains a comma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in the address. No quoting or escaping is applied, as the comma carries no meaning in a pipe-delimited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Leading zeros are present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on the identifier fields and are significant.</w:t>
      </w:r>
    </w:p>
    <w:p>
      <w:pPr>
        <w:spacing w:after="300"/>
      </w:pPr>
    </w:p>
    <w:p>
      <w:pPr>
        <w:pBdr>
          <w:top w:val="single" w:color="2E74B5" w:sz="8"/>
        </w:pBdr>
        <w:spacing w:after="100" w:before="20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End of document.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Review and Sign-off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specification is baselined once all parties below have signed. Any subsequent change to Section 5 (File Characteristics) or Section 7 (Record Layout) requires a new version and a repeat of this sign-off.</w:t>
      </w:r>
    </w:p>
    <w:p>
      <w:pPr>
        <w:spacing w:after="120"/>
      </w:pP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2400"/>
        <w:gridCol w:w="2600"/>
        <w:gridCol w:w="2360"/>
        <w:gridCol w:w="2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Business Owner — Collateral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CL7 Tech Lead</w:t>
            </w:r>
          </w:p>
        </w:tc>
        <w:tc>
          <w:tcPr>
            <w:tcW w:type="dxa" w:w="2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CL7 Developer (Author)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Ajay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RST / RLC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Consuming Application Lead</w:t>
            </w:r>
          </w:p>
        </w:tc>
        <w:tc>
          <w:tcPr>
            <w:tcW w:type="dxa" w:w="23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RST / RLC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Code Product Owner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Revision History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D5DCE8" w:sz="2"/>
          <w:insideV w:val="single" w:color="D5DCE8" w:sz="2"/>
        </w:tblBorders>
      </w:tblPr>
      <w:tblGrid>
        <w:gridCol w:w="1100"/>
        <w:gridCol w:w="1600"/>
        <w:gridCol w:w="2400"/>
        <w:gridCol w:w="42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20-Sep-2026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Ajay (CL7)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Initial issue for review and sign-off.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0" w:sz="4"/>
      </w:pBdr>
      <w:spacing w:before="10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7688"/>
        <w:sz w:val="16"/>
        <w:szCs w:val="16"/>
      </w:rPr>
      <w:t xml:space="preserve">CL7 → RST/RLC Collateral-to-Loan Linkage — Flat File Specification  |  Page </w:t>
    </w:r>
    <w:r>
      <w:rPr>
        <w:rFonts w:ascii="Calibri" w:cs="Calibri" w:eastAsia="Calibri" w:hAnsi="Calibri"/>
        <w:color w:val="6A76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A7688"/>
        <w:sz w:val="16"/>
        <w:szCs w:val="16"/>
      </w:rPr>
      <w:t xml:space="preserve"> of </w:t>
    </w:r>
    <w:r>
      <w:rPr>
        <w:rFonts w:ascii="Calibri" w:cs="Calibri" w:eastAsia="Calibri" w:hAnsi="Calibri"/>
        <w:color w:val="6A76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CL7 to RST/RLC Collateral-to-Loan Linkage — Flat File Specification</dc:title>
  <dc:creator>Ajay — CL7 / Collate ETL</dc:creator>
  <cp:lastModifiedBy>Un-named</cp:lastModifiedBy>
  <cp:revision>1</cp:revision>
  <dcterms:created xsi:type="dcterms:W3CDTF">2026-09-20T23:53:46.025Z</dcterms:created>
  <dcterms:modified xsi:type="dcterms:W3CDTF">2026-09-20T23:53:46.025Z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