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00"/>
      </w:pPr>
      <w:r>
        <w:rPr>
          <w:rFonts w:ascii="Calibri" w:cs="Calibri" w:eastAsia="Calibri" w:hAnsi="Calibri"/>
          <w:b/>
          <w:bCs/>
          <w:i w:val="false"/>
          <w:iCs w:val="false"/>
          <w:color w:val="2E74B5"/>
          <w:sz w:val="18"/>
          <w:szCs w:val="18"/>
        </w:rPr>
        <w:t xml:space="preserve">M&amp;T BANK</w:t>
      </w:r>
    </w:p>
    <w:p>
      <w:pPr>
        <w:spacing w:after="60"/>
      </w:pPr>
      <w:r>
        <w:rPr>
          <w:rFonts w:ascii="Calibri" w:cs="Calibri" w:eastAsia="Calibri" w:hAnsi="Calibri"/>
          <w:b/>
          <w:bCs/>
          <w:color w:val="1F3864"/>
          <w:sz w:val="52"/>
          <w:szCs w:val="52"/>
        </w:rPr>
        <w:t xml:space="preserve">Flat File Specification</w:t>
      </w:r>
    </w:p>
    <w:p>
      <w:pPr>
        <w:pBdr>
          <w:bottom w:val="single" w:color="2E74B5" w:sz="12"/>
        </w:pBdr>
        <w:spacing w:after="240"/>
      </w:pPr>
    </w:p>
    <w:p>
      <w:pPr>
        <w:spacing w:after="100"/>
      </w:pPr>
      <w:r>
        <w:rPr>
          <w:rFonts w:ascii="Calibri" w:cs="Calibri" w:eastAsia="Calibri" w:hAnsi="Calibri"/>
          <w:b/>
          <w:bCs/>
          <w:color w:val="333333"/>
          <w:sz w:val="32"/>
          <w:szCs w:val="32"/>
        </w:rPr>
        <w:t xml:space="preserve">CL7 (Collate ETL) → RST / RLC</w:t>
      </w:r>
    </w:p>
    <w:p>
      <w:pPr>
        <w:spacing w:after="700"/>
      </w:pPr>
      <w:r>
        <w:rPr>
          <w:rFonts w:ascii="Calibri" w:cs="Calibri" w:eastAsia="Calibri" w:hAnsi="Calibri"/>
          <w:color w:val="555555"/>
          <w:sz w:val="24"/>
          <w:szCs w:val="24"/>
        </w:rPr>
        <w:t xml:space="preserve">Real Estate Collateral-to-Loan Linkage — AFS Populations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600"/>
        <w:gridCol w:w="6760"/>
      </w:tblGrid>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Source Application</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CL7 (Collate ETL)</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Target Application</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RST / RLC  —  App Code: RST</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Interface Type</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Flat file, fixed-width</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Record Length</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450 characters</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Frequency</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Daily, business days</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Document Version</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1.0</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Document Date</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21 September 2026</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Prepared By</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Ajay — Solutions Developer, CL7</w:t>
            </w:r>
          </w:p>
        </w:tc>
      </w:tr>
    </w:tbl>
    <w:p>
      <w:pPr>
        <w:spacing w:after="500"/>
      </w:pPr>
    </w:p>
    <w:p>
      <w:pPr>
        <w:spacing w:after="120" w:before="0" w:line="276"/>
      </w:pPr>
      <w:r>
        <w:rPr>
          <w:rFonts w:ascii="Calibri" w:cs="Calibri" w:eastAsia="Calibri" w:hAnsi="Calibri"/>
          <w:b w:val="false"/>
          <w:bCs w:val="false"/>
          <w:i w:val="false"/>
          <w:iCs w:val="false"/>
          <w:sz w:val="19"/>
          <w:szCs w:val="19"/>
        </w:rPr>
        <w:t xml:space="preserve">This document defines the interface contract between CL7 and RST/RLC. Sections 4 through 8 are the technical contract: the selection logic, file characteristics, record layout and field mapping that both applications will build against.</w:t>
      </w:r>
    </w:p>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20" w:before="0" w:line="276"/>
      </w:pPr>
      <w:r>
        <w:rPr>
          <w:rFonts w:ascii="Calibri" w:cs="Calibri" w:eastAsia="Calibri" w:hAnsi="Calibri"/>
          <w:b w:val="false"/>
          <w:bCs w:val="false"/>
          <w:i w:val="false"/>
          <w:iCs w:val="false"/>
          <w:sz w:val="20"/>
          <w:szCs w:val="20"/>
        </w:rPr>
        <w:t xml:space="preserve">This document defines the flat file interface by which CL7 (Collate ETL) delivers real estate collateral-to-loan linkage data to the RST/RLC application. Collate is the system of record for loan-to-collateral relationships. CL7 sources, transforms and delivers that linkage data to RST/RLC for AFS populations only, on a daily cadence.</w:t>
      </w:r>
    </w:p>
    <w:p>
      <w:pPr>
        <w:pStyle w:val="Heading2"/>
        <w:spacing w:after="120" w:before="240"/>
      </w:pPr>
      <w:r>
        <w:rPr>
          <w:rFonts w:ascii="Calibri" w:cs="Calibri" w:eastAsia="Calibri" w:hAnsi="Calibri"/>
          <w:b/>
          <w:bCs/>
          <w:color w:val="2E74B5"/>
          <w:sz w:val="23"/>
          <w:szCs w:val="23"/>
        </w:rPr>
        <w:t xml:space="preserve">1.1  In Scope</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The layout and field definitions of the outbound linkage file (14 fields).</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Record selection and exclusion criteria applied by CL7 before file generation.</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File characteristics, naming and delivery.</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Field-level traceability from Collate Data Views to STOC target fields.</w:t>
      </w:r>
    </w:p>
    <w:p>
      <w:pPr>
        <w:pStyle w:val="Heading2"/>
        <w:spacing w:after="120" w:before="240"/>
      </w:pPr>
      <w:r>
        <w:rPr>
          <w:rFonts w:ascii="Calibri" w:cs="Calibri" w:eastAsia="Calibri" w:hAnsi="Calibri"/>
          <w:b/>
          <w:bCs/>
          <w:color w:val="2E74B5"/>
          <w:sz w:val="23"/>
          <w:szCs w:val="23"/>
        </w:rPr>
        <w:t xml:space="preserve">1.2  Out of Scope</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Implementation of the CL7 ETL logic and file generation routines.</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RST/RLC internal ingestion design and downstream reporting.</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Non-AFS populations and non-real-estate collateral types.</w:t>
      </w:r>
    </w:p>
    <w:p>
      <w:pPr>
        <w:pStyle w:val="ListParagraph"/>
        <w:numPr>
          <w:ilvl w:val="0"/>
          <w:numId w:val="2"/>
        </w:numPr>
        <w:spacing w:after="80" w:line="276"/>
      </w:pPr>
      <w:r>
        <w:rPr>
          <w:rFonts w:ascii="Calibri" w:cs="Calibri" w:eastAsia="Calibri" w:hAnsi="Calibri"/>
          <w:b w:val="false"/>
          <w:bCs w:val="false"/>
          <w:i w:val="false"/>
          <w:iCs w:val="false"/>
          <w:sz w:val="20"/>
          <w:szCs w:val="20"/>
        </w:rPr>
        <w:t xml:space="preserve">Any return or acknowledgement file from RST/RLC to CL7.</w:t>
      </w:r>
    </w:p>
    <w:p>
      <w:pPr>
        <w:pStyle w:val="Heading2"/>
        <w:spacing w:after="120" w:before="240"/>
      </w:pPr>
      <w:r>
        <w:rPr>
          <w:rFonts w:ascii="Calibri" w:cs="Calibri" w:eastAsia="Calibri" w:hAnsi="Calibri"/>
          <w:b/>
          <w:bCs/>
          <w:color w:val="2E74B5"/>
          <w:sz w:val="23"/>
          <w:szCs w:val="23"/>
        </w:rPr>
        <w:t xml:space="preserve">1.3  Glossary</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000"/>
        <w:gridCol w:w="7360"/>
      </w:tblGrid>
      <w:tr>
        <w:trPr>
          <w:tblHeader/>
        </w:trPr>
        <w:tc>
          <w:tcPr>
            <w:tcW w:type="dxa" w:w="20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Term</w:t>
            </w:r>
          </w:p>
        </w:tc>
        <w:tc>
          <w:tcPr>
            <w:tcW w:type="dxa" w:w="73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Definition</w:t>
            </w:r>
          </w:p>
        </w:tc>
      </w:tr>
      <w:tr>
        <w:tc>
          <w:tcPr>
            <w:tcW w:type="dxa" w:w="20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Collate</w:t>
            </w:r>
          </w:p>
        </w:tc>
        <w:tc>
          <w:tcPr>
            <w:tcW w:type="dxa" w:w="7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System of record for loan-to-collateral relationships.</w:t>
            </w:r>
          </w:p>
        </w:tc>
      </w:tr>
      <w:tr>
        <w:tc>
          <w:tcPr>
            <w:tcW w:type="dxa" w:w="20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CL7</w:t>
            </w:r>
          </w:p>
        </w:tc>
        <w:tc>
          <w:tcPr>
            <w:tcW w:type="dxa" w:w="7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Collate ETL — the integration platform sourcing and delivering Collate data.</w:t>
            </w:r>
          </w:p>
        </w:tc>
      </w:tr>
      <w:tr>
        <w:tc>
          <w:tcPr>
            <w:tcW w:type="dxa" w:w="20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RST / RLC</w:t>
            </w:r>
          </w:p>
        </w:tc>
        <w:tc>
          <w:tcPr>
            <w:tcW w:type="dxa" w:w="7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The consuming application receiving this file. App Code: RST.</w:t>
            </w:r>
          </w:p>
        </w:tc>
      </w:tr>
      <w:tr>
        <w:tc>
          <w:tcPr>
            <w:tcW w:type="dxa" w:w="20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STOC</w:t>
            </w:r>
          </w:p>
        </w:tc>
        <w:tc>
          <w:tcPr>
            <w:tcW w:type="dxa" w:w="7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The legacy target data structure within RST/RLC to which each file field is mapped.</w:t>
            </w:r>
          </w:p>
        </w:tc>
      </w:tr>
      <w:tr>
        <w:tc>
          <w:tcPr>
            <w:tcW w:type="dxa" w:w="20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AFS</w:t>
            </w:r>
          </w:p>
        </w:tc>
        <w:tc>
          <w:tcPr>
            <w:tcW w:type="dxa" w:w="7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Source loan platform whose population is in scope for this interface.</w:t>
            </w:r>
          </w:p>
        </w:tc>
      </w:tr>
      <w:tr>
        <w:tc>
          <w:tcPr>
            <w:tcW w:type="dxa" w:w="20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LED</w:t>
            </w:r>
          </w:p>
        </w:tc>
        <w:tc>
          <w:tcPr>
            <w:tcW w:type="dxa" w:w="7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Lien-related filing record within Collate.</w:t>
            </w:r>
          </w:p>
        </w:tc>
      </w:tr>
      <w:tr>
        <w:tc>
          <w:tcPr>
            <w:tcW w:type="dxa" w:w="20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ABOC</w:t>
            </w:r>
          </w:p>
        </w:tc>
        <w:tc>
          <w:tcPr>
            <w:tcW w:type="dxa" w:w="7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Abundance of Caution — collateral taken as additional protection, excluded from this file.</w:t>
            </w:r>
          </w:p>
        </w:tc>
      </w:tr>
      <w:tr>
        <w:tc>
          <w:tcPr>
            <w:tcW w:type="dxa" w:w="20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As-of date</w:t>
            </w:r>
          </w:p>
        </w:tc>
        <w:tc>
          <w:tcPr>
            <w:tcW w:type="dxa" w:w="7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The business date for which the file contents are valid.</w:t>
            </w:r>
          </w:p>
        </w:tc>
      </w:tr>
    </w:tbl>
    <w:p>
      <w:r>
        <w:br w:type="page"/>
      </w:r>
    </w:p>
    <w:p>
      <w:pPr>
        <w:pStyle w:val="Heading1"/>
        <w:spacing w:after="160" w:before="320"/>
      </w:pPr>
      <w:r>
        <w:rPr>
          <w:rFonts w:ascii="Calibri" w:cs="Calibri" w:eastAsia="Calibri" w:hAnsi="Calibri"/>
          <w:b/>
          <w:bCs/>
          <w:color w:val="1F3864"/>
          <w:sz w:val="28"/>
          <w:szCs w:val="28"/>
        </w:rPr>
        <w:t xml:space="preserve">2.  Integration Overview</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600"/>
        <w:gridCol w:w="6760"/>
      </w:tblGrid>
      <w:tr>
        <w:trPr>
          <w:tblHeader/>
        </w:trPr>
        <w:tc>
          <w:tcPr>
            <w:tcW w:type="dxa" w:w="26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Attribute</w:t>
            </w:r>
          </w:p>
        </w:tc>
        <w:tc>
          <w:tcPr>
            <w:tcW w:type="dxa" w:w="67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Value</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Interface name</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CL7 Collateral-to-Loan Linkage Extract</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Direction</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Outbound — CL7 to RST/RLC</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Source system</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Collate, via CL7 (Collate ETL)</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Target system</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RST / RLC (App Code: RST)</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Interface type</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Flat file (batch)</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Physical format</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Fixed-width, positional. No header record.</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Record length</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450 characters, excluding the record terminator</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Delivery channel</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SFTP / Managed File Transfer — push from CL7 to RST/RLC</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Frequency</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Daily, business days</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Target delivery time</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Approximately 08:00 ET, following completion of upstream CL7 processing</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Extract pattern</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Full extract — each file contains the complete qualifying population as of the as-of date</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Orchestration</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Automic batch</w:t>
            </w:r>
          </w:p>
        </w:tc>
      </w:tr>
    </w:tbl>
    <w:p>
      <w:pPr>
        <w:spacing w:after="240"/>
      </w:pPr>
    </w:p>
    <w:p>
      <w:pPr>
        <w:pStyle w:val="Heading1"/>
        <w:spacing w:after="160" w:before="320"/>
      </w:pPr>
      <w:r>
        <w:rPr>
          <w:rFonts w:ascii="Calibri" w:cs="Calibri" w:eastAsia="Calibri" w:hAnsi="Calibri"/>
          <w:b/>
          <w:bCs/>
          <w:color w:val="1F3864"/>
          <w:sz w:val="28"/>
          <w:szCs w:val="28"/>
        </w:rPr>
        <w:t xml:space="preserve">3.  Source Data</w:t>
      </w:r>
    </w:p>
    <w:p>
      <w:pPr>
        <w:spacing w:after="120" w:before="0" w:line="276"/>
      </w:pPr>
      <w:r>
        <w:rPr>
          <w:rFonts w:ascii="Calibri" w:cs="Calibri" w:eastAsia="Calibri" w:hAnsi="Calibri"/>
          <w:b w:val="false"/>
          <w:bCs w:val="false"/>
          <w:i w:val="false"/>
          <w:iCs w:val="false"/>
          <w:sz w:val="20"/>
          <w:szCs w:val="20"/>
        </w:rPr>
        <w:t xml:space="preserve">The file is sourced from the following Collate Data Views: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3000"/>
        <w:gridCol w:w="6360"/>
      </w:tblGrid>
      <w:tr>
        <w:trPr>
          <w:tblHeader/>
        </w:trPr>
        <w:tc>
          <w:tcPr>
            <w:tcW w:type="dxa" w:w="30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Collate Data View</w:t>
            </w:r>
          </w:p>
        </w:tc>
        <w:tc>
          <w:tcPr>
            <w:tcW w:type="dxa" w:w="63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Role in this interface</w:t>
            </w:r>
          </w:p>
        </w:tc>
      </w:tr>
      <w:tr>
        <w:tc>
          <w:tcPr>
            <w:tcW w:type="dxa" w:w="30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REAL_ESTATE_ASSET</w:t>
            </w:r>
          </w:p>
        </w:tc>
        <w:tc>
          <w:tcPr>
            <w:tcW w:type="dxa" w:w="6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Real estate collateral attributes — property type, occupancy, country.</w:t>
            </w:r>
          </w:p>
        </w:tc>
      </w:tr>
      <w:tr>
        <w:tc>
          <w:tcPr>
            <w:tcW w:type="dxa" w:w="30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ASSET</w:t>
            </w:r>
          </w:p>
        </w:tc>
        <w:tc>
          <w:tcPr>
            <w:tcW w:type="dxa" w:w="6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Asset-level external references — nCino collateral ID and Collate Asset ID.</w:t>
            </w:r>
          </w:p>
        </w:tc>
      </w:tr>
      <w:tr>
        <w:tc>
          <w:tcPr>
            <w:tcW w:type="dxa" w:w="30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LED_ENTITY</w:t>
            </w:r>
          </w:p>
        </w:tc>
        <w:tc>
          <w:tcPr>
            <w:tcW w:type="dxa" w:w="6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Association between LED records and legal entities.</w:t>
            </w:r>
          </w:p>
        </w:tc>
      </w:tr>
      <w:tr>
        <w:tc>
          <w:tcPr>
            <w:tcW w:type="dxa" w:w="30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LED_EXPOSURE</w:t>
            </w:r>
          </w:p>
        </w:tc>
        <w:tc>
          <w:tcPr>
            <w:tcW w:type="dxa" w:w="6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Association between LED records and exposures; carries the ABOC indicator.</w:t>
            </w:r>
          </w:p>
        </w:tc>
      </w:tr>
      <w:tr>
        <w:tc>
          <w:tcPr>
            <w:tcW w:type="dxa" w:w="30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REG_FILING</w:t>
            </w:r>
          </w:p>
        </w:tc>
        <w:tc>
          <w:tcPr>
            <w:tcW w:type="dxa" w:w="6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Registration and lien filing data, including LED status and perfection.</w:t>
            </w:r>
          </w:p>
        </w:tc>
      </w:tr>
      <w:tr>
        <w:tc>
          <w:tcPr>
            <w:tcW w:type="dxa" w:w="30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EXPOSURE</w:t>
            </w:r>
          </w:p>
        </w:tc>
        <w:tc>
          <w:tcPr>
            <w:tcW w:type="dxa" w:w="6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Loan and exposure level data, including external reference identifiers.</w:t>
            </w:r>
          </w:p>
        </w:tc>
      </w:tr>
    </w:tbl>
    <w:p>
      <w:pPr>
        <w:spacing w:after="160"/>
      </w:pPr>
    </w:p>
    <w:p>
      <w:pPr>
        <w:pStyle w:val="Heading2"/>
        <w:spacing w:after="120" w:before="240"/>
      </w:pPr>
      <w:r>
        <w:rPr>
          <w:rFonts w:ascii="Calibri" w:cs="Calibri" w:eastAsia="Calibri" w:hAnsi="Calibri"/>
          <w:b/>
          <w:bCs/>
          <w:color w:val="2E74B5"/>
          <w:sz w:val="23"/>
          <w:szCs w:val="23"/>
        </w:rPr>
        <w:t xml:space="preserve">3.1  Record Grain</w:t>
      </w:r>
    </w:p>
    <w:p>
      <w:pPr>
        <w:spacing w:after="120" w:before="0" w:line="276"/>
      </w:pPr>
      <w:r>
        <w:rPr>
          <w:rFonts w:ascii="Calibri" w:cs="Calibri" w:eastAsia="Calibri" w:hAnsi="Calibri"/>
          <w:b w:val="false"/>
          <w:bCs w:val="false"/>
          <w:i w:val="false"/>
          <w:iCs w:val="false"/>
          <w:sz w:val="20"/>
          <w:szCs w:val="20"/>
        </w:rPr>
        <w:t xml:space="preserve">One record represents one loan-to-collateral relationship, uniquely identified by Loan ID and Collate Asset ID together. A loan secured by several properties produces one record per property, and a property securing several loans produces one record per loan. Repeating values in either column are therefore expected and are not a data error.</w:t>
      </w:r>
    </w:p>
    <w:p>
      <w:r>
        <w:br w:type="page"/>
      </w:r>
    </w:p>
    <w:p>
      <w:pPr>
        <w:pStyle w:val="Heading1"/>
        <w:spacing w:after="160" w:before="320"/>
      </w:pPr>
      <w:r>
        <w:rPr>
          <w:rFonts w:ascii="Calibri" w:cs="Calibri" w:eastAsia="Calibri" w:hAnsi="Calibri"/>
          <w:b/>
          <w:bCs/>
          <w:color w:val="1F3864"/>
          <w:sz w:val="28"/>
          <w:szCs w:val="28"/>
        </w:rPr>
        <w:t xml:space="preserve">4.  Selection and Exclusion Logic</w:t>
      </w:r>
    </w:p>
    <w:p>
      <w:pPr>
        <w:spacing w:after="120" w:before="0" w:line="276"/>
      </w:pPr>
      <w:r>
        <w:rPr>
          <w:rFonts w:ascii="Calibri" w:cs="Calibri" w:eastAsia="Calibri" w:hAnsi="Calibri"/>
          <w:b w:val="false"/>
          <w:bCs w:val="false"/>
          <w:i w:val="false"/>
          <w:iCs w:val="false"/>
          <w:sz w:val="20"/>
          <w:szCs w:val="20"/>
        </w:rPr>
        <w:t xml:space="preserve">CL7 applies all of the criteria below. A record is included in the file only where every criterion is satisfied.</w:t>
      </w:r>
    </w:p>
    <w:p>
      <w:pPr>
        <w:spacing w:after="8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700"/>
        <w:gridCol w:w="4600"/>
        <w:gridCol w:w="4060"/>
      </w:tblGrid>
      <w:tr>
        <w:trPr>
          <w:tblHeader/>
        </w:trPr>
        <w:tc>
          <w:tcPr>
            <w:tcW w:type="dxa" w:w="7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ID</w:t>
            </w:r>
          </w:p>
        </w:tc>
        <w:tc>
          <w:tcPr>
            <w:tcW w:type="dxa" w:w="46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Logic</w:t>
            </w:r>
          </w:p>
        </w:tc>
        <w:tc>
          <w:tcPr>
            <w:tcW w:type="dxa" w:w="40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Business Intent</w:t>
            </w:r>
          </w:p>
        </w:tc>
      </w:tr>
      <w:tr>
        <w:tc>
          <w:tcPr>
            <w:tcW w:type="dxa" w:w="7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S1</w:t>
            </w:r>
          </w:p>
        </w:tc>
        <w:tc>
          <w:tcPr>
            <w:tcW w:type="dxa" w:w="46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EXTERNAL_REFERENCE.EXTERNAL_ID = AFS</w:t>
            </w:r>
          </w:p>
        </w:tc>
        <w:tc>
          <w:tcPr>
            <w:tcW w:type="dxa" w:w="40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Include AFS population only.</w:t>
            </w:r>
          </w:p>
        </w:tc>
      </w:tr>
      <w:tr>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S2</w:t>
            </w:r>
          </w:p>
        </w:tc>
        <w:tc>
          <w:tcPr>
            <w:tcW w:type="dxa" w:w="46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REAL_ESTATE_ASSET.REAL_ESTATE_DETAILS_DROPDOWN1 = 2</w:t>
            </w:r>
          </w:p>
        </w:tc>
        <w:tc>
          <w:tcPr>
            <w:tcW w:type="dxa" w:w="40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Occupancy code = investment.</w:t>
            </w:r>
          </w:p>
        </w:tc>
      </w:tr>
      <w:tr>
        <w:tc>
          <w:tcPr>
            <w:tcW w:type="dxa" w:w="7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S3</w:t>
            </w:r>
          </w:p>
        </w:tc>
        <w:tc>
          <w:tcPr>
            <w:tcW w:type="dxa" w:w="46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LED_EXPOSURE.ABUNDANCE_OF_CAUTION_YN = 0</w:t>
            </w:r>
          </w:p>
        </w:tc>
        <w:tc>
          <w:tcPr>
            <w:tcW w:type="dxa" w:w="40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Exclude Abundance of Caution (ABOC) properties.</w:t>
            </w:r>
          </w:p>
        </w:tc>
      </w:tr>
      <w:tr>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S4</w:t>
            </w:r>
          </w:p>
        </w:tc>
        <w:tc>
          <w:tcPr>
            <w:tcW w:type="dxa" w:w="46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REAL_ESTATE_ASSET.REAL_ESTATE_PROPERTY_TYPE_CODE IN (AL2–AL12)</w:t>
            </w:r>
          </w:p>
        </w:tc>
        <w:tc>
          <w:tcPr>
            <w:tcW w:type="dxa" w:w="40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Perfected real estate collateral only.</w:t>
            </w:r>
          </w:p>
        </w:tc>
      </w:tr>
      <w:tr>
        <w:tc>
          <w:tcPr>
            <w:tcW w:type="dxa" w:w="7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S5</w:t>
            </w:r>
          </w:p>
        </w:tc>
        <w:tc>
          <w:tcPr>
            <w:tcW w:type="dxa" w:w="46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REG_FILING.REGISTRATION_DATA &gt; regFilingCustomDropdown2</w:t>
            </w:r>
          </w:p>
        </w:tc>
        <w:tc>
          <w:tcPr>
            <w:tcW w:type="dxa" w:w="40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Perfected LEDs only.</w:t>
            </w:r>
          </w:p>
        </w:tc>
      </w:tr>
      <w:tr>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A1</w:t>
            </w:r>
          </w:p>
        </w:tc>
        <w:tc>
          <w:tcPr>
            <w:tcW w:type="dxa" w:w="46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Balance criteria</w:t>
            </w:r>
          </w:p>
        </w:tc>
        <w:tc>
          <w:tcPr>
            <w:tcW w:type="dxa" w:w="40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Exclude paid-off loans.</w:t>
            </w:r>
          </w:p>
        </w:tc>
      </w:tr>
    </w:tbl>
    <w:p>
      <w:pPr>
        <w:spacing w:after="240"/>
      </w:pPr>
    </w:p>
    <w:p>
      <w:pPr>
        <w:pStyle w:val="Heading1"/>
        <w:spacing w:after="160" w:before="320"/>
      </w:pPr>
      <w:r>
        <w:rPr>
          <w:rFonts w:ascii="Calibri" w:cs="Calibri" w:eastAsia="Calibri" w:hAnsi="Calibri"/>
          <w:b/>
          <w:bCs/>
          <w:color w:val="1F3864"/>
          <w:sz w:val="28"/>
          <w:szCs w:val="28"/>
        </w:rPr>
        <w:t xml:space="preserve">5.  File Characteristics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600"/>
        <w:gridCol w:w="6760"/>
      </w:tblGrid>
      <w:tr>
        <w:trPr>
          <w:tblHeader/>
        </w:trPr>
        <w:tc>
          <w:tcPr>
            <w:tcW w:type="dxa" w:w="26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Attribute</w:t>
            </w:r>
          </w:p>
        </w:tc>
        <w:tc>
          <w:tcPr>
            <w:tcW w:type="dxa" w:w="67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Value</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Physical format</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Fixed-width (positional)</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Field delimiter</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None. Fields are identified by character position only.</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Record length</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450 characters on every record, excluding the terminator</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Record terminator</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CRLF (0x0D 0x0A)</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Character encoding</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UTF-8, without byte order mark</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Header record</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None. The record layout in Section 7 defines the field positions.</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Trailer record</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Yes — record count (Section 5.1)</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Field count per record</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14</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Justification</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All fields left-justified</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Padding</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Space (0x20) to the right, to the declared field length</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Empty value representation</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The field is filled with spaces for its full declared length</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Leading / trailing spaces in data</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Source values are trimmed before the field is padded</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Embedded line breaks</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Prohibited. Replaced with a single space by CL7.</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File extension</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.txt</w:t>
            </w:r>
          </w:p>
        </w:tc>
      </w:tr>
      <w:tr>
        <w:tc>
          <w:tcPr>
            <w:tcW w:type="dxa" w:w="26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Compression</w:t>
            </w:r>
          </w:p>
        </w:tc>
        <w:tc>
          <w:tcPr>
            <w:tcW w:type="dxa" w:w="6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None</w:t>
            </w:r>
          </w:p>
        </w:tc>
      </w:tr>
      <w:tr>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Encryption</w:t>
            </w:r>
          </w:p>
        </w:tc>
        <w:tc>
          <w:tcPr>
            <w:tcW w:type="dxa" w:w="6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In transit, provided by the MFT channel</w:t>
            </w:r>
          </w:p>
        </w:tc>
      </w:tr>
    </w:tbl>
    <w:p>
      <w:pPr>
        <w:spacing w:after="160"/>
      </w:pPr>
    </w:p>
    <w:tbl>
      <w:tblPr>
        <w:tblW w:type="dxa" w:w="9360"/>
        <w:tblBorders>
          <w:top w:val="single" w:color="9FC0E0" w:sz="4"/>
          <w:left w:val="single" w:color="2E74B5" w:sz="18"/>
          <w:bottom w:val="single" w:color="9FC0E0" w:sz="4"/>
          <w:right w:val="single" w:color="9FC0E0" w:sz="4"/>
          <w:insideH w:val="none"/>
          <w:insideV w:val="none"/>
        </w:tblBorders>
      </w:tblPr>
      <w:tblGrid>
        <w:gridCol w:w="9360"/>
      </w:tblGrid>
      <w:tr>
        <w:tc>
          <w:tcPr>
            <w:tcW w:type="dxa" w:w="9360"/>
            <w:shd w:fill="EDF3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There is no delimiter and no space separating one field from the next. Each field is padded to its declared length, so the following field always begins at the same character position on every record. Field 1 occupies positions 1–15; field 2 begins at position 16 on every record regardless of the length of the value in field 1.</w:t>
            </w:r>
          </w:p>
        </w:tc>
      </w:tr>
    </w:tbl>
    <w:p>
      <w:pPr>
        <w:pStyle w:val="Heading2"/>
        <w:spacing w:after="120" w:before="240"/>
      </w:pPr>
      <w:r>
        <w:rPr>
          <w:rFonts w:ascii="Calibri" w:cs="Calibri" w:eastAsia="Calibri" w:hAnsi="Calibri"/>
          <w:b/>
          <w:bCs/>
          <w:color w:val="2E74B5"/>
          <w:sz w:val="23"/>
          <w:szCs w:val="23"/>
        </w:rPr>
        <w:t xml:space="preserve">5.1  Trailer Record</w:t>
      </w:r>
    </w:p>
    <w:p>
      <w:pPr>
        <w:spacing w:after="120" w:before="0" w:line="276"/>
      </w:pPr>
      <w:r>
        <w:rPr>
          <w:rFonts w:ascii="Calibri" w:cs="Calibri" w:eastAsia="Calibri" w:hAnsi="Calibri"/>
          <w:b w:val="false"/>
          <w:bCs w:val="false"/>
          <w:i w:val="false"/>
          <w:iCs w:val="false"/>
          <w:sz w:val="20"/>
          <w:szCs w:val="20"/>
        </w:rPr>
        <w:t xml:space="preserve">The last record of every file is a trailer carrying the count of detail records, which allows RST/RLC to confirm the file was received complete. It is padded with spaces to the full record length so that every record in the file is the same length.</w:t>
      </w:r>
    </w:p>
    <w:p>
      <w:pPr>
        <w:spacing w:after="6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1400"/>
        <w:gridCol w:w="1300"/>
        <w:gridCol w:w="1300"/>
        <w:gridCol w:w="5360"/>
      </w:tblGrid>
      <w:tr>
        <w:trPr>
          <w:tblHeader/>
        </w:trPr>
        <w:tc>
          <w:tcPr>
            <w:tcW w:type="dxa" w:w="14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Field</w:t>
            </w:r>
          </w:p>
        </w:tc>
        <w:tc>
          <w:tcPr>
            <w:tcW w:type="dxa" w:w="13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Start</w:t>
            </w:r>
          </w:p>
        </w:tc>
        <w:tc>
          <w:tcPr>
            <w:tcW w:type="dxa" w:w="13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End</w:t>
            </w:r>
          </w:p>
        </w:tc>
        <w:tc>
          <w:tcPr>
            <w:tcW w:type="dxa" w:w="53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Content</w:t>
            </w:r>
          </w:p>
        </w:tc>
      </w:tr>
      <w:tr>
        <w:tc>
          <w:tcPr>
            <w:tcW w:type="dxa" w:w="14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Record type</w:t>
            </w:r>
          </w:p>
        </w:tc>
        <w:tc>
          <w:tcPr>
            <w:tcW w:type="dxa" w:w="13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w:t>
            </w:r>
          </w:p>
        </w:tc>
        <w:tc>
          <w:tcPr>
            <w:tcW w:type="dxa" w:w="13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7</w:t>
            </w:r>
          </w:p>
        </w:tc>
        <w:tc>
          <w:tcPr>
            <w:tcW w:type="dxa" w:w="5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Literal TRAILER</w:t>
            </w:r>
          </w:p>
        </w:tc>
      </w:tr>
      <w:tr>
        <w:tc>
          <w:tcPr>
            <w:tcW w:type="dxa" w:w="14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Record count</w:t>
            </w:r>
          </w:p>
        </w:tc>
        <w:tc>
          <w:tcPr>
            <w:tcW w:type="dxa" w:w="13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8</w:t>
            </w:r>
          </w:p>
        </w:tc>
        <w:tc>
          <w:tcPr>
            <w:tcW w:type="dxa" w:w="13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16</w:t>
            </w:r>
          </w:p>
        </w:tc>
        <w:tc>
          <w:tcPr>
            <w:tcW w:type="dxa" w:w="5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Count of detail records, right-justified and zero-padded</w:t>
            </w:r>
          </w:p>
        </w:tc>
      </w:tr>
      <w:tr>
        <w:tc>
          <w:tcPr>
            <w:tcW w:type="dxa" w:w="14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As-of date</w:t>
            </w:r>
          </w:p>
        </w:tc>
        <w:tc>
          <w:tcPr>
            <w:tcW w:type="dxa" w:w="13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17</w:t>
            </w:r>
          </w:p>
        </w:tc>
        <w:tc>
          <w:tcPr>
            <w:tcW w:type="dxa" w:w="13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24</w:t>
            </w:r>
          </w:p>
        </w:tc>
        <w:tc>
          <w:tcPr>
            <w:tcW w:type="dxa" w:w="5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As-of business date, format YYYYMMDD</w:t>
            </w:r>
          </w:p>
        </w:tc>
      </w:tr>
      <w:tr>
        <w:tc>
          <w:tcPr>
            <w:tcW w:type="dxa" w:w="14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Filler</w:t>
            </w:r>
          </w:p>
        </w:tc>
        <w:tc>
          <w:tcPr>
            <w:tcW w:type="dxa" w:w="13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25</w:t>
            </w:r>
          </w:p>
        </w:tc>
        <w:tc>
          <w:tcPr>
            <w:tcW w:type="dxa" w:w="13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450</w:t>
            </w:r>
          </w:p>
        </w:tc>
        <w:tc>
          <w:tcPr>
            <w:tcW w:type="dxa" w:w="5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Spaces</w:t>
            </w:r>
          </w:p>
        </w:tc>
      </w:tr>
    </w:tbl>
    <w:p>
      <w:pPr>
        <w:spacing w:after="120"/>
      </w:pPr>
    </w:p>
    <w:p>
      <w:pPr>
        <w:spacing w:after="120" w:before="0" w:line="276"/>
      </w:pPr>
      <w:r>
        <w:rPr>
          <w:rFonts w:ascii="Calibri" w:cs="Calibri" w:eastAsia="Calibri" w:hAnsi="Calibri"/>
          <w:b w:val="false"/>
          <w:bCs w:val="false"/>
          <w:i w:val="false"/>
          <w:iCs w:val="false"/>
          <w:sz w:val="19"/>
          <w:szCs w:val="19"/>
        </w:rPr>
        <w:t xml:space="preserve">The count excludes the trailer record itself. Where the count does not match the detail records received, RST/RLC should reject the file in full rather than perform a partial load.</w:t>
      </w:r>
    </w:p>
    <w:p>
      <w:pPr>
        <w:pStyle w:val="Heading2"/>
        <w:spacing w:after="120" w:before="240"/>
      </w:pPr>
      <w:r>
        <w:rPr>
          <w:rFonts w:ascii="Calibri" w:cs="Calibri" w:eastAsia="Calibri" w:hAnsi="Calibri"/>
          <w:b/>
          <w:bCs/>
          <w:color w:val="2E74B5"/>
          <w:sz w:val="23"/>
          <w:szCs w:val="23"/>
        </w:rPr>
        <w:t xml:space="preserve">5.2  File Naming Convention</w:t>
      </w:r>
    </w:p>
    <w:p>
      <w:pPr>
        <w:spacing w:after="120" w:before="0" w:line="276"/>
      </w:pPr>
      <w:r>
        <w:rPr>
          <w:rFonts w:ascii="Calibri" w:cs="Calibri" w:eastAsia="Calibri" w:hAnsi="Calibri"/>
          <w:b w:val="false"/>
          <w:bCs w:val="false"/>
          <w:i w:val="false"/>
          <w:iCs w:val="false"/>
          <w:sz w:val="20"/>
          <w:szCs w:val="20"/>
        </w:rPr>
        <w:t xml:space="preserve">The file name carries the as-of date and the time of generation:</w:t>
      </w:r>
    </w:p>
    <w:p>
      <w:pPr>
        <w:spacing w:after="140"/>
        <w:ind w:left="200"/>
      </w:pPr>
      <w:r>
        <w:rPr>
          <w:rFonts w:ascii="Consolas" w:cs="Consolas" w:eastAsia="Consolas" w:hAnsi="Consolas"/>
          <w:b/>
          <w:bCs/>
          <w:color w:val="1A1A1A"/>
          <w:sz w:val="19"/>
          <w:szCs w:val="19"/>
        </w:rPr>
        <w:t xml:space="preserve">CL7_RST_COLLATERAL_LOAN_LINKAGE_&lt;YYYYMMDD&gt;_&lt;HHMMSS&gt;_&lt;NNN&gt;.txt</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200"/>
        <w:gridCol w:w="7160"/>
      </w:tblGrid>
      <w:tr>
        <w:trPr>
          <w:tblHeader/>
        </w:trPr>
        <w:tc>
          <w:tcPr>
            <w:tcW w:type="dxa" w:w="22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Token</w:t>
            </w:r>
          </w:p>
        </w:tc>
        <w:tc>
          <w:tcPr>
            <w:tcW w:type="dxa" w:w="71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Definition</w:t>
            </w:r>
          </w:p>
        </w:tc>
      </w:tr>
      <w:tr>
        <w:tc>
          <w:tcPr>
            <w:tcW w:type="dxa" w:w="22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YYYYMMDD</w:t>
            </w:r>
          </w:p>
        </w:tc>
        <w:tc>
          <w:tcPr>
            <w:tcW w:type="dxa" w:w="71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As-of business date of the data, not the date the file was physically written.</w:t>
            </w:r>
          </w:p>
        </w:tc>
      </w:tr>
      <w:tr>
        <w:tc>
          <w:tcPr>
            <w:tcW w:type="dxa" w:w="22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HHMMSS</w:t>
            </w:r>
          </w:p>
        </w:tc>
        <w:tc>
          <w:tcPr>
            <w:tcW w:type="dxa" w:w="71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Time of file generation, Eastern Time, 24-hour clock.</w:t>
            </w:r>
          </w:p>
        </w:tc>
      </w:tr>
      <w:tr>
        <w:tc>
          <w:tcPr>
            <w:tcW w:type="dxa" w:w="22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6"/>
                <w:szCs w:val="16"/>
              </w:rPr>
              <w:t xml:space="preserve">NNN</w:t>
            </w:r>
          </w:p>
        </w:tc>
        <w:tc>
          <w:tcPr>
            <w:tcW w:type="dxa" w:w="71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Sequence number, zero-padded, starting at 001. Incremented only where a file is reissued for the same as-of date, in which case the highest sequence number supersedes all earlier files for that date in full.</w:t>
            </w:r>
          </w:p>
        </w:tc>
      </w:tr>
    </w:tbl>
    <w:p>
      <w:pPr>
        <w:spacing w:after="120"/>
      </w:pPr>
    </w:p>
    <w:p>
      <w:pPr>
        <w:spacing w:after="120" w:before="0" w:line="276"/>
      </w:pPr>
      <w:r>
        <w:rPr>
          <w:rFonts w:ascii="Calibri" w:cs="Calibri" w:eastAsia="Calibri" w:hAnsi="Calibri"/>
          <w:b w:val="false"/>
          <w:bCs w:val="false"/>
          <w:i w:val="false"/>
          <w:iCs w:val="false"/>
          <w:sz w:val="19"/>
          <w:szCs w:val="19"/>
        </w:rPr>
        <w:t xml:space="preserve">Example:  </w:t>
      </w:r>
      <w:r>
        <w:rPr>
          <w:rFonts w:ascii="Consolas" w:cs="Consolas" w:eastAsia="Consolas" w:hAnsi="Consolas"/>
          <w:b w:val="false"/>
          <w:bCs w:val="false"/>
          <w:color w:val="1A1A1A"/>
          <w:sz w:val="18"/>
          <w:szCs w:val="18"/>
        </w:rPr>
        <w:t xml:space="preserve">CL7_RST_COLLATERAL_LOAN_LINKAGE_20260921_080000_001.txt</w:t>
      </w:r>
    </w:p>
    <w:p>
      <w:pPr>
        <w:pStyle w:val="Heading2"/>
        <w:spacing w:after="120" w:before="240"/>
      </w:pPr>
      <w:r>
        <w:rPr>
          <w:rFonts w:ascii="Calibri" w:cs="Calibri" w:eastAsia="Calibri" w:hAnsi="Calibri"/>
          <w:b/>
          <w:bCs/>
          <w:color w:val="2E74B5"/>
          <w:sz w:val="23"/>
          <w:szCs w:val="23"/>
        </w:rPr>
        <w:t xml:space="preserve">5.3  Trigger File</w:t>
      </w:r>
    </w:p>
    <w:p>
      <w:pPr>
        <w:spacing w:after="120" w:before="0" w:line="276"/>
      </w:pPr>
      <w:r>
        <w:rPr>
          <w:rFonts w:ascii="Calibri" w:cs="Calibri" w:eastAsia="Calibri" w:hAnsi="Calibri"/>
          <w:b w:val="false"/>
          <w:bCs w:val="false"/>
          <w:i w:val="false"/>
          <w:iCs w:val="false"/>
          <w:sz w:val="20"/>
          <w:szCs w:val="20"/>
        </w:rPr>
        <w:t xml:space="preserve">CL7 writes the data file first and, only on successful completion, writes a zero-byte trigger file carrying the same base name with a .done extension. RST/RLC should not begin ingestion until the trigger file is present, which prevents a partially written file from being picked up.</w:t>
      </w:r>
    </w:p>
    <w:p>
      <w:r>
        <w:br w:type="page"/>
      </w:r>
    </w:p>
    <w:p>
      <w:pPr>
        <w:pStyle w:val="Heading1"/>
        <w:spacing w:after="160" w:before="320"/>
      </w:pPr>
      <w:r>
        <w:rPr>
          <w:rFonts w:ascii="Calibri" w:cs="Calibri" w:eastAsia="Calibri" w:hAnsi="Calibri"/>
          <w:b/>
          <w:bCs/>
          <w:color w:val="1F3864"/>
          <w:sz w:val="28"/>
          <w:szCs w:val="28"/>
        </w:rPr>
        <w:t xml:space="preserve">6.  Data Types and Conventions</w:t>
      </w:r>
    </w:p>
    <w:p>
      <w:pPr>
        <w:spacing w:after="120" w:before="0" w:line="276"/>
      </w:pPr>
      <w:r>
        <w:rPr>
          <w:rFonts w:ascii="Calibri" w:cs="Calibri" w:eastAsia="Calibri" w:hAnsi="Calibri"/>
          <w:b w:val="false"/>
          <w:bCs w:val="false"/>
          <w:i w:val="false"/>
          <w:iCs w:val="false"/>
          <w:sz w:val="20"/>
          <w:szCs w:val="20"/>
        </w:rPr>
        <w:t xml:space="preserve">Field types in Section 7 describe the content of the file, not the storage type in either application. AN denotes an alphanumeric value.</w:t>
      </w:r>
    </w:p>
    <w:p>
      <w:pPr>
        <w:pStyle w:val="ListParagraph"/>
        <w:numPr>
          <w:ilvl w:val="0"/>
          <w:numId w:val="2"/>
        </w:numPr>
        <w:spacing w:after="80" w:line="276"/>
      </w:pPr>
      <w:r>
        <w:rPr>
          <w:rFonts w:ascii="Calibri" w:cs="Calibri" w:eastAsia="Calibri" w:hAnsi="Calibri"/>
          <w:b/>
          <w:bCs/>
          <w:i w:val="false"/>
          <w:iCs w:val="false"/>
          <w:sz w:val="20"/>
          <w:szCs w:val="20"/>
        </w:rPr>
        <w:t xml:space="preserve">Length is exact, not a maximum.</w:t>
      </w:r>
      <w:r>
        <w:rPr>
          <w:rFonts w:ascii="Calibri" w:cs="Calibri" w:eastAsia="Calibri" w:hAnsi="Calibri"/>
          <w:b w:val="false"/>
          <w:bCs w:val="false"/>
          <w:i w:val="false"/>
          <w:iCs w:val="false"/>
          <w:sz w:val="20"/>
          <w:szCs w:val="20"/>
        </w:rPr>
        <w:t xml:space="preserve"> Every field occupies its declared number of characters on every record. A value shorter than the declared length is padded with spaces on the right; a value longer than the declared length is truncated on the right by CL7 and the occurrence is logged.</w:t>
      </w:r>
    </w:p>
    <w:p>
      <w:pPr>
        <w:pStyle w:val="ListParagraph"/>
        <w:numPr>
          <w:ilvl w:val="0"/>
          <w:numId w:val="2"/>
        </w:numPr>
        <w:spacing w:after="80" w:line="276"/>
      </w:pPr>
      <w:r>
        <w:rPr>
          <w:rFonts w:ascii="Calibri" w:cs="Calibri" w:eastAsia="Calibri" w:hAnsi="Calibri"/>
          <w:b/>
          <w:bCs/>
          <w:i w:val="false"/>
          <w:iCs w:val="false"/>
          <w:sz w:val="20"/>
          <w:szCs w:val="20"/>
        </w:rPr>
        <w:t xml:space="preserve">Identifiers are alphanumeric, not numeric.</w:t>
      </w:r>
      <w:r>
        <w:rPr>
          <w:rFonts w:ascii="Calibri" w:cs="Calibri" w:eastAsia="Calibri" w:hAnsi="Calibri"/>
          <w:b w:val="false"/>
          <w:bCs w:val="false"/>
          <w:i w:val="false"/>
          <w:iCs w:val="false"/>
          <w:sz w:val="20"/>
          <w:szCs w:val="20"/>
        </w:rPr>
        <w:t xml:space="preserve"> Loan ID, Obligor Number and Obligation Number may carry leading zeros which are significant and are preserved in the file. They must not be parsed as numbers on receipt.</w:t>
      </w:r>
    </w:p>
    <w:p>
      <w:pPr>
        <w:pStyle w:val="ListParagraph"/>
        <w:numPr>
          <w:ilvl w:val="0"/>
          <w:numId w:val="2"/>
        </w:numPr>
        <w:spacing w:after="80" w:line="276"/>
      </w:pPr>
      <w:r>
        <w:rPr>
          <w:rFonts w:ascii="Calibri" w:cs="Calibri" w:eastAsia="Calibri" w:hAnsi="Calibri"/>
          <w:b/>
          <w:bCs/>
          <w:i w:val="false"/>
          <w:iCs w:val="false"/>
          <w:sz w:val="20"/>
          <w:szCs w:val="20"/>
        </w:rPr>
        <w:t xml:space="preserve">Mandatory (M)</w:t>
      </w:r>
      <w:r>
        <w:rPr>
          <w:rFonts w:ascii="Calibri" w:cs="Calibri" w:eastAsia="Calibri" w:hAnsi="Calibri"/>
          <w:b w:val="false"/>
          <w:bCs w:val="false"/>
          <w:i w:val="false"/>
          <w:iCs w:val="false"/>
          <w:sz w:val="20"/>
          <w:szCs w:val="20"/>
        </w:rPr>
        <w:t xml:space="preserve"> fields carry a value on every record. </w:t>
      </w:r>
      <w:r>
        <w:rPr>
          <w:rFonts w:ascii="Calibri" w:cs="Calibri" w:eastAsia="Calibri" w:hAnsi="Calibri"/>
          <w:b/>
          <w:bCs/>
          <w:i w:val="false"/>
          <w:iCs w:val="false"/>
          <w:sz w:val="20"/>
          <w:szCs w:val="20"/>
        </w:rPr>
        <w:t xml:space="preserve">Optional (O)</w:t>
      </w:r>
      <w:r>
        <w:rPr>
          <w:rFonts w:ascii="Calibri" w:cs="Calibri" w:eastAsia="Calibri" w:hAnsi="Calibri"/>
          <w:b w:val="false"/>
          <w:bCs w:val="false"/>
          <w:i w:val="false"/>
          <w:iCs w:val="false"/>
          <w:sz w:val="20"/>
          <w:szCs w:val="20"/>
        </w:rPr>
        <w:t xml:space="preserve"> fields may be delivered as spaces for the full field length.</w:t>
      </w:r>
    </w:p>
    <w:p>
      <w:pPr>
        <w:pStyle w:val="ListParagraph"/>
        <w:numPr>
          <w:ilvl w:val="0"/>
          <w:numId w:val="2"/>
        </w:numPr>
        <w:spacing w:after="80" w:line="276"/>
      </w:pPr>
      <w:r>
        <w:rPr>
          <w:rFonts w:ascii="Calibri" w:cs="Calibri" w:eastAsia="Calibri" w:hAnsi="Calibri"/>
          <w:b/>
          <w:bCs/>
          <w:i w:val="false"/>
          <w:iCs w:val="false"/>
          <w:sz w:val="20"/>
          <w:szCs w:val="20"/>
        </w:rPr>
        <w:t xml:space="preserve">Address is delivered as discrete fields</w:t>
      </w:r>
      <w:r>
        <w:rPr>
          <w:rFonts w:ascii="Calibri" w:cs="Calibri" w:eastAsia="Calibri" w:hAnsi="Calibri"/>
          <w:b w:val="false"/>
          <w:bCs w:val="false"/>
          <w:i w:val="false"/>
          <w:iCs w:val="false"/>
          <w:sz w:val="20"/>
          <w:szCs w:val="20"/>
        </w:rPr>
        <w:t xml:space="preserve"> — Address 1, Address 2, Address 3, City, State and ZIP occupy separate positions and are never concatenated into a single address string.</w:t>
      </w:r>
    </w:p>
    <w:p>
      <w:pPr>
        <w:pStyle w:val="ListParagraph"/>
        <w:numPr>
          <w:ilvl w:val="0"/>
          <w:numId w:val="2"/>
        </w:numPr>
        <w:spacing w:after="80" w:line="276"/>
      </w:pPr>
      <w:r>
        <w:rPr>
          <w:rFonts w:ascii="Calibri" w:cs="Calibri" w:eastAsia="Calibri" w:hAnsi="Calibri"/>
          <w:b/>
          <w:bCs/>
          <w:i w:val="false"/>
          <w:iCs w:val="false"/>
          <w:sz w:val="20"/>
          <w:szCs w:val="20"/>
        </w:rPr>
        <w:t xml:space="preserve">Prohibited characters.</w:t>
      </w:r>
      <w:r>
        <w:rPr>
          <w:rFonts w:ascii="Calibri" w:cs="Calibri" w:eastAsia="Calibri" w:hAnsi="Calibri"/>
          <w:b w:val="false"/>
          <w:bCs w:val="false"/>
          <w:i w:val="false"/>
          <w:iCs w:val="false"/>
          <w:sz w:val="20"/>
          <w:szCs w:val="20"/>
        </w:rPr>
        <w:t xml:space="preserve"> Carriage return, line feed and non-printable control characters are removed or replaced by CL7 before the file is written, so that a record is never split across two lines.</w:t>
      </w:r>
    </w:p>
    <w:p>
      <w:pPr>
        <w:pStyle w:val="ListParagraph"/>
        <w:numPr>
          <w:ilvl w:val="0"/>
          <w:numId w:val="2"/>
        </w:numPr>
        <w:spacing w:after="80" w:line="276"/>
      </w:pPr>
      <w:r>
        <w:rPr>
          <w:rFonts w:ascii="Calibri" w:cs="Calibri" w:eastAsia="Calibri" w:hAnsi="Calibri"/>
          <w:b/>
          <w:bCs/>
          <w:i w:val="false"/>
          <w:iCs w:val="false"/>
          <w:sz w:val="20"/>
          <w:szCs w:val="20"/>
        </w:rPr>
        <w:t xml:space="preserve">Any change to a field length changes every subsequent position</w:t>
      </w:r>
      <w:r>
        <w:rPr>
          <w:rFonts w:ascii="Calibri" w:cs="Calibri" w:eastAsia="Calibri" w:hAnsi="Calibri"/>
          <w:b w:val="false"/>
          <w:bCs w:val="false"/>
          <w:i w:val="false"/>
          <w:iCs w:val="false"/>
          <w:sz w:val="20"/>
          <w:szCs w:val="20"/>
        </w:rPr>
        <w:t xml:space="preserve"> and is therefore a breaking change to this interface, requiring a new version of this specification and a coordinated release by both applications.</w:t>
      </w:r>
    </w:p>
    <w:p>
      <w:r>
        <w:br w:type="page"/>
      </w:r>
    </w:p>
    <w:p>
      <w:pPr>
        <w:pStyle w:val="Heading1"/>
        <w:spacing w:after="160" w:before="320"/>
      </w:pPr>
      <w:r>
        <w:rPr>
          <w:rFonts w:ascii="Calibri" w:cs="Calibri" w:eastAsia="Calibri" w:hAnsi="Calibri"/>
          <w:b/>
          <w:bCs/>
          <w:color w:val="1F3864"/>
          <w:sz w:val="28"/>
          <w:szCs w:val="28"/>
        </w:rPr>
        <w:t xml:space="preserve">7.  Record Layout</w:t>
      </w:r>
    </w:p>
    <w:p>
      <w:pPr>
        <w:spacing w:after="120" w:before="0" w:line="276"/>
      </w:pPr>
      <w:r>
        <w:rPr>
          <w:rFonts w:ascii="Calibri" w:cs="Calibri" w:eastAsia="Calibri" w:hAnsi="Calibri"/>
          <w:b w:val="false"/>
          <w:bCs w:val="false"/>
          <w:i w:val="false"/>
          <w:iCs w:val="false"/>
          <w:sz w:val="20"/>
          <w:szCs w:val="20"/>
        </w:rPr>
        <w:t xml:space="preserve">Fourteen fields in fixed positions. Start and end positions are one-based and inclusive. All fields are alphanumeric, left-justified and space-padded on the right.</w:t>
      </w:r>
    </w:p>
    <w:p>
      <w:pPr>
        <w:spacing w:after="8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400"/>
        <w:gridCol w:w="1900"/>
        <w:gridCol w:w="700"/>
        <w:gridCol w:w="700"/>
        <w:gridCol w:w="760"/>
        <w:gridCol w:w="540"/>
        <w:gridCol w:w="480"/>
        <w:gridCol w:w="3880"/>
      </w:tblGrid>
      <w:tr>
        <w:trPr>
          <w:tblHeader/>
        </w:trPr>
        <w:tc>
          <w:tcPr>
            <w:tcW w:type="dxa" w:w="4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w:t>
            </w:r>
          </w:p>
        </w:tc>
        <w:tc>
          <w:tcPr>
            <w:tcW w:type="dxa" w:w="19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Field Name</w:t>
            </w:r>
          </w:p>
        </w:tc>
        <w:tc>
          <w:tcPr>
            <w:tcW w:type="dxa" w:w="7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Start</w:t>
            </w:r>
          </w:p>
        </w:tc>
        <w:tc>
          <w:tcPr>
            <w:tcW w:type="dxa" w:w="7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End</w:t>
            </w:r>
          </w:p>
        </w:tc>
        <w:tc>
          <w:tcPr>
            <w:tcW w:type="dxa" w:w="7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Length</w:t>
            </w:r>
          </w:p>
        </w:tc>
        <w:tc>
          <w:tcPr>
            <w:tcW w:type="dxa" w:w="54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Type</w:t>
            </w:r>
          </w:p>
        </w:tc>
        <w:tc>
          <w:tcPr>
            <w:tcW w:type="dxa" w:w="48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Req</w:t>
            </w:r>
          </w:p>
        </w:tc>
        <w:tc>
          <w:tcPr>
            <w:tcW w:type="dxa" w:w="388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Definition</w:t>
            </w:r>
          </w:p>
        </w:tc>
      </w:tr>
      <w:tr>
        <w:tc>
          <w:tcPr>
            <w:tcW w:type="dxa" w:w="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w:t>
            </w:r>
          </w:p>
        </w:tc>
        <w:tc>
          <w:tcPr>
            <w:tcW w:type="dxa" w:w="19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Loan ID</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15</w:t>
            </w:r>
          </w:p>
        </w:tc>
        <w:tc>
          <w:tcPr>
            <w:tcW w:type="dxa" w:w="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15</w:t>
            </w:r>
          </w:p>
        </w:tc>
        <w:tc>
          <w:tcPr>
            <w:tcW w:type="dxa" w:w="54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AFS loan identifier. Leading zeros are significant and are preserved.</w:t>
            </w:r>
          </w:p>
        </w:tc>
      </w:tr>
      <w:tr>
        <w:tc>
          <w:tcPr>
            <w:tcW w:type="dxa" w:w="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w:t>
            </w:r>
          </w:p>
        </w:tc>
        <w:tc>
          <w:tcPr>
            <w:tcW w:type="dxa" w:w="19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nCino Collateral ID</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16</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45</w:t>
            </w:r>
          </w:p>
        </w:tc>
        <w:tc>
          <w:tcPr>
            <w:tcW w:type="dxa" w:w="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30</w:t>
            </w:r>
          </w:p>
        </w:tc>
        <w:tc>
          <w:tcPr>
            <w:tcW w:type="dxa" w:w="54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nCino collateral identifier, external reference key code 'nCino'.</w:t>
            </w:r>
          </w:p>
        </w:tc>
      </w:tr>
      <w:tr>
        <w:tc>
          <w:tcPr>
            <w:tcW w:type="dxa" w:w="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w:t>
            </w:r>
          </w:p>
        </w:tc>
        <w:tc>
          <w:tcPr>
            <w:tcW w:type="dxa" w:w="19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Collate Asset ID</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46</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75</w:t>
            </w:r>
          </w:p>
        </w:tc>
        <w:tc>
          <w:tcPr>
            <w:tcW w:type="dxa" w:w="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30</w:t>
            </w:r>
          </w:p>
        </w:tc>
        <w:tc>
          <w:tcPr>
            <w:tcW w:type="dxa" w:w="54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Collate asset identifier (CASSETID).</w:t>
            </w:r>
          </w:p>
        </w:tc>
      </w:tr>
      <w:tr>
        <w:tc>
          <w:tcPr>
            <w:tcW w:type="dxa" w:w="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w:t>
            </w:r>
          </w:p>
        </w:tc>
        <w:tc>
          <w:tcPr>
            <w:tcW w:type="dxa" w:w="19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Obligor Number</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76</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95</w:t>
            </w:r>
          </w:p>
        </w:tc>
        <w:tc>
          <w:tcPr>
            <w:tcW w:type="dxa" w:w="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20</w:t>
            </w:r>
          </w:p>
        </w:tc>
        <w:tc>
          <w:tcPr>
            <w:tcW w:type="dxa" w:w="54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AFS obligor identifier. Leading zeros are significant and are preserved.</w:t>
            </w:r>
          </w:p>
        </w:tc>
      </w:tr>
      <w:tr>
        <w:tc>
          <w:tcPr>
            <w:tcW w:type="dxa" w:w="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5</w:t>
            </w:r>
          </w:p>
        </w:tc>
        <w:tc>
          <w:tcPr>
            <w:tcW w:type="dxa" w:w="19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Obligation Number</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96</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119</w:t>
            </w:r>
          </w:p>
        </w:tc>
        <w:tc>
          <w:tcPr>
            <w:tcW w:type="dxa" w:w="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24</w:t>
            </w:r>
          </w:p>
        </w:tc>
        <w:tc>
          <w:tcPr>
            <w:tcW w:type="dxa" w:w="54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AFS obligation identifier. Leading zeros are significant and are preserved.</w:t>
            </w:r>
          </w:p>
        </w:tc>
      </w:tr>
      <w:tr>
        <w:tc>
          <w:tcPr>
            <w:tcW w:type="dxa" w:w="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6</w:t>
            </w:r>
          </w:p>
        </w:tc>
        <w:tc>
          <w:tcPr>
            <w:tcW w:type="dxa" w:w="19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LED Status</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120</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139</w:t>
            </w:r>
          </w:p>
        </w:tc>
        <w:tc>
          <w:tcPr>
            <w:tcW w:type="dxa" w:w="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20</w:t>
            </w:r>
          </w:p>
        </w:tc>
        <w:tc>
          <w:tcPr>
            <w:tcW w:type="dxa" w:w="54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Lien filing status, passed through unaltered from Collate.</w:t>
            </w:r>
          </w:p>
        </w:tc>
      </w:tr>
      <w:tr>
        <w:tc>
          <w:tcPr>
            <w:tcW w:type="dxa" w:w="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7</w:t>
            </w:r>
          </w:p>
        </w:tc>
        <w:tc>
          <w:tcPr>
            <w:tcW w:type="dxa" w:w="19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Property Address 1</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140</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189</w:t>
            </w:r>
          </w:p>
        </w:tc>
        <w:tc>
          <w:tcPr>
            <w:tcW w:type="dxa" w:w="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50</w:t>
            </w:r>
          </w:p>
        </w:tc>
        <w:tc>
          <w:tcPr>
            <w:tcW w:type="dxa" w:w="54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First line of the property address.</w:t>
            </w:r>
          </w:p>
        </w:tc>
      </w:tr>
      <w:tr>
        <w:tc>
          <w:tcPr>
            <w:tcW w:type="dxa" w:w="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8</w:t>
            </w:r>
          </w:p>
        </w:tc>
        <w:tc>
          <w:tcPr>
            <w:tcW w:type="dxa" w:w="19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Property Address 2</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190</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239</w:t>
            </w:r>
          </w:p>
        </w:tc>
        <w:tc>
          <w:tcPr>
            <w:tcW w:type="dxa" w:w="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50</w:t>
            </w:r>
          </w:p>
        </w:tc>
        <w:tc>
          <w:tcPr>
            <w:tcW w:type="dxa" w:w="54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O</w:t>
            </w:r>
          </w:p>
        </w:tc>
        <w:tc>
          <w:tcPr>
            <w:tcW w:type="dxa" w:w="38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Second line. Spaces where Collate holds no value.</w:t>
            </w:r>
          </w:p>
        </w:tc>
      </w:tr>
      <w:tr>
        <w:tc>
          <w:tcPr>
            <w:tcW w:type="dxa" w:w="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9</w:t>
            </w:r>
          </w:p>
        </w:tc>
        <w:tc>
          <w:tcPr>
            <w:tcW w:type="dxa" w:w="19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Property Address 3</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240</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289</w:t>
            </w:r>
          </w:p>
        </w:tc>
        <w:tc>
          <w:tcPr>
            <w:tcW w:type="dxa" w:w="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50</w:t>
            </w:r>
          </w:p>
        </w:tc>
        <w:tc>
          <w:tcPr>
            <w:tcW w:type="dxa" w:w="54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O</w:t>
            </w:r>
          </w:p>
        </w:tc>
        <w:tc>
          <w:tcPr>
            <w:tcW w:type="dxa" w:w="38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Third line. Spaces where Collate holds no value.</w:t>
            </w:r>
          </w:p>
        </w:tc>
      </w:tr>
      <w:tr>
        <w:tc>
          <w:tcPr>
            <w:tcW w:type="dxa" w:w="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10</w:t>
            </w:r>
          </w:p>
        </w:tc>
        <w:tc>
          <w:tcPr>
            <w:tcW w:type="dxa" w:w="19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City</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290</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339</w:t>
            </w:r>
          </w:p>
        </w:tc>
        <w:tc>
          <w:tcPr>
            <w:tcW w:type="dxa" w:w="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50</w:t>
            </w:r>
          </w:p>
        </w:tc>
        <w:tc>
          <w:tcPr>
            <w:tcW w:type="dxa" w:w="54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Property city.</w:t>
            </w:r>
          </w:p>
        </w:tc>
      </w:tr>
      <w:tr>
        <w:tc>
          <w:tcPr>
            <w:tcW w:type="dxa" w:w="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11</w:t>
            </w:r>
          </w:p>
        </w:tc>
        <w:tc>
          <w:tcPr>
            <w:tcW w:type="dxa" w:w="19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State</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340</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347</w:t>
            </w:r>
          </w:p>
        </w:tc>
        <w:tc>
          <w:tcPr>
            <w:tcW w:type="dxa" w:w="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8</w:t>
            </w:r>
          </w:p>
        </w:tc>
        <w:tc>
          <w:tcPr>
            <w:tcW w:type="dxa" w:w="54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State code as held in Collate.</w:t>
            </w:r>
          </w:p>
        </w:tc>
      </w:tr>
      <w:tr>
        <w:tc>
          <w:tcPr>
            <w:tcW w:type="dxa" w:w="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12</w:t>
            </w:r>
          </w:p>
        </w:tc>
        <w:tc>
          <w:tcPr>
            <w:tcW w:type="dxa" w:w="19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ZIP / Postal Code</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348</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367</w:t>
            </w:r>
          </w:p>
        </w:tc>
        <w:tc>
          <w:tcPr>
            <w:tcW w:type="dxa" w:w="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20</w:t>
            </w:r>
          </w:p>
        </w:tc>
        <w:tc>
          <w:tcPr>
            <w:tcW w:type="dxa" w:w="54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Delivered unformatted, without hyphen.</w:t>
            </w:r>
          </w:p>
        </w:tc>
      </w:tr>
      <w:tr>
        <w:tc>
          <w:tcPr>
            <w:tcW w:type="dxa" w:w="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13</w:t>
            </w:r>
          </w:p>
        </w:tc>
        <w:tc>
          <w:tcPr>
            <w:tcW w:type="dxa" w:w="19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Country Code</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368</w:t>
            </w:r>
          </w:p>
        </w:tc>
        <w:tc>
          <w:tcPr>
            <w:tcW w:type="dxa" w:w="7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370</w:t>
            </w:r>
          </w:p>
        </w:tc>
        <w:tc>
          <w:tcPr>
            <w:tcW w:type="dxa" w:w="7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w:t>
            </w:r>
          </w:p>
        </w:tc>
        <w:tc>
          <w:tcPr>
            <w:tcW w:type="dxa" w:w="54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M</w:t>
            </w:r>
          </w:p>
        </w:tc>
        <w:tc>
          <w:tcPr>
            <w:tcW w:type="dxa" w:w="38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Country code as held in Collate.</w:t>
            </w:r>
          </w:p>
        </w:tc>
      </w:tr>
      <w:tr>
        <w:tc>
          <w:tcPr>
            <w:tcW w:type="dxa" w:w="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14</w:t>
            </w:r>
          </w:p>
        </w:tc>
        <w:tc>
          <w:tcPr>
            <w:tcW w:type="dxa" w:w="19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Country</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371</w:t>
            </w:r>
          </w:p>
        </w:tc>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450</w:t>
            </w:r>
          </w:p>
        </w:tc>
        <w:tc>
          <w:tcPr>
            <w:tcW w:type="dxa" w:w="7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80</w:t>
            </w:r>
          </w:p>
        </w:tc>
        <w:tc>
          <w:tcPr>
            <w:tcW w:type="dxa" w:w="54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AN</w:t>
            </w:r>
          </w:p>
        </w:tc>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O</w:t>
            </w:r>
          </w:p>
        </w:tc>
        <w:tc>
          <w:tcPr>
            <w:tcW w:type="dxa" w:w="38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Country name as held in Collate.</w:t>
            </w:r>
          </w:p>
        </w:tc>
      </w:tr>
    </w:tbl>
    <w:p>
      <w:pPr>
        <w:spacing w:after="140"/>
      </w:pPr>
    </w:p>
    <w:p>
      <w:pPr>
        <w:spacing w:after="120" w:before="0" w:line="276"/>
      </w:pPr>
      <w:r>
        <w:rPr>
          <w:rFonts w:ascii="Calibri" w:cs="Calibri" w:eastAsia="Calibri" w:hAnsi="Calibri"/>
          <w:b/>
          <w:bCs/>
          <w:i w:val="false"/>
          <w:iCs w:val="false"/>
          <w:sz w:val="20"/>
          <w:szCs w:val="20"/>
        </w:rPr>
        <w:t xml:space="preserve">Total record length: </w:t>
      </w:r>
      <w:r>
        <w:rPr>
          <w:rFonts w:ascii="Calibri" w:cs="Calibri" w:eastAsia="Calibri" w:hAnsi="Calibri"/>
          <w:b w:val="false"/>
          <w:bCs w:val="false"/>
          <w:i w:val="false"/>
          <w:iCs w:val="false"/>
          <w:sz w:val="20"/>
          <w:szCs w:val="20"/>
        </w:rPr>
        <w:t xml:space="preserve">450 characters, excluding the record terminator (CRLF).</w:t>
      </w:r>
    </w:p>
    <w:p>
      <w:r>
        <w:br w:type="page"/>
      </w:r>
    </w:p>
    <w:p>
      <w:pPr>
        <w:pStyle w:val="Heading1"/>
        <w:spacing w:after="160" w:before="320"/>
      </w:pPr>
      <w:r>
        <w:rPr>
          <w:rFonts w:ascii="Calibri" w:cs="Calibri" w:eastAsia="Calibri" w:hAnsi="Calibri"/>
          <w:b/>
          <w:bCs/>
          <w:color w:val="1F3864"/>
          <w:sz w:val="28"/>
          <w:szCs w:val="28"/>
        </w:rPr>
        <w:t xml:space="preserve">8.  Traceability Matrix — Collate to STOC</w:t>
      </w:r>
    </w:p>
    <w:p>
      <w:pPr>
        <w:spacing w:after="120" w:before="0" w:line="276"/>
      </w:pPr>
      <w:r>
        <w:rPr>
          <w:rFonts w:ascii="Calibri" w:cs="Calibri" w:eastAsia="Calibri" w:hAnsi="Calibri"/>
          <w:b w:val="false"/>
          <w:bCs w:val="false"/>
          <w:i w:val="false"/>
          <w:iCs w:val="false"/>
          <w:sz w:val="20"/>
          <w:szCs w:val="20"/>
        </w:rPr>
        <w:t xml:space="preserve">Field-by-field lineage from the Collate Data View source to the RST/RLC STOC target, per the agreed data mapping document.</w:t>
      </w:r>
    </w:p>
    <w:p>
      <w:pPr>
        <w:spacing w:after="8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480"/>
        <w:gridCol w:w="1500"/>
        <w:gridCol w:w="2780"/>
        <w:gridCol w:w="1660"/>
        <w:gridCol w:w="1800"/>
        <w:gridCol w:w="1140"/>
      </w:tblGrid>
      <w:tr>
        <w:trPr>
          <w:tblHeader/>
        </w:trPr>
        <w:tc>
          <w:tcPr>
            <w:tcW w:type="dxa" w:w="48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w:t>
            </w:r>
          </w:p>
        </w:tc>
        <w:tc>
          <w:tcPr>
            <w:tcW w:type="dxa" w:w="15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File Field</w:t>
            </w:r>
          </w:p>
        </w:tc>
        <w:tc>
          <w:tcPr>
            <w:tcW w:type="dxa" w:w="278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Source (Collate Data View)</w:t>
            </w:r>
          </w:p>
        </w:tc>
        <w:tc>
          <w:tcPr>
            <w:tcW w:type="dxa" w:w="16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Source (Collate Table)</w:t>
            </w:r>
          </w:p>
        </w:tc>
        <w:tc>
          <w:tcPr>
            <w:tcW w:type="dxa" w:w="18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STOC Mapping</w:t>
            </w:r>
          </w:p>
        </w:tc>
        <w:tc>
          <w:tcPr>
            <w:tcW w:type="dxa" w:w="114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Datatype</w:t>
            </w:r>
          </w:p>
        </w:tc>
      </w:tr>
      <w:tr>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w:t>
            </w:r>
          </w:p>
        </w:tc>
        <w:tc>
          <w:tcPr>
            <w:tcW w:type="dxa" w:w="15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Loan ID</w:t>
            </w:r>
          </w:p>
        </w:tc>
        <w:tc>
          <w:tcPr>
            <w:tcW w:type="dxa" w:w="278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EXPOSURE → EXPOSURE_EXTERNAL_REFERENCES (External ID, key code = 'AFS')</w:t>
            </w:r>
          </w:p>
        </w:tc>
        <w:tc>
          <w:tcPr>
            <w:tcW w:type="dxa" w:w="166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EXTERNAL_REFERENCE.EXTERNAL_ID</w:t>
            </w:r>
          </w:p>
        </w:tc>
        <w:tc>
          <w:tcPr>
            <w:tcW w:type="dxa" w:w="18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LOAN_ACCOUNTS.OBLIGATION_NO</w:t>
            </w:r>
          </w:p>
        </w:tc>
        <w:tc>
          <w:tcPr>
            <w:tcW w:type="dxa" w:w="114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VARCHAR(15)</w:t>
            </w:r>
          </w:p>
        </w:tc>
      </w:tr>
      <w:tr>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w:t>
            </w:r>
          </w:p>
        </w:tc>
        <w:tc>
          <w:tcPr>
            <w:tcW w:type="dxa" w:w="15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nCino Collateral ID</w:t>
            </w:r>
          </w:p>
        </w:tc>
        <w:tc>
          <w:tcPr>
            <w:tcW w:type="dxa" w:w="278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ASSET → ASSET_EXTERNAL_REFERENCES (External ID, key code = 'nCino')</w:t>
            </w:r>
          </w:p>
        </w:tc>
        <w:tc>
          <w:tcPr>
            <w:tcW w:type="dxa" w:w="166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w:t>
            </w:r>
          </w:p>
        </w:tc>
        <w:tc>
          <w:tcPr>
            <w:tcW w:type="dxa" w:w="18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N/A</w:t>
            </w:r>
          </w:p>
        </w:tc>
        <w:tc>
          <w:tcPr>
            <w:tcW w:type="dxa" w:w="114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VARCHAR(30)</w:t>
            </w:r>
          </w:p>
        </w:tc>
      </w:tr>
      <w:tr>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3</w:t>
            </w:r>
          </w:p>
        </w:tc>
        <w:tc>
          <w:tcPr>
            <w:tcW w:type="dxa" w:w="15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Collate Asset ID</w:t>
            </w:r>
          </w:p>
        </w:tc>
        <w:tc>
          <w:tcPr>
            <w:tcW w:type="dxa" w:w="278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ASSET → ASSET_EXTERNAL_REFERENCES (External ID)</w:t>
            </w:r>
          </w:p>
        </w:tc>
        <w:tc>
          <w:tcPr>
            <w:tcW w:type="dxa" w:w="166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EXTERNAL_REFERENCE.EXTERNAL_ID</w:t>
            </w:r>
          </w:p>
        </w:tc>
        <w:tc>
          <w:tcPr>
            <w:tcW w:type="dxa" w:w="18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COLLATE_ASSET_NAMES.COLL_ASSET_ID</w:t>
            </w:r>
          </w:p>
        </w:tc>
        <w:tc>
          <w:tcPr>
            <w:tcW w:type="dxa" w:w="114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VARCHAR(30)</w:t>
            </w:r>
          </w:p>
        </w:tc>
      </w:tr>
      <w:tr>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4</w:t>
            </w:r>
          </w:p>
        </w:tc>
        <w:tc>
          <w:tcPr>
            <w:tcW w:type="dxa" w:w="15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Obligor Number</w:t>
            </w:r>
          </w:p>
        </w:tc>
        <w:tc>
          <w:tcPr>
            <w:tcW w:type="dxa" w:w="278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EXPOSURE → EXPOSURE_EXTERNAL_REFERENCES (key code = 'AFS')</w:t>
            </w:r>
          </w:p>
        </w:tc>
        <w:tc>
          <w:tcPr>
            <w:tcW w:type="dxa" w:w="166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EXTERNAL_REFERENCE.EXTERNAL_ID</w:t>
            </w:r>
          </w:p>
        </w:tc>
        <w:tc>
          <w:tcPr>
            <w:tcW w:type="dxa" w:w="18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LOAN_COLLATERAL.OBLIGOR_NO</w:t>
            </w:r>
          </w:p>
        </w:tc>
        <w:tc>
          <w:tcPr>
            <w:tcW w:type="dxa" w:w="114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VARCHAR(20)</w:t>
            </w:r>
          </w:p>
        </w:tc>
      </w:tr>
      <w:tr>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5</w:t>
            </w:r>
          </w:p>
        </w:tc>
        <w:tc>
          <w:tcPr>
            <w:tcW w:type="dxa" w:w="15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Obligation Number</w:t>
            </w:r>
          </w:p>
        </w:tc>
        <w:tc>
          <w:tcPr>
            <w:tcW w:type="dxa" w:w="278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EXPOSURE → EXPOSURE_EXTERNAL_REFERENCES (key code = 'AFS')</w:t>
            </w:r>
          </w:p>
        </w:tc>
        <w:tc>
          <w:tcPr>
            <w:tcW w:type="dxa" w:w="166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EXTERNAL_REFERENCE.EXTERNAL_ID</w:t>
            </w:r>
          </w:p>
        </w:tc>
        <w:tc>
          <w:tcPr>
            <w:tcW w:type="dxa" w:w="18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LOAN_COLLATERAL.OBLIGATION_NO</w:t>
            </w:r>
          </w:p>
        </w:tc>
        <w:tc>
          <w:tcPr>
            <w:tcW w:type="dxa" w:w="114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VARCHAR(24)</w:t>
            </w:r>
          </w:p>
        </w:tc>
      </w:tr>
      <w:tr>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6</w:t>
            </w:r>
          </w:p>
        </w:tc>
        <w:tc>
          <w:tcPr>
            <w:tcW w:type="dxa" w:w="15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LED Status</w:t>
            </w:r>
          </w:p>
        </w:tc>
        <w:tc>
          <w:tcPr>
            <w:tcW w:type="dxa" w:w="278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REG_FILING.REGISTRATION_DATA &gt; regFilingCustomDropdown2</w:t>
            </w:r>
          </w:p>
        </w:tc>
        <w:tc>
          <w:tcPr>
            <w:tcW w:type="dxa" w:w="166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REG_FILING.FILING_STATUS</w:t>
            </w:r>
          </w:p>
        </w:tc>
        <w:tc>
          <w:tcPr>
            <w:tcW w:type="dxa" w:w="18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LIEN_FILINGS.FILE_STATUS</w:t>
            </w:r>
          </w:p>
        </w:tc>
        <w:tc>
          <w:tcPr>
            <w:tcW w:type="dxa" w:w="114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VARCHAR(20)</w:t>
            </w:r>
          </w:p>
        </w:tc>
      </w:tr>
      <w:tr>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7</w:t>
            </w:r>
          </w:p>
        </w:tc>
        <w:tc>
          <w:tcPr>
            <w:tcW w:type="dxa" w:w="15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Property Address 1</w:t>
            </w:r>
          </w:p>
        </w:tc>
        <w:tc>
          <w:tcPr>
            <w:tcW w:type="dxa" w:w="278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LEGAL_ENTITY → LEGAL_ENTITY_ADDRESS</w:t>
            </w:r>
          </w:p>
        </w:tc>
        <w:tc>
          <w:tcPr>
            <w:tcW w:type="dxa" w:w="166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ADDRESS.ADMIN_AREA_L3</w:t>
            </w:r>
          </w:p>
        </w:tc>
        <w:tc>
          <w:tcPr>
            <w:tcW w:type="dxa" w:w="18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PERSONAL.ADDR1</w:t>
            </w:r>
          </w:p>
        </w:tc>
        <w:tc>
          <w:tcPr>
            <w:tcW w:type="dxa" w:w="114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VARCHAR(50)</w:t>
            </w:r>
          </w:p>
        </w:tc>
      </w:tr>
      <w:tr>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8</w:t>
            </w:r>
          </w:p>
        </w:tc>
        <w:tc>
          <w:tcPr>
            <w:tcW w:type="dxa" w:w="15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Property Address 2</w:t>
            </w:r>
          </w:p>
        </w:tc>
        <w:tc>
          <w:tcPr>
            <w:tcW w:type="dxa" w:w="278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LEGAL_ENTITY → LEGAL_ENTITY_ADDRESS</w:t>
            </w:r>
          </w:p>
        </w:tc>
        <w:tc>
          <w:tcPr>
            <w:tcW w:type="dxa" w:w="166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ADDRESS.ADMIN_AREA_L4</w:t>
            </w:r>
          </w:p>
        </w:tc>
        <w:tc>
          <w:tcPr>
            <w:tcW w:type="dxa" w:w="18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PERSONAL.ADDR2</w:t>
            </w:r>
          </w:p>
        </w:tc>
        <w:tc>
          <w:tcPr>
            <w:tcW w:type="dxa" w:w="114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VARCHAR(50)</w:t>
            </w:r>
          </w:p>
        </w:tc>
      </w:tr>
      <w:tr>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9</w:t>
            </w:r>
          </w:p>
        </w:tc>
        <w:tc>
          <w:tcPr>
            <w:tcW w:type="dxa" w:w="15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Property Address 3</w:t>
            </w:r>
          </w:p>
        </w:tc>
        <w:tc>
          <w:tcPr>
            <w:tcW w:type="dxa" w:w="278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LEGAL_ENTITY → LEGAL_ENTITY_ADDRESS</w:t>
            </w:r>
          </w:p>
        </w:tc>
        <w:tc>
          <w:tcPr>
            <w:tcW w:type="dxa" w:w="166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ADDRESS.ADMIN_AREA_L5</w:t>
            </w:r>
          </w:p>
        </w:tc>
        <w:tc>
          <w:tcPr>
            <w:tcW w:type="dxa" w:w="18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PERSONAL.ADDR3</w:t>
            </w:r>
          </w:p>
        </w:tc>
        <w:tc>
          <w:tcPr>
            <w:tcW w:type="dxa" w:w="114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VARCHAR(50)</w:t>
            </w:r>
          </w:p>
        </w:tc>
      </w:tr>
      <w:tr>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10</w:t>
            </w:r>
          </w:p>
        </w:tc>
        <w:tc>
          <w:tcPr>
            <w:tcW w:type="dxa" w:w="15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City</w:t>
            </w:r>
          </w:p>
        </w:tc>
        <w:tc>
          <w:tcPr>
            <w:tcW w:type="dxa" w:w="278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LEGAL_ENTITY → LEGAL_ENTITY_ADDRESS</w:t>
            </w:r>
          </w:p>
        </w:tc>
        <w:tc>
          <w:tcPr>
            <w:tcW w:type="dxa" w:w="166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ADDRESS.LOCALITY</w:t>
            </w:r>
          </w:p>
        </w:tc>
        <w:tc>
          <w:tcPr>
            <w:tcW w:type="dxa" w:w="18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PERSONAL.CUSTOMER_CITY_NAME</w:t>
            </w:r>
          </w:p>
        </w:tc>
        <w:tc>
          <w:tcPr>
            <w:tcW w:type="dxa" w:w="114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VARCHAR(50)</w:t>
            </w:r>
          </w:p>
        </w:tc>
      </w:tr>
      <w:tr>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11</w:t>
            </w:r>
          </w:p>
        </w:tc>
        <w:tc>
          <w:tcPr>
            <w:tcW w:type="dxa" w:w="15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State</w:t>
            </w:r>
          </w:p>
        </w:tc>
        <w:tc>
          <w:tcPr>
            <w:tcW w:type="dxa" w:w="278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LEGAL_ENTITY → LEGAL_ENTITY_ADDRESS</w:t>
            </w:r>
          </w:p>
        </w:tc>
        <w:tc>
          <w:tcPr>
            <w:tcW w:type="dxa" w:w="166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ADDRESS.ADMIN_AREA_L1</w:t>
            </w:r>
          </w:p>
        </w:tc>
        <w:tc>
          <w:tcPr>
            <w:tcW w:type="dxa" w:w="18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PERSONAL.STATE_CODE</w:t>
            </w:r>
          </w:p>
        </w:tc>
        <w:tc>
          <w:tcPr>
            <w:tcW w:type="dxa" w:w="114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VARCHAR(8)</w:t>
            </w:r>
          </w:p>
        </w:tc>
      </w:tr>
      <w:tr>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12</w:t>
            </w:r>
          </w:p>
        </w:tc>
        <w:tc>
          <w:tcPr>
            <w:tcW w:type="dxa" w:w="15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ZIP / Postal Code</w:t>
            </w:r>
          </w:p>
        </w:tc>
        <w:tc>
          <w:tcPr>
            <w:tcW w:type="dxa" w:w="278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LEGAL_ENTITY → LEGAL_ENTITY_ADDRESS</w:t>
            </w:r>
          </w:p>
        </w:tc>
        <w:tc>
          <w:tcPr>
            <w:tcW w:type="dxa" w:w="166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ADDRESS.POST_CODE</w:t>
            </w:r>
          </w:p>
        </w:tc>
        <w:tc>
          <w:tcPr>
            <w:tcW w:type="dxa" w:w="18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PERSONAL.POST_CODE_1</w:t>
            </w:r>
          </w:p>
        </w:tc>
        <w:tc>
          <w:tcPr>
            <w:tcW w:type="dxa" w:w="114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VARCHAR(20)</w:t>
            </w:r>
          </w:p>
        </w:tc>
      </w:tr>
      <w:tr>
        <w:tc>
          <w:tcPr>
            <w:tcW w:type="dxa" w:w="48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13</w:t>
            </w:r>
          </w:p>
        </w:tc>
        <w:tc>
          <w:tcPr>
            <w:tcW w:type="dxa" w:w="15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Country Code</w:t>
            </w:r>
          </w:p>
        </w:tc>
        <w:tc>
          <w:tcPr>
            <w:tcW w:type="dxa" w:w="278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REAL_ESTATE_ASSET → REAL_ESTATE_COUNTRY_CODE</w:t>
            </w:r>
          </w:p>
        </w:tc>
        <w:tc>
          <w:tcPr>
            <w:tcW w:type="dxa" w:w="166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w:t>
            </w:r>
          </w:p>
        </w:tc>
        <w:tc>
          <w:tcPr>
            <w:tcW w:type="dxa" w:w="180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N/A</w:t>
            </w:r>
          </w:p>
        </w:tc>
        <w:tc>
          <w:tcPr>
            <w:tcW w:type="dxa" w:w="1140"/>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VARCHAR(3)</w:t>
            </w:r>
          </w:p>
        </w:tc>
      </w:tr>
      <w:tr>
        <w:tc>
          <w:tcPr>
            <w:tcW w:type="dxa" w:w="48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14</w:t>
            </w:r>
          </w:p>
        </w:tc>
        <w:tc>
          <w:tcPr>
            <w:tcW w:type="dxa" w:w="15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Country</w:t>
            </w:r>
          </w:p>
        </w:tc>
        <w:tc>
          <w:tcPr>
            <w:tcW w:type="dxa" w:w="278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REAL_ESTATE_ASSET → REAL_ESTATE_COUNTRY</w:t>
            </w:r>
          </w:p>
        </w:tc>
        <w:tc>
          <w:tcPr>
            <w:tcW w:type="dxa" w:w="166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w:t>
            </w:r>
          </w:p>
        </w:tc>
        <w:tc>
          <w:tcPr>
            <w:tcW w:type="dxa" w:w="180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N/A</w:t>
            </w:r>
          </w:p>
        </w:tc>
        <w:tc>
          <w:tcPr>
            <w:tcW w:type="dxa" w:w="1140"/>
            <w:shd w:fill="F2F5FA" w:color="auto" w:val="clear"/>
            <w:tcMar>
              <w:top w:type="dxa" w:w="60"/>
              <w:left w:type="dxa" w:w="90"/>
              <w:bottom w:type="dxa" w:w="60"/>
              <w:right w:type="dxa" w:w="90"/>
            </w:tcMar>
            <w:vAlign w:val="center"/>
          </w:tcPr>
          <w:p>
            <w:pPr>
              <w:spacing w:after="0"/>
            </w:pPr>
            <w:r>
              <w:rPr>
                <w:rFonts w:ascii="Consolas" w:cs="Consolas" w:eastAsia="Consolas" w:hAnsi="Consolas"/>
                <w:b w:val="false"/>
                <w:bCs w:val="false"/>
                <w:color w:val="1A1A1A"/>
                <w:sz w:val="14"/>
                <w:szCs w:val="14"/>
              </w:rPr>
              <w:t xml:space="preserve">VARCHAR(80)</w:t>
            </w:r>
          </w:p>
        </w:tc>
      </w:tr>
    </w:tbl>
    <w:p>
      <w:pPr>
        <w:spacing w:after="140"/>
      </w:pPr>
    </w:p>
    <w:p>
      <w:pPr>
        <w:spacing w:after="120" w:before="0" w:line="276"/>
      </w:pPr>
      <w:r>
        <w:rPr>
          <w:rFonts w:ascii="Calibri" w:cs="Calibri" w:eastAsia="Calibri" w:hAnsi="Calibri"/>
          <w:b w:val="false"/>
          <w:bCs w:val="false"/>
          <w:i/>
          <w:iCs/>
          <w:sz w:val="19"/>
          <w:szCs w:val="19"/>
        </w:rPr>
        <w:t xml:space="preserve">Fields 2, 13 and 14 carry no STOC mapping. They are delivered as Collate reference and audit values.</w:t>
      </w:r>
    </w:p>
    <w:p>
      <w:r>
        <w:br w:type="page"/>
      </w:r>
    </w:p>
    <w:p>
      <w:pPr>
        <w:pStyle w:val="Heading1"/>
        <w:spacing w:after="160" w:before="320"/>
      </w:pPr>
      <w:r>
        <w:rPr>
          <w:rFonts w:ascii="Calibri" w:cs="Calibri" w:eastAsia="Calibri" w:hAnsi="Calibri"/>
          <w:b/>
          <w:bCs/>
          <w:color w:val="1F3864"/>
          <w:sz w:val="28"/>
          <w:szCs w:val="28"/>
        </w:rPr>
        <w:t xml:space="preserve">9.  Functional Requirements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700"/>
        <w:gridCol w:w="8660"/>
      </w:tblGrid>
      <w:tr>
        <w:trPr>
          <w:tblHeader/>
        </w:trPr>
        <w:tc>
          <w:tcPr>
            <w:tcW w:type="dxa" w:w="7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ID</w:t>
            </w:r>
          </w:p>
        </w:tc>
        <w:tc>
          <w:tcPr>
            <w:tcW w:type="dxa" w:w="86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Requirement</w:t>
            </w:r>
          </w:p>
        </w:tc>
      </w:tr>
      <w:tr>
        <w:tc>
          <w:tcPr>
            <w:tcW w:type="dxa" w:w="7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FR1</w:t>
            </w:r>
          </w:p>
        </w:tc>
        <w:tc>
          <w:tcPr>
            <w:tcW w:type="dxa" w:w="86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The file name includes an as-of date and time stamp, per the convention in Section 5.2.</w:t>
            </w:r>
          </w:p>
        </w:tc>
      </w:tr>
      <w:tr>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FR2</w:t>
            </w:r>
          </w:p>
        </w:tc>
        <w:tc>
          <w:tcPr>
            <w:tcW w:type="dxa" w:w="86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Where no records qualify, no file is sent to RST/RLC.</w:t>
            </w:r>
          </w:p>
        </w:tc>
      </w:tr>
      <w:tr>
        <w:tc>
          <w:tcPr>
            <w:tcW w:type="dxa" w:w="7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FR3</w:t>
            </w:r>
          </w:p>
        </w:tc>
        <w:tc>
          <w:tcPr>
            <w:tcW w:type="dxa" w:w="86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The file is delivered daily on business days, targeting approximately 08:00 AM ET. Exact timing is dependent on upstream processing completion.</w:t>
            </w:r>
          </w:p>
        </w:tc>
      </w:tr>
      <w:tr>
        <w:tc>
          <w:tcPr>
            <w:tcW w:type="dxa" w:w="7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FR4</w:t>
            </w:r>
          </w:p>
        </w:tc>
        <w:tc>
          <w:tcPr>
            <w:tcW w:type="dxa" w:w="86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Address is delivered as separate fields: Address 1, Address 2, Address 3, City, State and ZIP.</w:t>
            </w:r>
          </w:p>
        </w:tc>
      </w:tr>
    </w:tbl>
    <w:p>
      <w:pPr>
        <w:pStyle w:val="Heading2"/>
        <w:spacing w:after="120" w:before="240"/>
      </w:pPr>
      <w:r>
        <w:rPr>
          <w:rFonts w:ascii="Calibri" w:cs="Calibri" w:eastAsia="Calibri" w:hAnsi="Calibri"/>
          <w:b/>
          <w:bCs/>
          <w:color w:val="2E74B5"/>
          <w:sz w:val="23"/>
          <w:szCs w:val="23"/>
        </w:rPr>
        <w:t xml:space="preserve">9.1  Zero-Record Behaviour</w:t>
      </w:r>
    </w:p>
    <w:p>
      <w:pPr>
        <w:spacing w:after="120" w:before="0" w:line="276"/>
      </w:pPr>
      <w:r>
        <w:rPr>
          <w:rFonts w:ascii="Calibri" w:cs="Calibri" w:eastAsia="Calibri" w:hAnsi="Calibri"/>
          <w:b w:val="false"/>
          <w:bCs w:val="false"/>
          <w:i w:val="false"/>
          <w:iCs w:val="false"/>
          <w:sz w:val="20"/>
          <w:szCs w:val="20"/>
        </w:rPr>
        <w:t xml:space="preserve">Per FR2, on a business day where no records satisfy the selection criteria in Section 4, CL7 does not generate or deliver a file. No empty file and no trigger file are produced.</w:t>
      </w:r>
    </w:p>
    <w:p>
      <w:pPr>
        <w:spacing w:after="80"/>
      </w:pPr>
    </w:p>
    <w:tbl>
      <w:tblPr>
        <w:tblW w:type="dxa" w:w="9360"/>
        <w:tblBorders>
          <w:top w:val="single" w:color="9FC0E0" w:sz="4"/>
          <w:left w:val="single" w:color="2E74B5" w:sz="18"/>
          <w:bottom w:val="single" w:color="9FC0E0" w:sz="4"/>
          <w:right w:val="single" w:color="9FC0E0" w:sz="4"/>
          <w:insideH w:val="none"/>
          <w:insideV w:val="none"/>
        </w:tblBorders>
      </w:tblPr>
      <w:tblGrid>
        <w:gridCol w:w="9360"/>
      </w:tblGrid>
      <w:tr>
        <w:tc>
          <w:tcPr>
            <w:tcW w:type="dxa" w:w="9360"/>
            <w:shd w:fill="EDF3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Because no file is sent on a zero-record day, the absence of a file is not by itself an indication of failure. RST/RLC should not raise a missing-file alert on that basis alone. CL7 will confirm the run outcome through its own batch monitoring, and will notify RST/RLC where a scheduled run does not complete.</w:t>
            </w:r>
          </w:p>
        </w:tc>
      </w:tr>
    </w:tbl>
    <w:p>
      <w:r>
        <w:br w:type="page"/>
      </w:r>
    </w:p>
    <w:p>
      <w:pPr>
        <w:pStyle w:val="Heading1"/>
        <w:spacing w:after="160" w:before="320"/>
      </w:pPr>
      <w:r>
        <w:rPr>
          <w:rFonts w:ascii="Calibri" w:cs="Calibri" w:eastAsia="Calibri" w:hAnsi="Calibri"/>
          <w:b/>
          <w:bCs/>
          <w:color w:val="1F3864"/>
          <w:sz w:val="28"/>
          <w:szCs w:val="28"/>
        </w:rPr>
        <w:t xml:space="preserve">Appendix A.  Sample File</w:t>
      </w:r>
    </w:p>
    <w:p>
      <w:pPr>
        <w:spacing w:after="120" w:before="0" w:line="276"/>
      </w:pPr>
      <w:r>
        <w:rPr>
          <w:rFonts w:ascii="Calibri" w:cs="Calibri" w:eastAsia="Calibri" w:hAnsi="Calibri"/>
          <w:b w:val="false"/>
          <w:bCs w:val="false"/>
          <w:i w:val="false"/>
          <w:iCs w:val="false"/>
          <w:sz w:val="20"/>
          <w:szCs w:val="20"/>
        </w:rPr>
        <w:t xml:space="preserve">Illustrative file containing three detail records and a trailer. Values are fictitious and are shown to illustrate structure only. There is no header record.</w:t>
      </w:r>
    </w:p>
    <w:p>
      <w:pPr>
        <w:spacing w:after="100"/>
      </w:pPr>
    </w:p>
    <w:p>
      <w:pPr>
        <w:spacing w:after="120" w:before="0" w:line="276"/>
      </w:pPr>
      <w:r>
        <w:rPr>
          <w:rFonts w:ascii="Calibri" w:cs="Calibri" w:eastAsia="Calibri" w:hAnsi="Calibri"/>
          <w:b w:val="false"/>
          <w:bCs w:val="false"/>
          <w:i/>
          <w:iCs/>
          <w:sz w:val="18"/>
          <w:szCs w:val="18"/>
        </w:rPr>
        <w:t xml:space="preserve">Each record below is 450 characters and is shown wrapped across five lines of 90 characters for legibility. In the actual file each record is a single unbroken line.</w:t>
      </w:r>
    </w:p>
    <w:p>
      <w:pPr>
        <w:spacing w:after="120"/>
      </w:pPr>
    </w:p>
    <w:p>
      <w:pPr>
        <w:spacing w:after="40"/>
      </w:pPr>
      <w:r>
        <w:rPr>
          <w:rFonts w:ascii="Calibri" w:cs="Calibri" w:eastAsia="Calibri" w:hAnsi="Calibri"/>
          <w:b/>
          <w:bCs/>
          <w:i w:val="false"/>
          <w:iCs w:val="false"/>
          <w:color w:val="2E74B5"/>
          <w:sz w:val="17"/>
          <w:szCs w:val="17"/>
        </w:rPr>
        <w:t xml:space="preserve">Record 1</w:t>
      </w:r>
    </w:p>
    <w:p>
      <w:pPr>
        <w:spacing w:after="20"/>
        <w:ind w:left="120"/>
      </w:pPr>
      <w:r>
        <w:rPr>
          <w:rFonts w:ascii="Consolas" w:cs="Consolas" w:eastAsia="Consolas" w:hAnsi="Consolas"/>
          <w:b w:val="false"/>
          <w:bCs w:val="false"/>
          <w:color w:val="1A1A1A"/>
          <w:sz w:val="13"/>
          <w:szCs w:val="13"/>
        </w:rPr>
        <w:t xml:space="preserve">  1: 000123456789012a0X5f000000ABCDE··············CAS0000123456·················0009988776·····</w:t>
      </w:r>
    </w:p>
    <w:p>
      <w:pPr>
        <w:spacing w:after="20"/>
        <w:ind w:left="120"/>
      </w:pPr>
      <w:r>
        <w:rPr>
          <w:rFonts w:ascii="Consolas" w:cs="Consolas" w:eastAsia="Consolas" w:hAnsi="Consolas"/>
          <w:b w:val="false"/>
          <w:bCs w:val="false"/>
          <w:color w:val="1A1A1A"/>
          <w:sz w:val="13"/>
          <w:szCs w:val="13"/>
        </w:rPr>
        <w:t xml:space="preserve"> 91: ·····0004455667··············PERFECTED···········100·Main·Street··························</w:t>
      </w:r>
    </w:p>
    <w:p>
      <w:pPr>
        <w:spacing w:after="20"/>
        <w:ind w:left="120"/>
      </w:pPr>
      <w:r>
        <w:rPr>
          <w:rFonts w:ascii="Consolas" w:cs="Consolas" w:eastAsia="Consolas" w:hAnsi="Consolas"/>
          <w:b w:val="false"/>
          <w:bCs w:val="false"/>
          <w:color w:val="1A1A1A"/>
          <w:sz w:val="13"/>
          <w:szCs w:val="13"/>
        </w:rPr>
        <w:t xml:space="preserve">181: ·········Suite·400········································································</w:t>
      </w:r>
    </w:p>
    <w:p>
      <w:pPr>
        <w:spacing w:after="20"/>
        <w:ind w:left="120"/>
      </w:pPr>
      <w:r>
        <w:rPr>
          <w:rFonts w:ascii="Consolas" w:cs="Consolas" w:eastAsia="Consolas" w:hAnsi="Consolas"/>
          <w:b w:val="false"/>
          <w:bCs w:val="false"/>
          <w:color w:val="1A1A1A"/>
          <w:sz w:val="13"/>
          <w:szCs w:val="13"/>
        </w:rPr>
        <w:t xml:space="preserve">271: ···················Buffalo···········································NY······14203········</w:t>
      </w:r>
    </w:p>
    <w:p>
      <w:pPr>
        <w:spacing w:after="20"/>
        <w:ind w:left="120"/>
      </w:pPr>
      <w:r>
        <w:rPr>
          <w:rFonts w:ascii="Consolas" w:cs="Consolas" w:eastAsia="Consolas" w:hAnsi="Consolas"/>
          <w:b w:val="false"/>
          <w:bCs w:val="false"/>
          <w:color w:val="1A1A1A"/>
          <w:sz w:val="13"/>
          <w:szCs w:val="13"/>
        </w:rPr>
        <w:t xml:space="preserve">361: ·······USAUnited·States···································································</w:t>
      </w:r>
    </w:p>
    <w:p>
      <w:pPr>
        <w:spacing w:after="140"/>
      </w:pPr>
    </w:p>
    <w:p>
      <w:pPr>
        <w:spacing w:after="40"/>
      </w:pPr>
      <w:r>
        <w:rPr>
          <w:rFonts w:ascii="Calibri" w:cs="Calibri" w:eastAsia="Calibri" w:hAnsi="Calibri"/>
          <w:b/>
          <w:bCs/>
          <w:i w:val="false"/>
          <w:iCs w:val="false"/>
          <w:color w:val="2E74B5"/>
          <w:sz w:val="17"/>
          <w:szCs w:val="17"/>
        </w:rPr>
        <w:t xml:space="preserve">Record 2</w:t>
      </w:r>
    </w:p>
    <w:p>
      <w:pPr>
        <w:spacing w:after="20"/>
        <w:ind w:left="120"/>
      </w:pPr>
      <w:r>
        <w:rPr>
          <w:rFonts w:ascii="Consolas" w:cs="Consolas" w:eastAsia="Consolas" w:hAnsi="Consolas"/>
          <w:b w:val="false"/>
          <w:bCs w:val="false"/>
          <w:color w:val="1A1A1A"/>
          <w:sz w:val="13"/>
          <w:szCs w:val="13"/>
        </w:rPr>
        <w:t xml:space="preserve">  1: 000123456789012a0X5f000000FGHIJ··············CAS0000123457·················0009988776·····</w:t>
      </w:r>
    </w:p>
    <w:p>
      <w:pPr>
        <w:spacing w:after="20"/>
        <w:ind w:left="120"/>
      </w:pPr>
      <w:r>
        <w:rPr>
          <w:rFonts w:ascii="Consolas" w:cs="Consolas" w:eastAsia="Consolas" w:hAnsi="Consolas"/>
          <w:b w:val="false"/>
          <w:bCs w:val="false"/>
          <w:color w:val="1A1A1A"/>
          <w:sz w:val="13"/>
          <w:szCs w:val="13"/>
        </w:rPr>
        <w:t xml:space="preserve"> 91: ·····0004455668··············PERFECTED···········2200·Delaware·Avenue·····················</w:t>
      </w:r>
    </w:p>
    <w:p>
      <w:pPr>
        <w:spacing w:after="20"/>
        <w:ind w:left="120"/>
      </w:pPr>
      <w:r>
        <w:rPr>
          <w:rFonts w:ascii="Consolas" w:cs="Consolas" w:eastAsia="Consolas" w:hAnsi="Consolas"/>
          <w:b w:val="false"/>
          <w:bCs w:val="false"/>
          <w:color w:val="1A1A1A"/>
          <w:sz w:val="13"/>
          <w:szCs w:val="13"/>
        </w:rPr>
        <w:t xml:space="preserve">181: ··························································································</w:t>
      </w:r>
    </w:p>
    <w:p>
      <w:pPr>
        <w:spacing w:after="20"/>
        <w:ind w:left="120"/>
      </w:pPr>
      <w:r>
        <w:rPr>
          <w:rFonts w:ascii="Consolas" w:cs="Consolas" w:eastAsia="Consolas" w:hAnsi="Consolas"/>
          <w:b w:val="false"/>
          <w:bCs w:val="false"/>
          <w:color w:val="1A1A1A"/>
          <w:sz w:val="13"/>
          <w:szCs w:val="13"/>
        </w:rPr>
        <w:t xml:space="preserve">271: ···················Buffalo···········································NY······14216········</w:t>
      </w:r>
    </w:p>
    <w:p>
      <w:pPr>
        <w:spacing w:after="20"/>
        <w:ind w:left="120"/>
      </w:pPr>
      <w:r>
        <w:rPr>
          <w:rFonts w:ascii="Consolas" w:cs="Consolas" w:eastAsia="Consolas" w:hAnsi="Consolas"/>
          <w:b w:val="false"/>
          <w:bCs w:val="false"/>
          <w:color w:val="1A1A1A"/>
          <w:sz w:val="13"/>
          <w:szCs w:val="13"/>
        </w:rPr>
        <w:t xml:space="preserve">361: ·······USAUnited·States···································································</w:t>
      </w:r>
    </w:p>
    <w:p>
      <w:pPr>
        <w:spacing w:after="140"/>
      </w:pPr>
    </w:p>
    <w:p>
      <w:pPr>
        <w:spacing w:after="40"/>
      </w:pPr>
      <w:r>
        <w:rPr>
          <w:rFonts w:ascii="Calibri" w:cs="Calibri" w:eastAsia="Calibri" w:hAnsi="Calibri"/>
          <w:b/>
          <w:bCs/>
          <w:i w:val="false"/>
          <w:iCs w:val="false"/>
          <w:color w:val="2E74B5"/>
          <w:sz w:val="17"/>
          <w:szCs w:val="17"/>
        </w:rPr>
        <w:t xml:space="preserve">Record 3</w:t>
      </w:r>
    </w:p>
    <w:p>
      <w:pPr>
        <w:spacing w:after="20"/>
        <w:ind w:left="120"/>
      </w:pPr>
      <w:r>
        <w:rPr>
          <w:rFonts w:ascii="Consolas" w:cs="Consolas" w:eastAsia="Consolas" w:hAnsi="Consolas"/>
          <w:b w:val="false"/>
          <w:bCs w:val="false"/>
          <w:color w:val="1A1A1A"/>
          <w:sz w:val="13"/>
          <w:szCs w:val="13"/>
        </w:rPr>
        <w:t xml:space="preserve">  1: 000987654321098a0X5f000000KLMNO··············CAS0000987654·················0001122334·····</w:t>
      </w:r>
    </w:p>
    <w:p>
      <w:pPr>
        <w:spacing w:after="20"/>
        <w:ind w:left="120"/>
      </w:pPr>
      <w:r>
        <w:rPr>
          <w:rFonts w:ascii="Consolas" w:cs="Consolas" w:eastAsia="Consolas" w:hAnsi="Consolas"/>
          <w:b w:val="false"/>
          <w:bCs w:val="false"/>
          <w:color w:val="1A1A1A"/>
          <w:sz w:val="13"/>
          <w:szCs w:val="13"/>
        </w:rPr>
        <w:t xml:space="preserve"> 91: ·····0007788990··············FILED···············1·Innovation·Way,·Building·C·············</w:t>
      </w:r>
    </w:p>
    <w:p>
      <w:pPr>
        <w:spacing w:after="20"/>
        <w:ind w:left="120"/>
      </w:pPr>
      <w:r>
        <w:rPr>
          <w:rFonts w:ascii="Consolas" w:cs="Consolas" w:eastAsia="Consolas" w:hAnsi="Consolas"/>
          <w:b w:val="false"/>
          <w:bCs w:val="false"/>
          <w:color w:val="1A1A1A"/>
          <w:sz w:val="13"/>
          <w:szCs w:val="13"/>
        </w:rPr>
        <w:t xml:space="preserve">181: ·········Attn:·Property·Mgmt······························································</w:t>
      </w:r>
    </w:p>
    <w:p>
      <w:pPr>
        <w:spacing w:after="20"/>
        <w:ind w:left="120"/>
      </w:pPr>
      <w:r>
        <w:rPr>
          <w:rFonts w:ascii="Consolas" w:cs="Consolas" w:eastAsia="Consolas" w:hAnsi="Consolas"/>
          <w:b w:val="false"/>
          <w:bCs w:val="false"/>
          <w:color w:val="1A1A1A"/>
          <w:sz w:val="13"/>
          <w:szCs w:val="13"/>
        </w:rPr>
        <w:t xml:space="preserve">271: ···················Amherst···········································NY······142280000····</w:t>
      </w:r>
    </w:p>
    <w:p>
      <w:pPr>
        <w:spacing w:after="20"/>
        <w:ind w:left="120"/>
      </w:pPr>
      <w:r>
        <w:rPr>
          <w:rFonts w:ascii="Consolas" w:cs="Consolas" w:eastAsia="Consolas" w:hAnsi="Consolas"/>
          <w:b w:val="false"/>
          <w:bCs w:val="false"/>
          <w:color w:val="1A1A1A"/>
          <w:sz w:val="13"/>
          <w:szCs w:val="13"/>
        </w:rPr>
        <w:t xml:space="preserve">361: ·······USAUnited·States···································································</w:t>
      </w:r>
    </w:p>
    <w:p>
      <w:pPr>
        <w:spacing w:after="140"/>
      </w:pPr>
    </w:p>
    <w:p>
      <w:pPr>
        <w:spacing w:after="40"/>
      </w:pPr>
      <w:r>
        <w:rPr>
          <w:rFonts w:ascii="Calibri" w:cs="Calibri" w:eastAsia="Calibri" w:hAnsi="Calibri"/>
          <w:b/>
          <w:bCs/>
          <w:i w:val="false"/>
          <w:iCs w:val="false"/>
          <w:color w:val="2E74B5"/>
          <w:sz w:val="17"/>
          <w:szCs w:val="17"/>
        </w:rPr>
        <w:t xml:space="preserve">Trailer</w:t>
      </w:r>
    </w:p>
    <w:p>
      <w:pPr>
        <w:spacing w:after="20"/>
        <w:ind w:left="120"/>
      </w:pPr>
      <w:r>
        <w:rPr>
          <w:rFonts w:ascii="Consolas" w:cs="Consolas" w:eastAsia="Consolas" w:hAnsi="Consolas"/>
          <w:b w:val="false"/>
          <w:bCs w:val="false"/>
          <w:color w:val="1A1A1A"/>
          <w:sz w:val="13"/>
          <w:szCs w:val="13"/>
        </w:rPr>
        <w:t xml:space="preserve">  1: TRAILER00000000320260921··································································</w:t>
      </w:r>
    </w:p>
    <w:p>
      <w:pPr>
        <w:spacing w:after="20"/>
        <w:ind w:left="120"/>
      </w:pPr>
      <w:r>
        <w:rPr>
          <w:rFonts w:ascii="Consolas" w:cs="Consolas" w:eastAsia="Consolas" w:hAnsi="Consolas"/>
          <w:b w:val="false"/>
          <w:bCs w:val="false"/>
          <w:color w:val="1A1A1A"/>
          <w:sz w:val="13"/>
          <w:szCs w:val="13"/>
        </w:rPr>
        <w:t xml:space="preserve"> 91: ··························································································</w:t>
      </w:r>
    </w:p>
    <w:p>
      <w:pPr>
        <w:spacing w:after="20"/>
        <w:ind w:left="120"/>
      </w:pPr>
      <w:r>
        <w:rPr>
          <w:rFonts w:ascii="Consolas" w:cs="Consolas" w:eastAsia="Consolas" w:hAnsi="Consolas"/>
          <w:b w:val="false"/>
          <w:bCs w:val="false"/>
          <w:color w:val="1A1A1A"/>
          <w:sz w:val="13"/>
          <w:szCs w:val="13"/>
        </w:rPr>
        <w:t xml:space="preserve">181: ··························································································</w:t>
      </w:r>
    </w:p>
    <w:p>
      <w:pPr>
        <w:spacing w:after="20"/>
        <w:ind w:left="120"/>
      </w:pPr>
      <w:r>
        <w:rPr>
          <w:rFonts w:ascii="Consolas" w:cs="Consolas" w:eastAsia="Consolas" w:hAnsi="Consolas"/>
          <w:b w:val="false"/>
          <w:bCs w:val="false"/>
          <w:color w:val="1A1A1A"/>
          <w:sz w:val="13"/>
          <w:szCs w:val="13"/>
        </w:rPr>
        <w:t xml:space="preserve">271: ··························································································</w:t>
      </w:r>
    </w:p>
    <w:p>
      <w:pPr>
        <w:spacing w:after="20"/>
        <w:ind w:left="120"/>
      </w:pPr>
      <w:r>
        <w:rPr>
          <w:rFonts w:ascii="Consolas" w:cs="Consolas" w:eastAsia="Consolas" w:hAnsi="Consolas"/>
          <w:b w:val="false"/>
          <w:bCs w:val="false"/>
          <w:color w:val="1A1A1A"/>
          <w:sz w:val="13"/>
          <w:szCs w:val="13"/>
        </w:rPr>
        <w:t xml:space="preserve">361: ··························································································</w:t>
      </w:r>
    </w:p>
    <w:p>
      <w:pPr>
        <w:spacing w:after="140"/>
      </w:pPr>
    </w:p>
    <w:p>
      <w:pPr>
        <w:spacing w:after="120" w:before="0" w:line="276"/>
      </w:pPr>
      <w:r>
        <w:rPr>
          <w:rFonts w:ascii="Calibri" w:cs="Calibri" w:eastAsia="Calibri" w:hAnsi="Calibri"/>
          <w:b w:val="false"/>
          <w:bCs w:val="false"/>
          <w:i/>
          <w:iCs/>
          <w:sz w:val="18"/>
          <w:szCs w:val="18"/>
        </w:rPr>
        <w:t xml:space="preserve">Spaces are shown as middle dots for legibility only; the actual file contains ordinary space characters (0x20). The number at the start of each line is the character position at which that line begins.</w:t>
      </w:r>
    </w:p>
    <w:p>
      <w:pPr>
        <w:spacing w:after="160"/>
      </w:pPr>
    </w:p>
    <w:p>
      <w:pPr>
        <w:spacing w:after="120" w:before="0" w:line="276"/>
      </w:pPr>
      <w:r>
        <w:rPr>
          <w:rFonts w:ascii="Calibri" w:cs="Calibri" w:eastAsia="Calibri" w:hAnsi="Calibri"/>
          <w:b w:val="false"/>
          <w:bCs w:val="false"/>
          <w:i w:val="false"/>
          <w:iCs w:val="false"/>
          <w:sz w:val="19"/>
          <w:szCs w:val="19"/>
        </w:rPr>
        <w:t xml:space="preserve">Points to note in the sample:</w:t>
      </w:r>
    </w:p>
    <w:p>
      <w:pPr>
        <w:pStyle w:val="ListParagraph"/>
        <w:numPr>
          <w:ilvl w:val="0"/>
          <w:numId w:val="2"/>
        </w:numPr>
        <w:spacing w:after="80" w:line="276"/>
      </w:pPr>
      <w:r>
        <w:rPr>
          <w:rFonts w:ascii="Calibri" w:cs="Calibri" w:eastAsia="Calibri" w:hAnsi="Calibri"/>
          <w:b/>
          <w:bCs/>
          <w:i w:val="false"/>
          <w:iCs w:val="false"/>
          <w:sz w:val="20"/>
          <w:szCs w:val="20"/>
        </w:rPr>
        <w:t xml:space="preserve">Records 1 and 2 share a Loan ID</w:t>
      </w:r>
      <w:r>
        <w:rPr>
          <w:rFonts w:ascii="Calibri" w:cs="Calibri" w:eastAsia="Calibri" w:hAnsi="Calibri"/>
          <w:b w:val="false"/>
          <w:bCs w:val="false"/>
          <w:i w:val="false"/>
          <w:iCs w:val="false"/>
          <w:sz w:val="20"/>
          <w:szCs w:val="20"/>
        </w:rPr>
        <w:t xml:space="preserve"> — one loan secured by two properties, per the record grain in Section 3.1.</w:t>
      </w:r>
    </w:p>
    <w:p>
      <w:pPr>
        <w:pStyle w:val="ListParagraph"/>
        <w:numPr>
          <w:ilvl w:val="0"/>
          <w:numId w:val="2"/>
        </w:numPr>
        <w:spacing w:after="80" w:line="276"/>
      </w:pPr>
      <w:r>
        <w:rPr>
          <w:rFonts w:ascii="Calibri" w:cs="Calibri" w:eastAsia="Calibri" w:hAnsi="Calibri"/>
          <w:b/>
          <w:bCs/>
          <w:i w:val="false"/>
          <w:iCs w:val="false"/>
          <w:sz w:val="20"/>
          <w:szCs w:val="20"/>
        </w:rPr>
        <w:t xml:space="preserve">Every record is exactly 450 characters</w:t>
      </w:r>
      <w:r>
        <w:rPr>
          <w:rFonts w:ascii="Calibri" w:cs="Calibri" w:eastAsia="Calibri" w:hAnsi="Calibri"/>
          <w:b w:val="false"/>
          <w:bCs w:val="false"/>
          <w:i w:val="false"/>
          <w:iCs w:val="false"/>
          <w:sz w:val="20"/>
          <w:szCs w:val="20"/>
        </w:rPr>
        <w:t xml:space="preserve">, so field boundaries fall at the same positions on every record.</w:t>
      </w:r>
    </w:p>
    <w:p>
      <w:pPr>
        <w:pStyle w:val="ListParagraph"/>
        <w:numPr>
          <w:ilvl w:val="0"/>
          <w:numId w:val="2"/>
        </w:numPr>
        <w:spacing w:after="80" w:line="276"/>
      </w:pPr>
      <w:r>
        <w:rPr>
          <w:rFonts w:ascii="Calibri" w:cs="Calibri" w:eastAsia="Calibri" w:hAnsi="Calibri"/>
          <w:b/>
          <w:bCs/>
          <w:i w:val="false"/>
          <w:iCs w:val="false"/>
          <w:sz w:val="20"/>
          <w:szCs w:val="20"/>
        </w:rPr>
        <w:t xml:space="preserve">Empty optional fields are filled with spaces</w:t>
      </w:r>
      <w:r>
        <w:rPr>
          <w:rFonts w:ascii="Calibri" w:cs="Calibri" w:eastAsia="Calibri" w:hAnsi="Calibri"/>
          <w:b w:val="false"/>
          <w:bCs w:val="false"/>
          <w:i w:val="false"/>
          <w:iCs w:val="false"/>
          <w:sz w:val="20"/>
          <w:szCs w:val="20"/>
        </w:rPr>
        <w:t xml:space="preserve"> for their full declared length — Property Address 3 is spaces on all three records.</w:t>
      </w:r>
    </w:p>
    <w:p>
      <w:pPr>
        <w:pStyle w:val="ListParagraph"/>
        <w:numPr>
          <w:ilvl w:val="0"/>
          <w:numId w:val="2"/>
        </w:numPr>
        <w:spacing w:after="80" w:line="276"/>
      </w:pPr>
      <w:r>
        <w:rPr>
          <w:rFonts w:ascii="Calibri" w:cs="Calibri" w:eastAsia="Calibri" w:hAnsi="Calibri"/>
          <w:b/>
          <w:bCs/>
          <w:i w:val="false"/>
          <w:iCs w:val="false"/>
          <w:sz w:val="20"/>
          <w:szCs w:val="20"/>
        </w:rPr>
        <w:t xml:space="preserve">Leading zeros are present</w:t>
      </w:r>
      <w:r>
        <w:rPr>
          <w:rFonts w:ascii="Calibri" w:cs="Calibri" w:eastAsia="Calibri" w:hAnsi="Calibri"/>
          <w:b w:val="false"/>
          <w:bCs w:val="false"/>
          <w:i w:val="false"/>
          <w:iCs w:val="false"/>
          <w:sz w:val="20"/>
          <w:szCs w:val="20"/>
        </w:rPr>
        <w:t xml:space="preserve"> on the identifier fields and are significant.</w:t>
      </w:r>
    </w:p>
    <w:p>
      <w:r>
        <w:br w:type="page"/>
      </w:r>
    </w:p>
    <w:p>
      <w:pPr>
        <w:pStyle w:val="Heading1"/>
        <w:spacing w:after="160" w:before="320"/>
      </w:pPr>
      <w:r>
        <w:rPr>
          <w:rFonts w:ascii="Calibri" w:cs="Calibri" w:eastAsia="Calibri" w:hAnsi="Calibri"/>
          <w:b/>
          <w:bCs/>
          <w:color w:val="1F3864"/>
          <w:sz w:val="28"/>
          <w:szCs w:val="28"/>
        </w:rPr>
        <w:t xml:space="preserve">Review and Sign-off</w:t>
      </w:r>
    </w:p>
    <w:p>
      <w:pPr>
        <w:spacing w:after="120" w:before="0" w:line="276"/>
      </w:pPr>
      <w:r>
        <w:rPr>
          <w:rFonts w:ascii="Calibri" w:cs="Calibri" w:eastAsia="Calibri" w:hAnsi="Calibri"/>
          <w:b w:val="false"/>
          <w:bCs w:val="false"/>
          <w:i w:val="false"/>
          <w:iCs w:val="false"/>
          <w:sz w:val="20"/>
          <w:szCs w:val="20"/>
        </w:rPr>
        <w:t xml:space="preserve">This specification is baselined once all parties below have signed. Any subsequent change to Section 5 (File Characteristics) or Section 7 (Record Layout) requires a new version and a repeat of this sign-off.</w:t>
      </w:r>
    </w:p>
    <w:p>
      <w:pPr>
        <w:spacing w:after="12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400"/>
        <w:gridCol w:w="2600"/>
        <w:gridCol w:w="2360"/>
        <w:gridCol w:w="2000"/>
      </w:tblGrid>
      <w:tr>
        <w:trPr>
          <w:tblHeader/>
        </w:trPr>
        <w:tc>
          <w:tcPr>
            <w:tcW w:type="dxa" w:w="24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Party</w:t>
            </w:r>
          </w:p>
        </w:tc>
        <w:tc>
          <w:tcPr>
            <w:tcW w:type="dxa" w:w="26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Role</w:t>
            </w:r>
          </w:p>
        </w:tc>
        <w:tc>
          <w:tcPr>
            <w:tcW w:type="dxa" w:w="23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Name</w:t>
            </w:r>
          </w:p>
        </w:tc>
        <w:tc>
          <w:tcPr>
            <w:tcW w:type="dxa" w:w="20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Date</w:t>
            </w:r>
          </w:p>
        </w:tc>
      </w:tr>
      <w:tr>
        <w:tc>
          <w:tcPr>
            <w:tcW w:type="dxa" w:w="24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Business</w:t>
            </w:r>
          </w:p>
        </w:tc>
        <w:tc>
          <w:tcPr>
            <w:tcW w:type="dxa" w:w="26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Business Owner — Collateral</w:t>
            </w:r>
          </w:p>
        </w:tc>
        <w:tc>
          <w:tcPr>
            <w:tcW w:type="dxa" w:w="2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20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r>
      <w:tr>
        <w:tc>
          <w:tcPr>
            <w:tcW w:type="dxa" w:w="24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Technology</w:t>
            </w:r>
          </w:p>
        </w:tc>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CL7 Tech Lead</w:t>
            </w:r>
          </w:p>
        </w:tc>
        <w:tc>
          <w:tcPr>
            <w:tcW w:type="dxa" w:w="2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20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r>
      <w:tr>
        <w:tc>
          <w:tcPr>
            <w:tcW w:type="dxa" w:w="24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Technology</w:t>
            </w:r>
          </w:p>
        </w:tc>
        <w:tc>
          <w:tcPr>
            <w:tcW w:type="dxa" w:w="26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CL7 Developer (Author)</w:t>
            </w:r>
          </w:p>
        </w:tc>
        <w:tc>
          <w:tcPr>
            <w:tcW w:type="dxa" w:w="2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Ajay</w:t>
            </w:r>
          </w:p>
        </w:tc>
        <w:tc>
          <w:tcPr>
            <w:tcW w:type="dxa" w:w="20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r>
      <w:tr>
        <w:tc>
          <w:tcPr>
            <w:tcW w:type="dxa" w:w="2400"/>
            <w:shd w:fill="F2F5FA" w:color="auto" w:val="clear"/>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RST / RLC</w:t>
            </w:r>
          </w:p>
        </w:tc>
        <w:tc>
          <w:tcPr>
            <w:tcW w:type="dxa" w:w="26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Consuming Application Lead</w:t>
            </w:r>
          </w:p>
        </w:tc>
        <w:tc>
          <w:tcPr>
            <w:tcW w:type="dxa" w:w="23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20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r>
      <w:tr>
        <w:tc>
          <w:tcPr>
            <w:tcW w:type="dxa" w:w="2400"/>
            <w:tcMar>
              <w:top w:type="dxa" w:w="60"/>
              <w:left w:type="dxa" w:w="90"/>
              <w:bottom w:type="dxa" w:w="60"/>
              <w:right w:type="dxa" w:w="90"/>
            </w:tcMar>
            <w:vAlign w:val="center"/>
          </w:tcPr>
          <w:p>
            <w:pPr>
              <w:spacing w:after="0"/>
            </w:pPr>
            <w:r>
              <w:rPr>
                <w:rFonts w:ascii="Calibri" w:cs="Calibri" w:eastAsia="Calibri" w:hAnsi="Calibri"/>
                <w:b/>
                <w:bCs/>
                <w:i w:val="false"/>
                <w:iCs w:val="false"/>
                <w:sz w:val="18"/>
                <w:szCs w:val="18"/>
              </w:rPr>
              <w:t xml:space="preserve">RST / RLC</w:t>
            </w:r>
          </w:p>
        </w:tc>
        <w:tc>
          <w:tcPr>
            <w:tcW w:type="dxa" w:w="26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App Code Product Owner</w:t>
            </w:r>
          </w:p>
        </w:tc>
        <w:tc>
          <w:tcPr>
            <w:tcW w:type="dxa" w:w="23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20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r>
    </w:tbl>
    <w:p>
      <w:pPr>
        <w:spacing w:after="300"/>
      </w:pPr>
    </w:p>
    <w:p>
      <w:pPr>
        <w:pStyle w:val="Heading2"/>
        <w:spacing w:after="120" w:before="240"/>
      </w:pPr>
      <w:r>
        <w:rPr>
          <w:rFonts w:ascii="Calibri" w:cs="Calibri" w:eastAsia="Calibri" w:hAnsi="Calibri"/>
          <w:b/>
          <w:bCs/>
          <w:color w:val="2E74B5"/>
          <w:sz w:val="23"/>
          <w:szCs w:val="23"/>
        </w:rPr>
        <w:t xml:space="preserve">Revision History</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1100"/>
        <w:gridCol w:w="1600"/>
        <w:gridCol w:w="2400"/>
        <w:gridCol w:w="4260"/>
      </w:tblGrid>
      <w:tr>
        <w:trPr>
          <w:tblHeader/>
        </w:trPr>
        <w:tc>
          <w:tcPr>
            <w:tcW w:type="dxa" w:w="11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Version</w:t>
            </w:r>
          </w:p>
        </w:tc>
        <w:tc>
          <w:tcPr>
            <w:tcW w:type="dxa" w:w="16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Date</w:t>
            </w:r>
          </w:p>
        </w:tc>
        <w:tc>
          <w:tcPr>
            <w:tcW w:type="dxa" w:w="240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Author</w:t>
            </w:r>
          </w:p>
        </w:tc>
        <w:tc>
          <w:tcPr>
            <w:tcW w:type="dxa" w:w="4260"/>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Description</w:t>
            </w:r>
          </w:p>
        </w:tc>
      </w:tr>
      <w:tr>
        <w:tc>
          <w:tcPr>
            <w:tcW w:type="dxa" w:w="11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1.0</w:t>
            </w:r>
          </w:p>
        </w:tc>
        <w:tc>
          <w:tcPr>
            <w:tcW w:type="dxa" w:w="16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21-Sep-2026</w:t>
            </w:r>
          </w:p>
        </w:tc>
        <w:tc>
          <w:tcPr>
            <w:tcW w:type="dxa" w:w="2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Ajay (CL7)</w:t>
            </w:r>
          </w:p>
        </w:tc>
        <w:tc>
          <w:tcPr>
            <w:tcW w:type="dxa" w:w="42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Initial issue for review and sign-off. Fixed-width layout.</w:t>
            </w:r>
          </w:p>
        </w:tc>
      </w:tr>
      <w:tr>
        <w:tc>
          <w:tcPr>
            <w:tcW w:type="dxa" w:w="11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16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240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4260"/>
            <w:shd w:fill="F2F5FA" w:color="auto" w:val="clear"/>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r>
      <w:tr>
        <w:tc>
          <w:tcPr>
            <w:tcW w:type="dxa" w:w="11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16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240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c>
          <w:tcPr>
            <w:tcW w:type="dxa" w:w="4260"/>
            <w:tcMar>
              <w:top w:type="dxa" w:w="60"/>
              <w:left w:type="dxa" w:w="90"/>
              <w:bottom w:type="dxa" w:w="60"/>
              <w:right w:type="dxa" w:w="90"/>
            </w:tcMar>
            <w:vAlign w:val="center"/>
          </w:tcPr>
          <w:p>
            <w:pPr>
              <w:spacing w:after="0"/>
            </w:pPr>
            <w:r>
              <w:rPr>
                <w:rFonts w:ascii="Calibri" w:cs="Calibri" w:eastAsia="Calibri" w:hAnsi="Calibri"/>
                <w:b w:val="false"/>
                <w:bCs w:val="false"/>
                <w:i w:val="false"/>
                <w:iCs w:val="false"/>
                <w:sz w:val="18"/>
                <w:szCs w:val="18"/>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0" w:sz="4"/>
      </w:pBdr>
      <w:spacing w:before="100"/>
      <w:jc w:val="center"/>
    </w:pPr>
    <w:r>
      <w:rPr>
        <w:rFonts w:ascii="Calibri" w:cs="Calibri" w:eastAsia="Calibri" w:hAnsi="Calibri"/>
        <w:b w:val="false"/>
        <w:bCs w:val="false"/>
        <w:i w:val="false"/>
        <w:iCs w:val="false"/>
        <w:color w:val="6A7688"/>
        <w:sz w:val="16"/>
        <w:szCs w:val="16"/>
      </w:rPr>
      <w:t xml:space="preserve">CL7 → RST/RLC Collateral-to-Loan Linkage — Flat File Specification  |  Page </w:t>
    </w:r>
    <w:r>
      <w:rPr>
        <w:rFonts w:ascii="Calibri" w:cs="Calibri" w:eastAsia="Calibri" w:hAnsi="Calibri"/>
        <w:color w:val="6A7688"/>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6A7688"/>
        <w:sz w:val="16"/>
        <w:szCs w:val="16"/>
      </w:rPr>
      <w:t xml:space="preserve"> of </w:t>
    </w:r>
    <w:r>
      <w:rPr>
        <w:rFonts w:ascii="Calibri" w:cs="Calibri" w:eastAsia="Calibri" w:hAnsi="Calibri"/>
        <w:color w:val="6A76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CL7 to RST/RLC Collateral-to-Loan Linkage — Flat File Specification</dc:title>
  <dc:creator>Ajay — CL7 / Collate ETL</dc:creator>
  <cp:lastModifiedBy>Un-named</cp:lastModifiedBy>
  <cp:revision>1</cp:revision>
  <dcterms:created xsi:type="dcterms:W3CDTF">2026-09-22T03:13:03.178Z</dcterms:created>
  <dcterms:modified xsi:type="dcterms:W3CDTF">2026-09-22T03:13:03.179Z</dcterms:modified>
</cp:coreProperties>
</file>

<file path=docProps/custom.xml><?xml version="1.0" encoding="utf-8"?>
<Properties xmlns="http://schemas.openxmlformats.org/officeDocument/2006/custom-properties" xmlns:vt="http://schemas.openxmlformats.org/officeDocument/2006/docPropsVTypes"/>
</file>