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8A"/>
          <w:sz w:val="48"/>
        </w:rPr>
        <w:t>NSW Property Market Investment Framework</w:t>
      </w:r>
    </w:p>
    <w:p>
      <w:pPr>
        <w:spacing w:before="0" w:after="360"/>
      </w:pPr>
      <w:r>
        <w:rPr>
          <w:rFonts w:ascii="Arial" w:hAnsi="Arial"/>
          <w:color w:val="64748B"/>
          <w:sz w:val="28"/>
        </w:rPr>
        <w:t>Business Requirements Document (BRD) — Problem &amp; Strategic Imperatives</w:t>
      </w:r>
    </w:p>
    <w:p>
      <w:pPr>
        <w:spacing w:after="240"/>
      </w:pPr>
      <w:r>
        <w:rPr>
          <w:color w:val="CBD5E1"/>
        </w:rPr>
        <w:t>―――――――――――――――――――――――――――――――――――――――――――――――――――――――</w:t>
      </w:r>
    </w:p>
    <w:p>
      <w:pPr>
        <w:keepNext/>
        <w:spacing w:before="320" w:after="120"/>
      </w:pPr>
      <w:r>
        <w:rPr>
          <w:rFonts w:ascii="Arial" w:hAnsi="Arial"/>
          <w:b/>
          <w:color w:val="1E3A8A"/>
          <w:sz w:val="36"/>
        </w:rPr>
        <w:t>1. Executive Summary &amp; Client Investment Thesis</w:t>
      </w:r>
    </w:p>
    <w:p>
      <w:pPr>
        <w:spacing w:before="0" w:after="120" w:line="276" w:lineRule="auto"/>
      </w:pPr>
      <w:r>
        <w:rPr>
          <w:rFonts w:ascii="Calibri" w:hAnsi="Calibri"/>
          <w:color w:val="334155"/>
          <w:sz w:val="22"/>
        </w:rPr>
        <w:t>This Business Requirements Document (BRD) defines the operational challenges, market context, and strategic drivers for a private property investment client seeking to maximize profit through capital growth and value-entry property acquisitions across New South Wales (NSW). The client's mandate focuses on acquiring real estate assets that offer significant capital appreciation potential while maintaining accessible entry valuations, ensuring favorable risk-adjusted returns.</w:t>
      </w:r>
    </w:p>
    <w:p>
      <w:pPr>
        <w:keepNext/>
        <w:spacing w:before="240" w:after="80"/>
      </w:pPr>
      <w:r>
        <w:rPr>
          <w:rFonts w:ascii="Arial" w:hAnsi="Arial"/>
          <w:b/>
          <w:color w:val="0284C7"/>
          <w:sz w:val="28"/>
        </w:rPr>
        <w:t>1.1 Client Investment Objectives</w:t>
      </w:r>
    </w:p>
    <w:p>
      <w:pPr>
        <w:pStyle w:val="ListBullet"/>
        <w:spacing w:before="0" w:after="60" w:line="276" w:lineRule="auto"/>
      </w:pPr>
      <w:r>
        <w:rPr>
          <w:rFonts w:ascii="Calibri" w:hAnsi="Calibri"/>
          <w:b/>
          <w:color w:val="1E293B"/>
          <w:sz w:val="22"/>
        </w:rPr>
        <w:t xml:space="preserve">Capital Appreciation Focus: </w:t>
      </w:r>
      <w:r>
        <w:rPr>
          <w:rFonts w:ascii="Calibri" w:hAnsi="Calibri"/>
          <w:color w:val="334155"/>
          <w:sz w:val="22"/>
        </w:rPr>
        <w:t>Target properties in geographic markets exhibiting above-average historical and projected value growth.</w:t>
      </w:r>
    </w:p>
    <w:p>
      <w:pPr>
        <w:pStyle w:val="ListBullet"/>
        <w:spacing w:before="0" w:after="60" w:line="276" w:lineRule="auto"/>
      </w:pPr>
      <w:r>
        <w:rPr>
          <w:rFonts w:ascii="Calibri" w:hAnsi="Calibri"/>
          <w:b/>
          <w:color w:val="1E293B"/>
          <w:sz w:val="22"/>
        </w:rPr>
        <w:t xml:space="preserve">Value-Entry Acquisition: </w:t>
      </w:r>
      <w:r>
        <w:rPr>
          <w:rFonts w:ascii="Calibri" w:hAnsi="Calibri"/>
          <w:color w:val="334155"/>
          <w:sz w:val="22"/>
        </w:rPr>
        <w:t>Avoid overpaying for already inflated markets by establishing entry thresholds relative to suburb-level land and property dimensions.</w:t>
      </w:r>
    </w:p>
    <w:p>
      <w:pPr>
        <w:pStyle w:val="ListBullet"/>
        <w:spacing w:before="0" w:after="60" w:line="276" w:lineRule="auto"/>
      </w:pPr>
      <w:r>
        <w:rPr>
          <w:rFonts w:ascii="Calibri" w:hAnsi="Calibri"/>
          <w:b/>
          <w:color w:val="1E293B"/>
          <w:sz w:val="22"/>
        </w:rPr>
        <w:t xml:space="preserve">Cash-Flow Risk Management: </w:t>
      </w:r>
      <w:r>
        <w:rPr>
          <w:rFonts w:ascii="Calibri" w:hAnsi="Calibri"/>
          <w:color w:val="334155"/>
          <w:sz w:val="22"/>
        </w:rPr>
        <w:t>Balance long-term capital land bank acquisitions with high-yielding niche assets to cover holding costs.</w:t>
      </w:r>
    </w:p>
    <w:p>
      <w:pPr>
        <w:pStyle w:val="ListBullet"/>
        <w:spacing w:before="0" w:after="60" w:line="276" w:lineRule="auto"/>
      </w:pPr>
      <w:r>
        <w:rPr>
          <w:rFonts w:ascii="Calibri" w:hAnsi="Calibri"/>
          <w:b/>
          <w:color w:val="1E293B"/>
          <w:sz w:val="22"/>
        </w:rPr>
        <w:t xml:space="preserve">Geographic Diversification: </w:t>
      </w:r>
      <w:r>
        <w:rPr>
          <w:rFonts w:ascii="Calibri" w:hAnsi="Calibri"/>
          <w:color w:val="334155"/>
          <w:sz w:val="22"/>
        </w:rPr>
        <w:t>Mitigate localized market downturns through balanced allocations across key NSW Council Local Government Areas (LGAs).</w:t>
      </w:r>
    </w:p>
    <w:p>
      <w:pPr>
        <w:keepNext/>
        <w:spacing w:before="320" w:after="120"/>
      </w:pPr>
      <w:r>
        <w:rPr>
          <w:rFonts w:ascii="Arial" w:hAnsi="Arial"/>
          <w:b/>
          <w:color w:val="1E3A8A"/>
          <w:sz w:val="36"/>
        </w:rPr>
        <w:t>2. Business Context &amp; Problem Statement</w:t>
      </w:r>
    </w:p>
    <w:p>
      <w:pPr>
        <w:spacing w:before="0" w:after="120" w:line="276" w:lineRule="auto"/>
      </w:pPr>
      <w:r>
        <w:rPr>
          <w:rFonts w:ascii="Calibri" w:hAnsi="Calibri"/>
          <w:color w:val="334155"/>
          <w:sz w:val="22"/>
        </w:rPr>
        <w:t>Navigating the NSW real estate market for profitable investment acquisitions presents significant structural obstacles. While historical transaction data is publicly accessible through NSW Valuer General records, raw transaction feeds are inherently noisy, unstructured, and ambiguous, creating serious decision-making risks for investors.</w:t>
      </w:r>
    </w:p>
    <w:p>
      <w:pPr>
        <w:keepNext/>
        <w:spacing w:before="240" w:after="80"/>
      </w:pPr>
      <w:r>
        <w:rPr>
          <w:rFonts w:ascii="Arial" w:hAnsi="Arial"/>
          <w:b/>
          <w:color w:val="0284C7"/>
          <w:sz w:val="28"/>
        </w:rPr>
        <w:t>2.1 Key Business Problems &amp; Challenges</w:t>
      </w:r>
    </w:p>
    <w:p>
      <w:pPr>
        <w:pStyle w:val="ListBullet"/>
        <w:spacing w:before="0" w:after="60" w:line="276" w:lineRule="auto"/>
      </w:pPr>
      <w:r>
        <w:rPr>
          <w:rFonts w:ascii="Calibri" w:hAnsi="Calibri"/>
          <w:b/>
          <w:color w:val="1E293B"/>
          <w:sz w:val="22"/>
        </w:rPr>
        <w:t xml:space="preserve">Data Volume &amp; Noise Distortion: </w:t>
      </w:r>
      <w:r>
        <w:rPr>
          <w:rFonts w:ascii="Calibri" w:hAnsi="Calibri"/>
          <w:color w:val="334155"/>
          <w:sz w:val="22"/>
        </w:rPr>
        <w:t>The state dataset contains over 1.5 million raw transaction records. High volumes of non-arm's length transfers (e.g., family transfers, court orders, nominal $1 sales) distort true market value calculations unless systematically excluded.</w:t>
      </w:r>
    </w:p>
    <w:p>
      <w:pPr>
        <w:pStyle w:val="ListBullet"/>
        <w:spacing w:before="0" w:after="60" w:line="276" w:lineRule="auto"/>
      </w:pPr>
      <w:r>
        <w:rPr>
          <w:rFonts w:ascii="Calibri" w:hAnsi="Calibri"/>
          <w:b/>
          <w:color w:val="1E293B"/>
          <w:sz w:val="22"/>
        </w:rPr>
        <w:t xml:space="preserve">Misleading Aggregate Pricing Metrics: </w:t>
      </w:r>
      <w:r>
        <w:rPr>
          <w:rFonts w:ascii="Calibri" w:hAnsi="Calibri"/>
          <w:color w:val="334155"/>
          <w:sz w:val="22"/>
        </w:rPr>
        <w:t>Traditional market reports rely heavily on suburb median sale prices. This aggregate view hides essential unit metrics—such as price per square metre—leading investors to misjudge actual land value across varying block sizes.</w:t>
      </w:r>
    </w:p>
    <w:p>
      <w:pPr>
        <w:pStyle w:val="ListBullet"/>
        <w:spacing w:before="0" w:after="60" w:line="276" w:lineRule="auto"/>
      </w:pPr>
      <w:r>
        <w:rPr>
          <w:rFonts w:ascii="Calibri" w:hAnsi="Calibri"/>
          <w:b/>
          <w:color w:val="1E293B"/>
          <w:sz w:val="22"/>
        </w:rPr>
        <w:t xml:space="preserve">Identification of 'Value-Entry' Opportunities: </w:t>
      </w:r>
      <w:r>
        <w:rPr>
          <w:rFonts w:ascii="Calibri" w:hAnsi="Calibri"/>
          <w:color w:val="334155"/>
          <w:sz w:val="22"/>
        </w:rPr>
        <w:t>Investors struggle to systematically separate postcodes that are 'already expensive with high growth' from those that are 'still affordable with high growth' (Quadrant 1 targets), leading to suboptimal entry timing.</w:t>
      </w:r>
    </w:p>
    <w:p>
      <w:pPr>
        <w:pStyle w:val="ListBullet"/>
        <w:spacing w:before="0" w:after="60" w:line="276" w:lineRule="auto"/>
      </w:pPr>
      <w:r>
        <w:rPr>
          <w:rFonts w:ascii="Calibri" w:hAnsi="Calibri"/>
          <w:b/>
          <w:color w:val="1E293B"/>
          <w:sz w:val="22"/>
        </w:rPr>
        <w:t xml:space="preserve">Spatial Ambiguity &amp; Unmatched Locations: </w:t>
      </w:r>
      <w:r>
        <w:rPr>
          <w:rFonts w:ascii="Calibri" w:hAnsi="Calibri"/>
          <w:color w:val="334155"/>
          <w:sz w:val="22"/>
        </w:rPr>
        <w:t>Raw transaction feeds lack explicit spatial attributes (geocodes/coordinates) and contain inconsistent suburb naming, making spatial cluster analysis around major infrastructure corridors unreliable.</w:t>
      </w:r>
    </w:p>
    <w:p>
      <w:pPr>
        <w:pStyle w:val="ListBullet"/>
        <w:spacing w:before="0" w:after="60" w:line="276" w:lineRule="auto"/>
      </w:pPr>
      <w:r>
        <w:rPr>
          <w:rFonts w:ascii="Calibri" w:hAnsi="Calibri"/>
          <w:b/>
          <w:color w:val="1E293B"/>
          <w:sz w:val="22"/>
        </w:rPr>
        <w:t xml:space="preserve">Portfolio Concentration Risk: </w:t>
      </w:r>
      <w:r>
        <w:rPr>
          <w:rFonts w:ascii="Calibri" w:hAnsi="Calibri"/>
          <w:color w:val="334155"/>
          <w:sz w:val="22"/>
        </w:rPr>
        <w:t>Without multi-LGA comparisons, capital allocations risk over-concentration in single council areas vulnerable to policy or localized economic shifts.</w:t>
      </w:r>
    </w:p>
    <w:p>
      <w:pPr>
        <w:keepNext/>
        <w:spacing w:before="320" w:after="120"/>
      </w:pPr>
      <w:r>
        <w:rPr>
          <w:rFonts w:ascii="Arial" w:hAnsi="Arial"/>
          <w:b/>
          <w:color w:val="1E3A8A"/>
          <w:sz w:val="36"/>
        </w:rPr>
        <w:t>3. Why a Solution is Needed (Business Drivers &amp; Justification)</w:t>
      </w:r>
    </w:p>
    <w:p>
      <w:pPr>
        <w:spacing w:before="0" w:after="120" w:line="276" w:lineRule="auto"/>
      </w:pPr>
      <w:r>
        <w:rPr>
          <w:rFonts w:ascii="Calibri" w:hAnsi="Calibri"/>
          <w:color w:val="334155"/>
          <w:sz w:val="22"/>
        </w:rPr>
        <w:t>To achieve profitable property acquisition at scale, the client cannot rely on intuition, broker pitches, or headline median prices. A robust analytics solution is strictly required to address these business challenges for the following strategic reasons:</w:t>
      </w:r>
    </w:p>
    <w:p>
      <w:pPr>
        <w:keepNext/>
        <w:spacing w:before="240" w:after="80"/>
      </w:pPr>
      <w:r>
        <w:rPr>
          <w:rFonts w:ascii="Arial" w:hAnsi="Arial"/>
          <w:b/>
          <w:color w:val="0284C7"/>
          <w:sz w:val="28"/>
        </w:rPr>
        <w:t>3.1 Core Business Drivers</w:t>
      </w:r>
    </w:p>
    <w:p>
      <w:pPr>
        <w:pStyle w:val="ListBullet"/>
        <w:spacing w:before="0" w:after="60" w:line="276" w:lineRule="auto"/>
      </w:pPr>
      <w:r>
        <w:rPr>
          <w:rFonts w:ascii="Calibri" w:hAnsi="Calibri"/>
          <w:b/>
          <w:color w:val="1E293B"/>
          <w:sz w:val="22"/>
        </w:rPr>
        <w:t xml:space="preserve">Capital Protection &amp; Noise Removal: </w:t>
      </w:r>
      <w:r>
        <w:rPr>
          <w:rFonts w:ascii="Calibri" w:hAnsi="Calibri"/>
          <w:color w:val="334155"/>
          <w:sz w:val="22"/>
        </w:rPr>
        <w:t>Making multi-million dollar investment decisions on uncleaned data exposes the client to artificial price signals. A verified data pipeline is needed to guarantee that all evaluation metrics reflect genuine open-market transactions.</w:t>
      </w:r>
    </w:p>
    <w:p>
      <w:pPr>
        <w:pStyle w:val="ListBullet"/>
        <w:spacing w:before="0" w:after="60" w:line="276" w:lineRule="auto"/>
      </w:pPr>
      <w:r>
        <w:rPr>
          <w:rFonts w:ascii="Calibri" w:hAnsi="Calibri"/>
          <w:b/>
          <w:color w:val="1E293B"/>
          <w:sz w:val="22"/>
        </w:rPr>
        <w:t xml:space="preserve">Standardized Value Measurement: </w:t>
      </w:r>
      <w:r>
        <w:rPr>
          <w:rFonts w:ascii="Calibri" w:hAnsi="Calibri"/>
          <w:color w:val="334155"/>
          <w:sz w:val="22"/>
        </w:rPr>
        <w:t>A solution is required to evaluate properties on a standardized price-per-square-metre ($/sqm) basis, enabling true 'apples-to-apples' comparisons between diverse property types and lot sizes across NSW.</w:t>
      </w:r>
    </w:p>
    <w:p>
      <w:pPr>
        <w:pStyle w:val="ListBullet"/>
        <w:spacing w:before="0" w:after="60" w:line="276" w:lineRule="auto"/>
      </w:pPr>
      <w:r>
        <w:rPr>
          <w:rFonts w:ascii="Calibri" w:hAnsi="Calibri"/>
          <w:b/>
          <w:color w:val="1E293B"/>
          <w:sz w:val="22"/>
        </w:rPr>
        <w:t xml:space="preserve">Objective Quadrant Segmentation: </w:t>
      </w:r>
      <w:r>
        <w:rPr>
          <w:rFonts w:ascii="Calibri" w:hAnsi="Calibri"/>
          <w:color w:val="334155"/>
          <w:sz w:val="22"/>
        </w:rPr>
        <w:t>The business requires a structured framework to categorize NSW postcodes into strategic investment quadrants, isolating high-growth, lower-cost suburbs (Quadrant 1) before broader market repricing occurs.</w:t>
      </w:r>
    </w:p>
    <w:p>
      <w:pPr>
        <w:pStyle w:val="ListBullet"/>
        <w:spacing w:before="0" w:after="60" w:line="276" w:lineRule="auto"/>
      </w:pPr>
      <w:r>
        <w:rPr>
          <w:rFonts w:ascii="Calibri" w:hAnsi="Calibri"/>
          <w:b/>
          <w:color w:val="1E293B"/>
          <w:sz w:val="22"/>
        </w:rPr>
        <w:t xml:space="preserve">Strategic Infrastructure Corridor Targeting: </w:t>
      </w:r>
      <w:r>
        <w:rPr>
          <w:rFonts w:ascii="Calibri" w:hAnsi="Calibri"/>
          <w:color w:val="334155"/>
          <w:sz w:val="22"/>
        </w:rPr>
        <w:t>Major public infrastructure investments—such as the Western Sydney International Airport and Badgerys Creek growth precinct—create localized value surges. The business needs a mechanism to track growth corridors before full operational activation.</w:t>
      </w:r>
    </w:p>
    <w:p>
      <w:pPr>
        <w:pStyle w:val="ListBullet"/>
        <w:spacing w:before="0" w:after="60" w:line="276" w:lineRule="auto"/>
      </w:pPr>
      <w:r>
        <w:rPr>
          <w:rFonts w:ascii="Calibri" w:hAnsi="Calibri"/>
          <w:b/>
          <w:color w:val="1E293B"/>
          <w:sz w:val="22"/>
        </w:rPr>
        <w:t xml:space="preserve">Executive Decision Support &amp; Speed: </w:t>
      </w:r>
      <w:r>
        <w:rPr>
          <w:rFonts w:ascii="Calibri" w:hAnsi="Calibri"/>
          <w:color w:val="334155"/>
          <w:sz w:val="22"/>
        </w:rPr>
        <w:t>Investment committee members require clear, interactive visual navigation to drill down from high-level state/LGA trends to specific suburb metrics, accelerating deal execution and acquisition confidence.</w:t>
      </w:r>
    </w:p>
    <w:p>
      <w:pPr>
        <w:keepNext/>
        <w:spacing w:before="320" w:after="120"/>
      </w:pPr>
      <w:r>
        <w:rPr>
          <w:rFonts w:ascii="Arial" w:hAnsi="Arial"/>
          <w:b/>
          <w:color w:val="1E3A8A"/>
          <w:sz w:val="36"/>
        </w:rPr>
        <w:t>4. High-Level Business Requirements</w:t>
      </w:r>
    </w:p>
    <w:p>
      <w:pPr>
        <w:spacing w:before="0" w:after="120" w:line="276" w:lineRule="auto"/>
      </w:pPr>
      <w:r>
        <w:rPr>
          <w:rFonts w:ascii="Calibri" w:hAnsi="Calibri"/>
          <w:color w:val="334155"/>
          <w:sz w:val="22"/>
        </w:rPr>
        <w:t>To satisfy the client's strategic goals and resolve the identified problem statements, the business requires the following core capabilities: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E3A8A" w:val="clear"/>
            <w:tcMar>
              <w:top w:w="80" w:type="dxa"/>
              <w:bottom w:w="80" w:type="dxa"/>
              <w:left w:w="100" w:type="dxa"/>
              <w:right w:w="100" w:type="dxa"/>
            </w:tcMar>
          </w:tcPr>
          <w:p>
            <w:pPr>
              <w:jc w:val="left"/>
            </w:pPr>
            <w:r>
              <w:rPr>
                <w:rFonts w:ascii="Arial" w:hAnsi="Arial"/>
                <w:b/>
                <w:color w:val="FFFFFF"/>
                <w:sz w:val="20"/>
              </w:rPr>
              <w:t>Req ID</w:t>
            </w:r>
          </w:p>
        </w:tc>
        <w:tc>
          <w:tcPr>
            <w:tcW w:type="dxa" w:w="3168"/>
            <w:shd w:fill="1E3A8A" w:val="clear"/>
            <w:tcMar>
              <w:top w:w="80" w:type="dxa"/>
              <w:bottom w:w="80" w:type="dxa"/>
              <w:left w:w="100" w:type="dxa"/>
              <w:right w:w="100" w:type="dxa"/>
            </w:tcMar>
          </w:tcPr>
          <w:p>
            <w:pPr>
              <w:jc w:val="left"/>
            </w:pPr>
            <w:r>
              <w:rPr>
                <w:rFonts w:ascii="Arial" w:hAnsi="Arial"/>
                <w:b/>
                <w:color w:val="FFFFFF"/>
                <w:sz w:val="20"/>
              </w:rPr>
              <w:t>Business Capability</w:t>
            </w:r>
          </w:p>
        </w:tc>
        <w:tc>
          <w:tcPr>
            <w:tcW w:type="dxa" w:w="4464"/>
            <w:shd w:fill="1E3A8A" w:val="clear"/>
            <w:tcMar>
              <w:top w:w="80" w:type="dxa"/>
              <w:bottom w:w="80" w:type="dxa"/>
              <w:left w:w="100" w:type="dxa"/>
              <w:right w:w="100" w:type="dxa"/>
            </w:tcMar>
          </w:tcPr>
          <w:p>
            <w:pPr>
              <w:jc w:val="left"/>
            </w:pPr>
            <w:r>
              <w:rPr>
                <w:rFonts w:ascii="Arial" w:hAnsi="Arial"/>
                <w:b/>
                <w:color w:val="FFFFFF"/>
                <w:sz w:val="20"/>
              </w:rPr>
              <w:t>Business Requirement Description</w:t>
            </w:r>
          </w:p>
        </w:tc>
      </w:tr>
      <w:tr>
        <w:tc>
          <w:tcPr>
            <w:tcW w:type="dxa" w:w="1728"/>
            <w:shd w:fill="F8FAFC" w:val="clear"/>
            <w:tcMar>
              <w:top w:w="80" w:type="dxa"/>
              <w:bottom w:w="80" w:type="dxa"/>
              <w:left w:w="100" w:type="dxa"/>
              <w:right w:w="100" w:type="dxa"/>
            </w:tcMar>
          </w:tcPr>
          <w:p>
            <w:r>
              <w:rPr>
                <w:rFonts w:ascii="Calibri" w:hAnsi="Calibri"/>
                <w:color w:val="334155"/>
                <w:sz w:val="19"/>
              </w:rPr>
              <w:t>BR-01</w:t>
            </w:r>
          </w:p>
        </w:tc>
        <w:tc>
          <w:tcPr>
            <w:tcW w:type="dxa" w:w="3168"/>
            <w:shd w:fill="F8FAFC" w:val="clear"/>
            <w:tcMar>
              <w:top w:w="80" w:type="dxa"/>
              <w:bottom w:w="80" w:type="dxa"/>
              <w:left w:w="100" w:type="dxa"/>
              <w:right w:w="100" w:type="dxa"/>
            </w:tcMar>
          </w:tcPr>
          <w:p>
            <w:r>
              <w:rPr>
                <w:rFonts w:ascii="Calibri" w:hAnsi="Calibri"/>
                <w:color w:val="334155"/>
                <w:sz w:val="19"/>
              </w:rPr>
              <w:t>Market Noise Filtering</w:t>
            </w:r>
          </w:p>
        </w:tc>
        <w:tc>
          <w:tcPr>
            <w:tcW w:type="dxa" w:w="4464"/>
            <w:shd w:fill="F8FAFC" w:val="clear"/>
            <w:tcMar>
              <w:top w:w="80" w:type="dxa"/>
              <w:bottom w:w="80" w:type="dxa"/>
              <w:left w:w="100" w:type="dxa"/>
              <w:right w:w="100" w:type="dxa"/>
            </w:tcMar>
          </w:tcPr>
          <w:p>
            <w:r>
              <w:rPr>
                <w:rFonts w:ascii="Calibri" w:hAnsi="Calibri"/>
                <w:color w:val="334155"/>
                <w:sz w:val="19"/>
              </w:rPr>
              <w:t>Systematically isolate true arm's-length open-market transactions from non-market transfers to preserve price integrity.</w:t>
            </w:r>
          </w:p>
        </w:tc>
      </w:tr>
      <w:tr>
        <w:tc>
          <w:tcPr>
            <w:tcW w:type="dxa" w:w="1728"/>
            <w:shd w:fill="FFFFFF" w:val="clear"/>
            <w:tcMar>
              <w:top w:w="80" w:type="dxa"/>
              <w:bottom w:w="80" w:type="dxa"/>
              <w:left w:w="100" w:type="dxa"/>
              <w:right w:w="100" w:type="dxa"/>
            </w:tcMar>
          </w:tcPr>
          <w:p>
            <w:r>
              <w:rPr>
                <w:rFonts w:ascii="Calibri" w:hAnsi="Calibri"/>
                <w:color w:val="334155"/>
                <w:sz w:val="19"/>
              </w:rPr>
              <w:t>BR-02</w:t>
            </w:r>
          </w:p>
        </w:tc>
        <w:tc>
          <w:tcPr>
            <w:tcW w:type="dxa" w:w="3168"/>
            <w:shd w:fill="FFFFFF" w:val="clear"/>
            <w:tcMar>
              <w:top w:w="80" w:type="dxa"/>
              <w:bottom w:w="80" w:type="dxa"/>
              <w:left w:w="100" w:type="dxa"/>
              <w:right w:w="100" w:type="dxa"/>
            </w:tcMar>
          </w:tcPr>
          <w:p>
            <w:r>
              <w:rPr>
                <w:rFonts w:ascii="Calibri" w:hAnsi="Calibri"/>
                <w:color w:val="334155"/>
                <w:sz w:val="19"/>
              </w:rPr>
              <w:t>Standardized Unit Valuation</w:t>
            </w:r>
          </w:p>
        </w:tc>
        <w:tc>
          <w:tcPr>
            <w:tcW w:type="dxa" w:w="4464"/>
            <w:shd w:fill="FFFFFF" w:val="clear"/>
            <w:tcMar>
              <w:top w:w="80" w:type="dxa"/>
              <w:bottom w:w="80" w:type="dxa"/>
              <w:left w:w="100" w:type="dxa"/>
              <w:right w:w="100" w:type="dxa"/>
            </w:tcMar>
          </w:tcPr>
          <w:p>
            <w:r>
              <w:rPr>
                <w:rFonts w:ascii="Calibri" w:hAnsi="Calibri"/>
                <w:color w:val="334155"/>
                <w:sz w:val="19"/>
              </w:rPr>
              <w:t>Calculate normalized price per square metre metrics alongside annual growth rates across all NSW postcodes.</w:t>
            </w:r>
          </w:p>
        </w:tc>
      </w:tr>
      <w:tr>
        <w:tc>
          <w:tcPr>
            <w:tcW w:type="dxa" w:w="1728"/>
            <w:shd w:fill="F8FAFC" w:val="clear"/>
            <w:tcMar>
              <w:top w:w="80" w:type="dxa"/>
              <w:bottom w:w="80" w:type="dxa"/>
              <w:left w:w="100" w:type="dxa"/>
              <w:right w:w="100" w:type="dxa"/>
            </w:tcMar>
          </w:tcPr>
          <w:p>
            <w:r>
              <w:rPr>
                <w:rFonts w:ascii="Calibri" w:hAnsi="Calibri"/>
                <w:color w:val="334155"/>
                <w:sz w:val="19"/>
              </w:rPr>
              <w:t>BR-03</w:t>
            </w:r>
          </w:p>
        </w:tc>
        <w:tc>
          <w:tcPr>
            <w:tcW w:type="dxa" w:w="3168"/>
            <w:shd w:fill="F8FAFC" w:val="clear"/>
            <w:tcMar>
              <w:top w:w="80" w:type="dxa"/>
              <w:bottom w:w="80" w:type="dxa"/>
              <w:left w:w="100" w:type="dxa"/>
              <w:right w:w="100" w:type="dxa"/>
            </w:tcMar>
          </w:tcPr>
          <w:p>
            <w:r>
              <w:rPr>
                <w:rFonts w:ascii="Calibri" w:hAnsi="Calibri"/>
                <w:color w:val="334155"/>
                <w:sz w:val="19"/>
              </w:rPr>
              <w:t>Quadrant Classification</w:t>
            </w:r>
          </w:p>
        </w:tc>
        <w:tc>
          <w:tcPr>
            <w:tcW w:type="dxa" w:w="4464"/>
            <w:shd w:fill="F8FAFC" w:val="clear"/>
            <w:tcMar>
              <w:top w:w="80" w:type="dxa"/>
              <w:bottom w:w="80" w:type="dxa"/>
              <w:left w:w="100" w:type="dxa"/>
              <w:right w:w="100" w:type="dxa"/>
            </w:tcMar>
          </w:tcPr>
          <w:p>
            <w:r>
              <w:rPr>
                <w:rFonts w:ascii="Calibri" w:hAnsi="Calibri"/>
                <w:color w:val="334155"/>
                <w:sz w:val="19"/>
              </w:rPr>
              <w:t>Categorize suburbs into 4 distinct opportunity quadrants to pinpoint high-growth, accessible-entry investment targets.</w:t>
            </w:r>
          </w:p>
        </w:tc>
      </w:tr>
      <w:tr>
        <w:tc>
          <w:tcPr>
            <w:tcW w:type="dxa" w:w="1728"/>
            <w:shd w:fill="FFFFFF" w:val="clear"/>
            <w:tcMar>
              <w:top w:w="80" w:type="dxa"/>
              <w:bottom w:w="80" w:type="dxa"/>
              <w:left w:w="100" w:type="dxa"/>
              <w:right w:w="100" w:type="dxa"/>
            </w:tcMar>
          </w:tcPr>
          <w:p>
            <w:r>
              <w:rPr>
                <w:rFonts w:ascii="Calibri" w:hAnsi="Calibri"/>
                <w:color w:val="334155"/>
                <w:sz w:val="19"/>
              </w:rPr>
              <w:t>BR-04</w:t>
            </w:r>
          </w:p>
        </w:tc>
        <w:tc>
          <w:tcPr>
            <w:tcW w:type="dxa" w:w="3168"/>
            <w:shd w:fill="FFFFFF" w:val="clear"/>
            <w:tcMar>
              <w:top w:w="80" w:type="dxa"/>
              <w:bottom w:w="80" w:type="dxa"/>
              <w:left w:w="100" w:type="dxa"/>
              <w:right w:w="100" w:type="dxa"/>
            </w:tcMar>
          </w:tcPr>
          <w:p>
            <w:r>
              <w:rPr>
                <w:rFonts w:ascii="Calibri" w:hAnsi="Calibri"/>
                <w:color w:val="334155"/>
                <w:sz w:val="19"/>
              </w:rPr>
              <w:t>Corridor &amp; Yield Tracking</w:t>
            </w:r>
          </w:p>
        </w:tc>
        <w:tc>
          <w:tcPr>
            <w:tcW w:type="dxa" w:w="4464"/>
            <w:shd w:fill="FFFFFF" w:val="clear"/>
            <w:tcMar>
              <w:top w:w="80" w:type="dxa"/>
              <w:bottom w:w="80" w:type="dxa"/>
              <w:left w:w="100" w:type="dxa"/>
              <w:right w:w="100" w:type="dxa"/>
            </w:tcMar>
          </w:tcPr>
          <w:p>
            <w:r>
              <w:rPr>
                <w:rFonts w:ascii="Calibri" w:hAnsi="Calibri"/>
                <w:color w:val="334155"/>
                <w:sz w:val="19"/>
              </w:rPr>
              <w:t>Track growth dynamics across major infrastructure corridors (e.g., Badgerys Creek) and monitor high-yielding asset classes.</w:t>
            </w:r>
          </w:p>
        </w:tc>
      </w:tr>
    </w:tbl>
    <w:p>
      <w:pPr>
        <w:keepNext/>
        <w:spacing w:before="320" w:after="120"/>
      </w:pPr>
      <w:r>
        <w:rPr>
          <w:rFonts w:ascii="Arial" w:hAnsi="Arial"/>
          <w:b/>
          <w:color w:val="1E3A8A"/>
          <w:sz w:val="36"/>
        </w:rPr>
        <w:t>5. Strategic Business Recommendations</w:t>
      </w:r>
    </w:p>
    <w:p>
      <w:pPr>
        <w:spacing w:before="0" w:after="120" w:line="276" w:lineRule="auto"/>
      </w:pPr>
      <w:r>
        <w:rPr>
          <w:rFonts w:ascii="Calibri" w:hAnsi="Calibri"/>
          <w:color w:val="334155"/>
          <w:sz w:val="22"/>
        </w:rPr>
        <w:t>Based on the business requirements and market problem analysis, the following four strategic acquisition recommendations are established for the investment client:</w:t>
      </w:r>
    </w:p>
    <w:p>
      <w:pPr>
        <w:pStyle w:val="ListBullet"/>
        <w:spacing w:before="0" w:after="60" w:line="276" w:lineRule="auto"/>
      </w:pPr>
      <w:r>
        <w:rPr>
          <w:rFonts w:ascii="Calibri" w:hAnsi="Calibri"/>
          <w:b/>
          <w:color w:val="1E293B"/>
          <w:sz w:val="22"/>
        </w:rPr>
        <w:t xml:space="preserve">1. Systematic Quadrant 1 Acquisition: </w:t>
      </w:r>
      <w:r>
        <w:rPr>
          <w:rFonts w:ascii="Calibri" w:hAnsi="Calibri"/>
          <w:color w:val="334155"/>
          <w:sz w:val="22"/>
        </w:rPr>
        <w:t>Prioritize capital allocation into postcodes categorized under Quadrant 1 ('High Growth, Still Affordable') where median capital appreciation exceeds state averages while price per square metre remains below state averages.</w:t>
      </w:r>
    </w:p>
    <w:p>
      <w:pPr>
        <w:pStyle w:val="ListBullet"/>
        <w:spacing w:before="0" w:after="60" w:line="276" w:lineRule="auto"/>
      </w:pPr>
      <w:r>
        <w:rPr>
          <w:rFonts w:ascii="Calibri" w:hAnsi="Calibri"/>
          <w:b/>
          <w:color w:val="1E293B"/>
          <w:sz w:val="22"/>
        </w:rPr>
        <w:t xml:space="preserve">2. Outer-Ring Infrastructure Corridor Focus: </w:t>
      </w:r>
      <w:r>
        <w:rPr>
          <w:rFonts w:ascii="Calibri" w:hAnsi="Calibri"/>
          <w:color w:val="334155"/>
          <w:sz w:val="22"/>
        </w:rPr>
        <w:t>Target residential land and housing acquisitions within outer-ring precincts surrounding major government infrastructure projects, specifically the Western Sydney International Airport / Badgerys Creek growth corridor.</w:t>
      </w:r>
    </w:p>
    <w:p>
      <w:pPr>
        <w:pStyle w:val="ListBullet"/>
        <w:spacing w:before="0" w:after="60" w:line="276" w:lineRule="auto"/>
      </w:pPr>
      <w:r>
        <w:rPr>
          <w:rFonts w:ascii="Calibri" w:hAnsi="Calibri"/>
          <w:b/>
          <w:color w:val="1E293B"/>
          <w:sz w:val="22"/>
        </w:rPr>
        <w:t xml:space="preserve">3. Cash-Flow Hedging via High-Yield Niche Assets: </w:t>
      </w:r>
      <w:r>
        <w:rPr>
          <w:rFonts w:ascii="Calibri" w:hAnsi="Calibri"/>
          <w:color w:val="334155"/>
          <w:sz w:val="22"/>
        </w:rPr>
        <w:t>Incorporate high-density commercial parking spaces into the portfolio mix. Commercial car spaces yield exceptionally high returns relative to square footage, providing cash-flow coverage for holding land banks.</w:t>
      </w:r>
    </w:p>
    <w:p>
      <w:pPr>
        <w:pStyle w:val="ListBullet"/>
        <w:spacing w:before="0" w:after="60" w:line="276" w:lineRule="auto"/>
      </w:pPr>
      <w:r>
        <w:rPr>
          <w:rFonts w:ascii="Calibri" w:hAnsi="Calibri"/>
          <w:b/>
          <w:color w:val="1E293B"/>
          <w:sz w:val="22"/>
        </w:rPr>
        <w:t xml:space="preserve">4. Multi-LGA Risk-Adjusted Allocation: </w:t>
      </w:r>
      <w:r>
        <w:rPr>
          <w:rFonts w:ascii="Calibri" w:hAnsi="Calibri"/>
          <w:color w:val="334155"/>
          <w:sz w:val="22"/>
        </w:rPr>
        <w:t>Balance high-volatility infrastructure expansion corridors with allocations in established, high-median LGAs to hedge the portfolio against localized market fluctuations.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