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5C0000" w:val="clear"/>
          </w:tcPr>
          <w:p>
            <w:pPr>
              <w:spacing w:before="4596"/>
            </w:pPr>
          </w:p>
          <w:p>
            <w:pPr>
              <w:pBdr>
                <w:bottom w:val="single" w:color="D4AF37" w:sz="6" w:space="8"/>
              </w:pBdr>
              <w:spacing w:after="500"/>
              <w:ind w:left="1200" w:right="800"/>
            </w:pPr>
            <w:r>
              <w:rPr>
                <w:rFonts w:ascii="Calibri" w:eastAsia="SimHei"/>
                <w:color w:val="D4AF37"/>
                <w:spacing w:val="40"/>
                <w:sz w:val="18"/>
                <w:szCs w:val="18"/>
              </w:rPr>
              <w:t xml:space="preserve">V  I  R  A  T     P  U  B  L  I  C     S  C  H  O  O  L</w:t>
            </w:r>
          </w:p>
          <w:p>
            <w:pPr>
              <w:spacing w:after="300" w:line="920" w:lineRule="atLeast"/>
              <w:ind w:left="1200"/>
            </w:pPr>
            <w:r>
              <w:rPr>
                <w:rFonts w:ascii="Arial" w:eastAsia="SimHei"/>
                <w:b/>
                <w:bCs/>
                <w:color w:val="F5F1E8"/>
                <w:sz w:val="80"/>
                <w:szCs w:val="80"/>
              </w:rPr>
              <w:t xml:space="preserve">Virat Public School</w:t>
            </w:r>
          </w:p>
          <w:p>
            <w:pPr>
              <w:spacing w:after="800"/>
              <w:ind w:left="1200"/>
            </w:pPr>
            <w:r>
              <w:rPr>
                <w:rFonts w:ascii="Arial" w:eastAsia="Microsoft YaHei"/>
                <w:color w:val="E8D9C0"/>
                <w:sz w:val="24"/>
                <w:szCs w:val="24"/>
              </w:rPr>
              <w:t xml:space="preserve">Website Structure &amp; Design Specification</w:t>
            </w:r>
          </w:p>
          <w:p>
            <w:pPr>
              <w:pBdr>
                <w:left w:val="single" w:color="D4AF37" w:sz="8" w:space="12"/>
              </w:pBdr>
              <w:spacing w:after="80"/>
              <w:ind w:left="1400"/>
            </w:pPr>
            <w:r>
              <w:rPr>
                <w:rFonts w:ascii="Arial" w:eastAsia="Microsoft YaHei"/>
                <w:color w:val="D4C5AC"/>
                <w:sz w:val="22"/>
                <w:szCs w:val="22"/>
              </w:rPr>
              <w:t xml:space="preserve">Viratnagar, Kotputli-Behror, Rajasthan</w:t>
            </w:r>
          </w:p>
          <w:p>
            <w:pPr>
              <w:pBdr>
                <w:left w:val="single" w:color="D4AF37" w:sz="8" w:space="12"/>
              </w:pBdr>
              <w:spacing w:after="80"/>
              <w:ind w:left="1400"/>
            </w:pPr>
            <w:r>
              <w:rPr>
                <w:rFonts w:ascii="Arial" w:eastAsia="Microsoft YaHei"/>
                <w:color w:val="D4C5AC"/>
                <w:sz w:val="22"/>
                <w:szCs w:val="22"/>
              </w:rPr>
              <w:t xml:space="preserve">Document Version 1.0</w:t>
            </w:r>
          </w:p>
          <w:p>
            <w:pPr>
              <w:pBdr>
                <w:left w:val="single" w:color="D4AF37" w:sz="8" w:space="12"/>
              </w:pBdr>
              <w:spacing w:after="80"/>
              <w:ind w:left="1400"/>
            </w:pPr>
            <w:r>
              <w:rPr>
                <w:rFonts w:ascii="Arial" w:eastAsia="Microsoft YaHei"/>
                <w:color w:val="D4C5AC"/>
                <w:sz w:val="22"/>
                <w:szCs w:val="22"/>
              </w:rPr>
              <w:t xml:space="preserve">Prepared: July 2026</w:t>
            </w:r>
          </w:p>
          <w:p>
            <w:pPr>
              <w:pBdr>
                <w:left w:val="single" w:color="D4AF37" w:sz="8" w:space="12"/>
              </w:pBdr>
              <w:spacing w:after="80"/>
              <w:ind w:left="1400"/>
            </w:pPr>
            <w:r>
              <w:rPr>
                <w:rFonts w:ascii="Arial" w:eastAsia="Microsoft YaHei"/>
                <w:color w:val="D4C5AC"/>
                <w:sz w:val="22"/>
                <w:szCs w:val="22"/>
              </w:rPr>
              <w:t xml:space="preserve">Audience: School Management &amp; Web Development Team</w:t>
            </w:r>
          </w:p>
          <w:p>
            <w:pPr>
              <w:spacing w:before="4596"/>
            </w:pPr>
          </w:p>
          <w:p>
            <w:pPr>
              <w:pBdr>
                <w:top w:val="single" w:color="D4AF37" w:sz="2" w:space="8"/>
              </w:pBdr>
              <w:spacing w:before="200"/>
              <w:ind w:left="1200" w:right="800"/>
            </w:pPr>
            <w:r>
              <w:rPr>
                <w:rFonts w:ascii="Arial"/>
                <w:color w:val="B5A88F"/>
                <w:sz w:val="16"/>
                <w:szCs w:val="16"/>
              </w:rPr>
              <w:t xml:space="preserve">VIRAT PUBLIC SCHOOL</w:t>
            </w:r>
            <w:r>
              <w:t xml:space="preserve">                                        </w:t>
            </w:r>
            <w:r>
              <w:rPr>
                <w:rFonts w:ascii="Arial"/>
                <w:color w:val="B5A88F"/>
                <w:sz w:val="16"/>
                <w:szCs w:val="16"/>
              </w:rPr>
              <w:t xml:space="preserve">WEBSITE SPECIFICATION  ·  v1.0</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b/>
          <w:bCs/>
          <w:color w:val="5C0000"/>
          <w:sz w:val="36"/>
          <w:szCs w:val="36"/>
        </w:rPr>
        <w:t xml:space="preserve">Table of Contents</w:t>
      </w:r>
    </w:p>
    <w:p>
      <w:pPr>
        <w:pBdr>
          <w:bottom w:val="single" w:color="B8860B" w:sz="12" w:space="4"/>
        </w:pBdr>
        <w:spacing w:after="360"/>
        <w:ind w:left="3000" w:right="3000"/>
        <w:jc w:val="center"/>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Brand Identity &amp; Design System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School Name, Tagline &amp; Logo</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Color Palette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Typography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Tone of Voice</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Website Sitemap &amp; Information Architecture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Primary Navigation Structure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URL Structure &amp; SEO</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Page-by-Page Content Specification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4.1 Home Page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4.2 About Us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4.3 Academics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4.4 Admissions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4.5 News &amp; Events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4.6 Contact Us</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Functional Features &amp; Requirements</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6. Suggested Technology Stack</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6.1 Option A — WordPress (Recommended)</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6.2 Option B — Next.js + Headless CMS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6.3 Domain, Hosting, Email &amp; Analytics</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7. Content Assets Checklist</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8. Development Timeline &amp; Next Steps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8.1 Responsibility Matrix</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8.2 Immediate Next Steps</w:t>
            </w:r>
            <w:r>
              <w:tab/>
            </w:r>
            <w:r>
              <w:fldChar w:fldCharType="begin"/>
            </w:r>
            <w:r>
              <w:instrText xml:space="preserve"> PAGEREF _Toc100024 \h </w:instrText>
            </w:r>
            <w:r>
              <w:fldChar w:fldCharType="separate"/>
            </w:r>
            <w:r>
              <w:t>9</w:t>
            </w:r>
            <w:r>
              <w:fldChar w:fldCharType="end"/>
            </w:r>
          </w:hyperlink>
        </w:p>
        <w:p>
          <w:r>
            <w:fldChar w:fldCharType="end"/>
          </w:r>
        </w:p>
      </w:sdtContent>
    </w:sdt>
    <w:p>
      <w:pPr>
        <w:spacing w:before="240"/>
      </w:pPr>
      <w:r>
        <w:rPr>
          <w:rFonts w:ascii="Calibri"/>
          <w:i/>
          <w:iCs/>
          <w:color w:val="888888"/>
          <w:sz w:val="18"/>
          <w:szCs w:val="18"/>
        </w:rPr>
        <w:t xml:space="preserve">Note: This Table of Contents is generated via field codes. To refresh page numbers after editing,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Arial" w:eastAsia="SimHei"/>
          <w:b/>
          <w:bCs/>
          <w:color w:val="5C0000"/>
          <w:sz w:val="32"/>
          <w:szCs w:val="32"/>
        </w:rPr>
        <w:t xml:space="preserve">1. Project Overview</w:t>
      </w:r>
      <w:bookmarkEnd w:id="100000"/>
    </w:p>
    <w:p>
      <w:pPr>
        <w:spacing w:after="120" w:line="312"/>
        <w:jc w:val="both"/>
      </w:pPr>
      <w:r>
        <w:rPr>
          <w:rFonts w:ascii="Calibri"/>
          <w:color w:val="1A1A1A"/>
          <w:sz w:val="24"/>
          <w:szCs w:val="24"/>
        </w:rPr>
        <w:t xml:space="preserve">Virat Public School, located in Viratnagar, Kotputli-Behror district, Rajasthan, is establishing its digital presence through a dedicated school website. This document serves as the comprehensive blueprint that defines the structure, design system, content requirements, and technical foundation for the website. It has been prepared to serve two complementary audiences: the school management, who will review and approve the direction, and the web development team, who will implement the specification.</w:t>
      </w:r>
    </w:p>
    <w:p>
      <w:pPr>
        <w:spacing w:after="120" w:line="312"/>
        <w:jc w:val="both"/>
      </w:pPr>
      <w:r>
        <w:rPr>
          <w:rFonts w:ascii="Calibri"/>
          <w:color w:val="1A1A1A"/>
          <w:sz w:val="24"/>
          <w:szCs w:val="24"/>
        </w:rPr>
        <w:t xml:space="preserve">The primary objective of this document is to ensure that all stakeholders share a single, unambiguous understanding of what the website must contain, how it should look, and how it should behave before any design or development work begins. By consolidating these decisions in one place, the school avoids the most common causes of project delays: unclear scope, last-minute content additions, inconsistent branding, and misaligned expectations between management and the implementation team.</w:t>
      </w:r>
    </w:p>
    <w:p>
      <w:pPr>
        <w:spacing w:after="120" w:line="312"/>
        <w:jc w:val="both"/>
      </w:pPr>
      <w:r>
        <w:rPr>
          <w:rFonts w:ascii="Calibri"/>
          <w:color w:val="1A1A1A"/>
          <w:sz w:val="24"/>
          <w:szCs w:val="24"/>
        </w:rPr>
        <w:t xml:space="preserve">The scope of this specification covers the complete public-facing website, including the homepage, five primary information sections (About Us, Academics, Admissions, News &amp; Events, and Contact Us), the suggested visual identity, the recommended technology stack, the content assets the school must gather, and a phased implementation timeline. Out of scope for this document are the internal school management system, the student portal, and any future e-learning modules, which can be addressed in subsequent phases.</w:t>
      </w:r>
    </w:p>
    <w:p>
      <w:pPr>
        <w:spacing w:after="120" w:line="312"/>
        <w:jc w:val="both"/>
      </w:pPr>
      <w:r>
        <w:rPr>
          <w:rFonts w:ascii="Calibri"/>
          <w:color w:val="1A1A1A"/>
          <w:sz w:val="24"/>
          <w:szCs w:val="24"/>
        </w:rPr>
        <w:t xml:space="preserve">Key deliverables from this specification include: a confirmed sitemap, a finalized color and typography system, page-by-page content outlines, a functional feature list, a recommended technology stack with cost estimates, a content-gathering checklist, and a development timeline. Once the school management reviews and approves this document, the development team can proceed directly to design mockups and implementation without further clarification rounds.</w:t>
      </w:r>
    </w:p>
    <w:p>
      <w:pPr>
        <w:pStyle w:val="Heading1"/>
        <w:spacing w:after="200" w:before="360" w:line="312"/>
      </w:pPr>
      <w:bookmarkStart w:id="100001" w:name="_Toc100001"/>
      <w:r>
        <w:rPr>
          <w:rFonts w:ascii="Arial" w:eastAsia="SimHei"/>
          <w:b/>
          <w:bCs/>
          <w:color w:val="5C0000"/>
          <w:sz w:val="32"/>
          <w:szCs w:val="32"/>
        </w:rPr>
        <w:t xml:space="preserve">2. Brand Identity &amp; Design System</w:t>
      </w:r>
      <w:bookmarkEnd w:id="100001"/>
    </w:p>
    <w:p>
      <w:pPr>
        <w:spacing w:after="120" w:line="312"/>
        <w:jc w:val="both"/>
      </w:pPr>
      <w:r>
        <w:rPr>
          <w:rFonts w:ascii="Calibri"/>
          <w:color w:val="1A1A1A"/>
          <w:sz w:val="24"/>
          <w:szCs w:val="24"/>
        </w:rPr>
        <w:t xml:space="preserve">The brand identity of Virat Public School must reflect both its roots in rural Rajasthan and its commitment to modern education. The visual system proposed here combines a traditional maroon and cream palette with clean, contemporary typography. This combination communicates heritage, trust, and academic seriousness while remaining approachable for students, parents, and the wider community. The school logo (to be supplied separately by the management) will serve as the primary brand mark and should appear consistently in the website header, footer, and favicon.</w:t>
      </w:r>
    </w:p>
    <w:p>
      <w:pPr>
        <w:pStyle w:val="Heading2"/>
        <w:spacing w:after="140" w:before="280" w:line="312"/>
      </w:pPr>
      <w:bookmarkStart w:id="100002" w:name="_Toc100002"/>
      <w:r>
        <w:rPr>
          <w:rFonts w:ascii="Arial" w:eastAsia="SimHei"/>
          <w:b/>
          <w:bCs/>
          <w:color w:val="5C0000"/>
          <w:sz w:val="28"/>
          <w:szCs w:val="28"/>
        </w:rPr>
        <w:t xml:space="preserve">2.1 School Name, Tagline &amp; Logo</w:t>
      </w:r>
      <w:bookmarkEnd w:id="100002"/>
    </w:p>
    <w:p>
      <w:pPr>
        <w:spacing w:after="120" w:line="312"/>
        <w:jc w:val="both"/>
      </w:pPr>
      <w:r>
        <w:rPr>
          <w:rFonts w:ascii="Calibri"/>
          <w:color w:val="1A1A1A"/>
          <w:sz w:val="24"/>
          <w:szCs w:val="24"/>
        </w:rPr>
        <w:t xml:space="preserve">School Name: Virat Public School. The full name should appear in the header on every page, with the abbreviation "VPS" used sparingly in compact UI elements such as the favicon and social media avatars.</w:t>
      </w:r>
    </w:p>
    <w:p>
      <w:pPr>
        <w:spacing w:after="120" w:line="312"/>
        <w:jc w:val="both"/>
      </w:pPr>
      <w:r>
        <w:rPr>
          <w:rFonts w:ascii="Calibri"/>
          <w:color w:val="1A1A1A"/>
          <w:sz w:val="24"/>
          <w:szCs w:val="24"/>
        </w:rPr>
        <w:t xml:space="preserve">Suggested Tagline / Motto: "Vidya Dadati Vinayam" — a Sanskrit phrase meaning "Knowledge Bestows Humility." This tagline connects the school to India's ancient educational heritage while reinforcing a value (humility through learning) that resonates with parents and educators. A short English companion line — "Knowledge. Discipline. Character." — may be used alongside the Sanskrit on the homepage hero. The management may approve, modify, or replace this tagline.</w:t>
      </w:r>
    </w:p>
    <w:p>
      <w:pPr>
        <w:spacing w:after="120" w:line="312"/>
        <w:jc w:val="both"/>
      </w:pPr>
      <w:r>
        <w:rPr>
          <w:rFonts w:ascii="Calibri"/>
          <w:color w:val="1A1A1A"/>
          <w:sz w:val="24"/>
          <w:szCs w:val="24"/>
        </w:rPr>
        <w:t xml:space="preserve">Logo: The school logo will be provided by the management in high-resolution PNG and vector SVG formats. Until then, this document uses a placeholder. The logo should be displayed at a consistent size (approximately 60 pixels tall in the header) and should always include clear space equal to the height of the letter "V" on all sides. The logo must never be recolored, stretched, or placed on backgrounds that reduce contrast below WCAG AA standards.</w:t>
      </w:r>
    </w:p>
    <w:p>
      <w:pPr>
        <w:pStyle w:val="Heading2"/>
        <w:spacing w:after="140" w:before="280" w:line="312"/>
      </w:pPr>
      <w:bookmarkStart w:id="100003" w:name="_Toc100003"/>
      <w:r>
        <w:rPr>
          <w:rFonts w:ascii="Arial" w:eastAsia="SimHei"/>
          <w:b/>
          <w:bCs/>
          <w:color w:val="5C0000"/>
          <w:sz w:val="28"/>
          <w:szCs w:val="28"/>
        </w:rPr>
        <w:t xml:space="preserve">2.2 Color Palette</w:t>
      </w:r>
      <w:bookmarkEnd w:id="100003"/>
    </w:p>
    <w:p>
      <w:pPr>
        <w:spacing w:after="120" w:line="312"/>
        <w:jc w:val="both"/>
      </w:pPr>
      <w:r>
        <w:rPr>
          <w:rFonts w:ascii="Calibri"/>
          <w:color w:val="1A1A1A"/>
          <w:sz w:val="24"/>
          <w:szCs w:val="24"/>
        </w:rPr>
        <w:t xml:space="preserve">The website uses a Maroon and Cream palette as its core identity, supported by a gold accent for highlights and a set of neutral grays for text and UI elements. Maroon conveys tradition, dignity, and seriousness of purpose; cream provides warmth and readability; gold adds a premium touch for buttons, links, and dividers. The palette is summarized in the table below.</w:t>
      </w:r>
    </w:p>
    <w:p>
      <w:pPr>
        <w:keepNext/>
        <w:spacing w:after="80" w:before="200"/>
      </w:pPr>
      <w:r>
        <w:rPr>
          <w:rFonts w:ascii="Arial"/>
          <w:b/>
          <w:bCs/>
          <w:color w:val="5C0000"/>
          <w:sz w:val="22"/>
          <w:szCs w:val="22"/>
        </w:rPr>
        <w:t xml:space="preserve">Table 2.1 — Brand Color Tokens</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tblGrid>
      <w:tr>
        <w:trPr>
          <w:cantSplit/>
          <w:tblHeader/>
        </w:trPr>
        <w:tc>
          <w:tcPr>
            <w:tcW w:type="pct" w:w="18%"/>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Token</w:t>
            </w:r>
          </w:p>
        </w:tc>
        <w:tc>
          <w:tcPr>
            <w:tcW w:type="pct" w:w="14%"/>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Hex Code</w:t>
            </w:r>
          </w:p>
        </w:tc>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Role</w:t>
            </w:r>
          </w:p>
        </w:tc>
        <w:tc>
          <w:tcPr>
            <w:tcW w:type="pct" w:w="4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Usage</w:t>
            </w:r>
          </w:p>
        </w:tc>
      </w:tr>
      <w:tr>
        <w:trPr>
          <w:cantSplit/>
        </w:trPr>
        <w:tc>
          <w:tcPr>
            <w:tcW w:type="pct" w:w="18%"/>
            <w:tcMar>
              <w:top w:type="dxa" w:w="80"/>
              <w:left w:type="dxa" w:w="120"/>
              <w:bottom w:type="dxa" w:w="80"/>
              <w:right w:type="dxa" w:w="120"/>
            </w:tcMar>
          </w:tcPr>
          <w:p>
            <w:pPr>
              <w:spacing w:line="280"/>
              <w:jc w:val="left"/>
            </w:pPr>
            <w:r>
              <w:rPr>
                <w:rFonts w:ascii="Calibri"/>
                <w:b w:val="false"/>
                <w:bCs w:val="false"/>
                <w:color w:val="1A1A1A"/>
                <w:sz w:val="21"/>
                <w:szCs w:val="21"/>
              </w:rPr>
              <w:t xml:space="preserve">Primary Maroon</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#800000</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Brand primary</w:t>
            </w:r>
          </w:p>
        </w:tc>
        <w:tc>
          <w:tcPr>
            <w:tcW w:type="pct" w:w="46%"/>
            <w:tcMar>
              <w:top w:type="dxa" w:w="80"/>
              <w:left w:type="dxa" w:w="120"/>
              <w:bottom w:type="dxa" w:w="80"/>
              <w:right w:type="dxa" w:w="120"/>
            </w:tcMar>
          </w:tcPr>
          <w:p>
            <w:pPr>
              <w:spacing w:line="280"/>
              <w:jc w:val="left"/>
            </w:pPr>
            <w:r>
              <w:rPr>
                <w:rFonts w:ascii="Calibri"/>
                <w:b w:val="false"/>
                <w:bCs w:val="false"/>
                <w:color w:val="1A1A1A"/>
                <w:sz w:val="21"/>
                <w:szCs w:val="21"/>
              </w:rPr>
              <w:t xml:space="preserve">Headers, primary buttons, key headings</w:t>
            </w:r>
          </w:p>
        </w:tc>
      </w:tr>
      <w:tr>
        <w:trPr>
          <w:cantSplit/>
        </w:trPr>
        <w:tc>
          <w:tcPr>
            <w:tcW w:type="pct" w:w="1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Deep Maroon</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#5C0000</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Brand dark</w:t>
            </w:r>
          </w:p>
        </w:tc>
        <w:tc>
          <w:tcPr>
            <w:tcW w:type="pct" w:w="4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Cover background, footer background, hover states</w:t>
            </w:r>
          </w:p>
        </w:tc>
      </w:tr>
      <w:tr>
        <w:trPr>
          <w:cantSplit/>
        </w:trPr>
        <w:tc>
          <w:tcPr>
            <w:tcW w:type="pct" w:w="18%"/>
            <w:tcMar>
              <w:top w:type="dxa" w:w="80"/>
              <w:left w:type="dxa" w:w="120"/>
              <w:bottom w:type="dxa" w:w="80"/>
              <w:right w:type="dxa" w:w="120"/>
            </w:tcMar>
          </w:tcPr>
          <w:p>
            <w:pPr>
              <w:spacing w:line="280"/>
              <w:jc w:val="left"/>
            </w:pPr>
            <w:r>
              <w:rPr>
                <w:rFonts w:ascii="Calibri"/>
                <w:b w:val="false"/>
                <w:bCs w:val="false"/>
                <w:color w:val="1A1A1A"/>
                <w:sz w:val="21"/>
                <w:szCs w:val="21"/>
              </w:rPr>
              <w:t xml:space="preserve">Cream</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#F5F1E8</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Surface / background</w:t>
            </w:r>
          </w:p>
        </w:tc>
        <w:tc>
          <w:tcPr>
            <w:tcW w:type="pct" w:w="46%"/>
            <w:tcMar>
              <w:top w:type="dxa" w:w="80"/>
              <w:left w:type="dxa" w:w="120"/>
              <w:bottom w:type="dxa" w:w="80"/>
              <w:right w:type="dxa" w:w="120"/>
            </w:tcMar>
          </w:tcPr>
          <w:p>
            <w:pPr>
              <w:spacing w:line="280"/>
              <w:jc w:val="left"/>
            </w:pPr>
            <w:r>
              <w:rPr>
                <w:rFonts w:ascii="Calibri"/>
                <w:b w:val="false"/>
                <w:bCs w:val="false"/>
                <w:color w:val="1A1A1A"/>
                <w:sz w:val="21"/>
                <w:szCs w:val="21"/>
              </w:rPr>
              <w:t xml:space="preserve">Page sections, alternating table rows, cards</w:t>
            </w:r>
          </w:p>
        </w:tc>
      </w:tr>
      <w:tr>
        <w:trPr>
          <w:cantSplit/>
        </w:trPr>
        <w:tc>
          <w:tcPr>
            <w:tcW w:type="pct" w:w="1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Gold Accent</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#D4AF37</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Accent / highlights</w:t>
            </w:r>
          </w:p>
        </w:tc>
        <w:tc>
          <w:tcPr>
            <w:tcW w:type="pct" w:w="4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Dividers, link hover, icon strokes, badges</w:t>
            </w:r>
          </w:p>
        </w:tc>
      </w:tr>
      <w:tr>
        <w:trPr>
          <w:cantSplit/>
        </w:trPr>
        <w:tc>
          <w:tcPr>
            <w:tcW w:type="pct" w:w="18%"/>
            <w:tcMar>
              <w:top w:type="dxa" w:w="80"/>
              <w:left w:type="dxa" w:w="120"/>
              <w:bottom w:type="dxa" w:w="80"/>
              <w:right w:type="dxa" w:w="120"/>
            </w:tcMar>
          </w:tcPr>
          <w:p>
            <w:pPr>
              <w:spacing w:line="280"/>
              <w:jc w:val="left"/>
            </w:pPr>
            <w:r>
              <w:rPr>
                <w:rFonts w:ascii="Calibri"/>
                <w:b w:val="false"/>
                <w:bCs w:val="false"/>
                <w:color w:val="1A1A1A"/>
                <w:sz w:val="21"/>
                <w:szCs w:val="21"/>
              </w:rPr>
              <w:t xml:space="preserve">Body Text</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#1A1A1A</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Primary text</w:t>
            </w:r>
          </w:p>
        </w:tc>
        <w:tc>
          <w:tcPr>
            <w:tcW w:type="pct" w:w="46%"/>
            <w:tcMar>
              <w:top w:type="dxa" w:w="80"/>
              <w:left w:type="dxa" w:w="120"/>
              <w:bottom w:type="dxa" w:w="80"/>
              <w:right w:type="dxa" w:w="120"/>
            </w:tcMar>
          </w:tcPr>
          <w:p>
            <w:pPr>
              <w:spacing w:line="280"/>
              <w:jc w:val="left"/>
            </w:pPr>
            <w:r>
              <w:rPr>
                <w:rFonts w:ascii="Calibri"/>
                <w:b w:val="false"/>
                <w:bCs w:val="false"/>
                <w:color w:val="1A1A1A"/>
                <w:sz w:val="21"/>
                <w:szCs w:val="21"/>
              </w:rPr>
              <w:t xml:space="preserve">Body paragraphs, lists, form labels</w:t>
            </w:r>
          </w:p>
        </w:tc>
      </w:tr>
      <w:tr>
        <w:trPr>
          <w:cantSplit/>
        </w:trPr>
        <w:tc>
          <w:tcPr>
            <w:tcW w:type="pct" w:w="1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Secondary Text</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#6B5B5B</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Muted text</w:t>
            </w:r>
          </w:p>
        </w:tc>
        <w:tc>
          <w:tcPr>
            <w:tcW w:type="pct" w:w="4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Captions, meta info, breadcrumbs</w:t>
            </w:r>
          </w:p>
        </w:tc>
      </w:tr>
      <w:tr>
        <w:trPr>
          <w:cantSplit/>
        </w:trPr>
        <w:tc>
          <w:tcPr>
            <w:tcW w:type="pct" w:w="18%"/>
            <w:tcMar>
              <w:top w:type="dxa" w:w="80"/>
              <w:left w:type="dxa" w:w="120"/>
              <w:bottom w:type="dxa" w:w="80"/>
              <w:right w:type="dxa" w:w="120"/>
            </w:tcMar>
          </w:tcPr>
          <w:p>
            <w:pPr>
              <w:spacing w:line="280"/>
              <w:jc w:val="left"/>
            </w:pPr>
            <w:r>
              <w:rPr>
                <w:rFonts w:ascii="Calibri"/>
                <w:b w:val="false"/>
                <w:bCs w:val="false"/>
                <w:color w:val="1A1A1A"/>
                <w:sz w:val="21"/>
                <w:szCs w:val="21"/>
              </w:rPr>
              <w:t xml:space="preserve">White</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#FFFFFF</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Neutral</w:t>
            </w:r>
          </w:p>
        </w:tc>
        <w:tc>
          <w:tcPr>
            <w:tcW w:type="pct" w:w="46%"/>
            <w:tcMar>
              <w:top w:type="dxa" w:w="80"/>
              <w:left w:type="dxa" w:w="120"/>
              <w:bottom w:type="dxa" w:w="80"/>
              <w:right w:type="dxa" w:w="120"/>
            </w:tcMar>
          </w:tcPr>
          <w:p>
            <w:pPr>
              <w:spacing w:line="280"/>
              <w:jc w:val="left"/>
            </w:pPr>
            <w:r>
              <w:rPr>
                <w:rFonts w:ascii="Calibri"/>
                <w:b w:val="false"/>
                <w:bCs w:val="false"/>
                <w:color w:val="1A1A1A"/>
                <w:sz w:val="21"/>
                <w:szCs w:val="21"/>
              </w:rPr>
              <w:t xml:space="preserve">Page background, button text on maroon</w:t>
            </w:r>
          </w:p>
        </w:tc>
      </w:tr>
      <w:tr>
        <w:trPr>
          <w:cantSplit/>
        </w:trPr>
        <w:tc>
          <w:tcPr>
            <w:tcW w:type="pct" w:w="1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Success Green</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#2E7D32</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Status</w:t>
            </w:r>
          </w:p>
        </w:tc>
        <w:tc>
          <w:tcPr>
            <w:tcW w:type="pct" w:w="4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Form success, confirmation messages</w:t>
            </w:r>
          </w:p>
        </w:tc>
      </w:tr>
      <w:tr>
        <w:trPr>
          <w:cantSplit/>
        </w:trPr>
        <w:tc>
          <w:tcPr>
            <w:tcW w:type="pct" w:w="18%"/>
            <w:tcMar>
              <w:top w:type="dxa" w:w="80"/>
              <w:left w:type="dxa" w:w="120"/>
              <w:bottom w:type="dxa" w:w="80"/>
              <w:right w:type="dxa" w:w="120"/>
            </w:tcMar>
          </w:tcPr>
          <w:p>
            <w:pPr>
              <w:spacing w:line="280"/>
              <w:jc w:val="left"/>
            </w:pPr>
            <w:r>
              <w:rPr>
                <w:rFonts w:ascii="Calibri"/>
                <w:b w:val="false"/>
                <w:bCs w:val="false"/>
                <w:color w:val="1A1A1A"/>
                <w:sz w:val="21"/>
                <w:szCs w:val="21"/>
              </w:rPr>
              <w:t xml:space="preserve">Alert Red</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#C62828</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Status</w:t>
            </w:r>
          </w:p>
        </w:tc>
        <w:tc>
          <w:tcPr>
            <w:tcW w:type="pct" w:w="46%"/>
            <w:tcMar>
              <w:top w:type="dxa" w:w="80"/>
              <w:left w:type="dxa" w:w="120"/>
              <w:bottom w:type="dxa" w:w="80"/>
              <w:right w:type="dxa" w:w="120"/>
            </w:tcMar>
          </w:tcPr>
          <w:p>
            <w:pPr>
              <w:spacing w:line="280"/>
              <w:jc w:val="left"/>
            </w:pPr>
            <w:r>
              <w:rPr>
                <w:rFonts w:ascii="Calibri"/>
                <w:b w:val="false"/>
                <w:bCs w:val="false"/>
                <w:color w:val="1A1A1A"/>
                <w:sz w:val="21"/>
                <w:szCs w:val="21"/>
              </w:rPr>
              <w:t xml:space="preserve">Form errors, required-field indicators</w:t>
            </w:r>
          </w:p>
        </w:tc>
      </w:tr>
    </w:tbl>
    <w:p>
      <w:pPr>
        <w:pStyle w:val="Heading2"/>
        <w:spacing w:after="140" w:before="280" w:line="312"/>
      </w:pPr>
      <w:bookmarkStart w:id="100004" w:name="_Toc100004"/>
      <w:r>
        <w:rPr>
          <w:rFonts w:ascii="Arial" w:eastAsia="SimHei"/>
          <w:b/>
          <w:bCs/>
          <w:color w:val="5C0000"/>
          <w:sz w:val="28"/>
          <w:szCs w:val="28"/>
        </w:rPr>
        <w:t xml:space="preserve">2.3 Typography</w:t>
      </w:r>
      <w:bookmarkEnd w:id="100004"/>
    </w:p>
    <w:p>
      <w:pPr>
        <w:spacing w:after="120" w:line="312"/>
        <w:jc w:val="both"/>
      </w:pPr>
      <w:r>
        <w:rPr>
          <w:rFonts w:ascii="Calibri"/>
          <w:color w:val="1A1A1A"/>
          <w:sz w:val="24"/>
          <w:szCs w:val="24"/>
        </w:rPr>
        <w:t xml:space="preserve">Typography follows a two-family system that balances institutional authority with on-screen readability. Headings use Arial Bold, a clean sans-serif that renders consistently across all devices and browsers; body copy uses Calibri, which has generous letterforms and reads well at small sizes. For Hindi-language content (when the bilingual toggle is enabled), the site loads Noto Sans Devanagari, the most widely supported Devanagari web font. Numerals use the same body font for visual consistency.</w:t>
      </w:r>
    </w:p>
    <w:p>
      <w:pPr>
        <w:keepNext/>
        <w:spacing w:after="80" w:before="200"/>
      </w:pPr>
      <w:r>
        <w:rPr>
          <w:rFonts w:ascii="Arial"/>
          <w:b/>
          <w:bCs/>
          <w:color w:val="5C0000"/>
          <w:sz w:val="22"/>
          <w:szCs w:val="22"/>
        </w:rPr>
        <w:t xml:space="preserve">Table 2.2 — Typography Scale</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tblGrid>
      <w:tr>
        <w:trPr>
          <w:cantSplit/>
          <w:tblHeader/>
        </w:trPr>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Element</w:t>
            </w:r>
          </w:p>
        </w:tc>
        <w:tc>
          <w:tcPr>
            <w:tcW w:type="pct" w:w="2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Font</w:t>
            </w:r>
          </w:p>
        </w:tc>
        <w:tc>
          <w:tcPr>
            <w:tcW w:type="pct" w:w="2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Size / Weight</w:t>
            </w:r>
          </w:p>
        </w:tc>
        <w:tc>
          <w:tcPr>
            <w:tcW w:type="pct" w:w="2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Color</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H1 (page title)</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Arial Bold</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32 pt / 700</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Deep Maroon #5C0000</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H2 (section)</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Arial Bold</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26 pt / 700</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Deep Maroon #5C0000</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H3 (subsection)</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Arial Bold</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20 pt / 700</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Maroon #800000</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Body</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Calibri Regular</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16 pt / 400</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Body #1A1A1A</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Caption / Meta</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Calibri Italic</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13 pt / 400</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Secondary #6B5B5B</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Button / CTA</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Arial Bold</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15 pt / 700</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White on Maroon</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Hindi text</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Noto Sans Devanagari</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Match English size</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Same as English equivalent</w:t>
            </w:r>
          </w:p>
        </w:tc>
      </w:tr>
    </w:tbl>
    <w:p>
      <w:pPr>
        <w:pStyle w:val="Heading2"/>
        <w:spacing w:after="140" w:before="280" w:line="312"/>
      </w:pPr>
      <w:bookmarkStart w:id="100005" w:name="_Toc100005"/>
      <w:r>
        <w:rPr>
          <w:rFonts w:ascii="Arial" w:eastAsia="SimHei"/>
          <w:b/>
          <w:bCs/>
          <w:color w:val="5C0000"/>
          <w:sz w:val="28"/>
          <w:szCs w:val="28"/>
        </w:rPr>
        <w:t xml:space="preserve">2.4 Tone of Voice</w:t>
      </w:r>
      <w:bookmarkEnd w:id="100005"/>
    </w:p>
    <w:p>
      <w:pPr>
        <w:spacing w:after="120" w:line="312"/>
        <w:jc w:val="both"/>
      </w:pPr>
      <w:r>
        <w:rPr>
          <w:rFonts w:ascii="Calibri"/>
          <w:color w:val="1A1A1A"/>
          <w:sz w:val="24"/>
          <w:szCs w:val="24"/>
        </w:rPr>
        <w:t xml:space="preserve">All written content on the website should adopt a tone that is warm, respectful, and clear. The school speaks to parents and students as partners in education, not as customers. Sentences should be short and direct, avoiding both bureaucratic formality and overly casual slang. When describing achievements, the tone should be confident but never boastful. When communicating rules (admission criteria, fee deadlines), the language should be precise and unambiguous. The bilingual English and Hindi presentation ensures accessibility for all families in the Viratnagar community.</w:t>
      </w:r>
    </w:p>
    <w:p>
      <w:pPr>
        <w:pStyle w:val="Heading1"/>
        <w:spacing w:after="200" w:before="360" w:line="312"/>
      </w:pPr>
      <w:bookmarkStart w:id="100006" w:name="_Toc100006"/>
      <w:r>
        <w:rPr>
          <w:rFonts w:ascii="Arial" w:eastAsia="SimHei"/>
          <w:b/>
          <w:bCs/>
          <w:color w:val="5C0000"/>
          <w:sz w:val="32"/>
          <w:szCs w:val="32"/>
        </w:rPr>
        <w:t xml:space="preserve">3. Website Sitemap &amp; Information Architecture</w:t>
      </w:r>
      <w:bookmarkEnd w:id="100006"/>
    </w:p>
    <w:p>
      <w:pPr>
        <w:spacing w:after="120" w:line="312"/>
        <w:jc w:val="both"/>
      </w:pPr>
      <w:r>
        <w:rPr>
          <w:rFonts w:ascii="Calibri"/>
          <w:color w:val="1A1A1A"/>
          <w:sz w:val="24"/>
          <w:szCs w:val="24"/>
        </w:rPr>
        <w:t xml:space="preserve">The website is organized around six top-level pages, five of which contain sub-pages that group related content. This hierarchy keeps the main navigation simple (six items) while allowing deeper content to be discovered through secondary menus and contextual links. The structure was designed to mirror the questions parents typically ask when evaluating a school: who runs it, what is taught, how to enroll, what is happening now, and how to get in touch.</w:t>
      </w:r>
    </w:p>
    <w:p>
      <w:pPr>
        <w:pStyle w:val="Heading2"/>
        <w:spacing w:after="140" w:before="280" w:line="312"/>
      </w:pPr>
      <w:bookmarkStart w:id="100007" w:name="_Toc100007"/>
      <w:r>
        <w:rPr>
          <w:rFonts w:ascii="Arial" w:eastAsia="SimHei"/>
          <w:b/>
          <w:bCs/>
          <w:color w:val="5C0000"/>
          <w:sz w:val="28"/>
          <w:szCs w:val="28"/>
        </w:rPr>
        <w:t xml:space="preserve">3.1 Primary Navigation Structure</w:t>
      </w:r>
      <w:bookmarkEnd w:id="100007"/>
    </w:p>
    <w:p>
      <w:pPr>
        <w:spacing w:after="120" w:line="312"/>
        <w:jc w:val="both"/>
      </w:pPr>
      <w:r>
        <w:rPr>
          <w:rFonts w:ascii="Calibri"/>
          <w:color w:val="1A1A1A"/>
          <w:sz w:val="24"/>
          <w:szCs w:val="24"/>
        </w:rPr>
        <w:t xml:space="preserve">The main navigation bar appears on every page and contains six items: Home, About Us, Academics, Admissions, News &amp; Events, and Contact Us. A language toggle (English / Hindi) sits at the far right of the navigation bar, followed by a prominent "Apply Online" button in maroon. On mobile devices, the navigation collapses into a hamburger menu that opens a full-screen overlay with the same items in the same order.</w:t>
      </w:r>
    </w:p>
    <w:p>
      <w:pPr>
        <w:keepNext/>
        <w:spacing w:after="80" w:before="200"/>
      </w:pPr>
      <w:r>
        <w:rPr>
          <w:rFonts w:ascii="Arial"/>
          <w:b/>
          <w:bCs/>
          <w:color w:val="5C0000"/>
          <w:sz w:val="22"/>
          <w:szCs w:val="22"/>
        </w:rPr>
        <w:t xml:space="preserve">Table 3.1 — Complete Sitemap</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tblGrid>
      <w:tr>
        <w:trPr>
          <w:cantSplit/>
          <w:tblHeader/>
        </w:trPr>
        <w:tc>
          <w:tcPr>
            <w:tcW w:type="pct" w:w="30%"/>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Page</w:t>
            </w:r>
          </w:p>
        </w:tc>
        <w:tc>
          <w:tcPr>
            <w:tcW w:type="pct" w:w="28%"/>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URL Slug</w:t>
            </w:r>
          </w:p>
        </w:tc>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Parent</w:t>
            </w:r>
          </w:p>
        </w:tc>
        <w:tc>
          <w:tcPr>
            <w:tcW w:type="pct" w:w="20%"/>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Priority</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Home</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1.0</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About Us</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/about-us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0.9</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History &amp; Heritage</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/about-us/history</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About Us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0.7</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Vision &amp; Mission</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/about-us/vision-mission</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About Us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0.7</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Principal's Message</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/about-us/principals-message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About Us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0.7</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Management Committee</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/about-us/management</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About Us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0.6</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0.9</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Curriculum</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/academics/curriculum</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0.8</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Classes Offered</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/academics/classes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0.8</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Faculty</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/academics/faculty</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0.7</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Examination Schedule</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/academics/examinations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0.6</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1.0</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Admission Process</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/admissions/process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0.9</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Fee Structure</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/admissions/fees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0.9</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Online Application</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/admissions/apply</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0.9</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Eligibility &amp; Documents</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/admissions/eligibility</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0.8</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News &amp; Events</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/news-events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0.8</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Announcements</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/news-events/announcements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News &amp; Events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0.7</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  Event Calendar</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/news-events/calendar</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News &amp; Events</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0.7</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Photo Gallery</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/news-events/gallery</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News &amp; Events</w:t>
            </w:r>
          </w:p>
        </w:tc>
        <w:tc>
          <w:tcPr>
            <w:tcW w:type="pct" w:w="2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0.6</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Contact Us</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/contact-us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t>
            </w:r>
          </w:p>
        </w:tc>
        <w:tc>
          <w:tcPr>
            <w:tcW w:type="pct" w:w="20%"/>
            <w:tcMar>
              <w:top w:type="dxa" w:w="80"/>
              <w:left w:type="dxa" w:w="120"/>
              <w:bottom w:type="dxa" w:w="80"/>
              <w:right w:type="dxa" w:w="120"/>
            </w:tcMar>
          </w:tcPr>
          <w:p>
            <w:pPr>
              <w:spacing w:line="280"/>
              <w:jc w:val="left"/>
            </w:pPr>
            <w:r>
              <w:rPr>
                <w:rFonts w:ascii="Calibri"/>
                <w:b w:val="false"/>
                <w:bCs w:val="false"/>
                <w:color w:val="1A1A1A"/>
                <w:sz w:val="21"/>
                <w:szCs w:val="21"/>
              </w:rPr>
              <w:t xml:space="preserve">0.9</w:t>
            </w:r>
          </w:p>
        </w:tc>
      </w:tr>
    </w:tbl>
    <w:p>
      <w:pPr>
        <w:pStyle w:val="Heading2"/>
        <w:spacing w:after="140" w:before="280" w:line="312"/>
      </w:pPr>
      <w:bookmarkStart w:id="100008" w:name="_Toc100008"/>
      <w:r>
        <w:rPr>
          <w:rFonts w:ascii="Arial" w:eastAsia="SimHei"/>
          <w:b/>
          <w:bCs/>
          <w:color w:val="5C0000"/>
          <w:sz w:val="28"/>
          <w:szCs w:val="28"/>
        </w:rPr>
        <w:t xml:space="preserve">3.2 URL Structure &amp; SEO</w:t>
      </w:r>
      <w:bookmarkEnd w:id="100008"/>
    </w:p>
    <w:p>
      <w:pPr>
        <w:spacing w:after="120" w:line="312"/>
        <w:jc w:val="both"/>
      </w:pPr>
      <w:r>
        <w:rPr>
          <w:rFonts w:ascii="Calibri"/>
          <w:color w:val="1A1A1A"/>
          <w:sz w:val="24"/>
          <w:szCs w:val="24"/>
        </w:rPr>
        <w:t xml:space="preserve">All URLs use lowercase, hyphen-separated slugs that are short, descriptive, and keyword-rich. Sub-pages follow a /parent/child pattern that reinforces hierarchy for both users and search engines. Each page will have a unique meta title (under 60 characters), a meta description (under 160 characters), and Open Graph tags for social sharing. A sitemap.xml file will be generated automatically and submitted to Google Search Console. Schema.org structured data (specifically the EducationalOrganization type) will be added to the homepage and Contact Us page to improve search appearance.</w:t>
      </w:r>
    </w:p>
    <w:p>
      <w:pPr>
        <w:pStyle w:val="Heading1"/>
        <w:spacing w:after="200" w:before="360" w:line="312"/>
      </w:pPr>
      <w:bookmarkStart w:id="100009" w:name="_Toc100009"/>
      <w:r>
        <w:rPr>
          <w:rFonts w:ascii="Arial" w:eastAsia="SimHei"/>
          <w:b/>
          <w:bCs/>
          <w:color w:val="5C0000"/>
          <w:sz w:val="32"/>
          <w:szCs w:val="32"/>
        </w:rPr>
        <w:t xml:space="preserve">4. Page-by-Page Content Specification</w:t>
      </w:r>
      <w:bookmarkEnd w:id="100009"/>
    </w:p>
    <w:p>
      <w:pPr>
        <w:spacing w:after="120" w:line="312"/>
        <w:jc w:val="both"/>
      </w:pPr>
      <w:r>
        <w:rPr>
          <w:rFonts w:ascii="Calibri"/>
          <w:color w:val="1A1A1A"/>
          <w:sz w:val="24"/>
          <w:szCs w:val="24"/>
        </w:rPr>
        <w:t xml:space="preserve">This section details the content and layout of each major page. For every page, the specification describes its purpose, intended audience, the key sections it must contain, and the specific content elements the school needs to provide. Developers should treat these as the minimum viable content; the school may add additional sections later, but the items listed here must be present at launch.</w:t>
      </w:r>
    </w:p>
    <w:p>
      <w:pPr>
        <w:pStyle w:val="Heading2"/>
        <w:spacing w:after="140" w:before="280" w:line="312"/>
      </w:pPr>
      <w:bookmarkStart w:id="100010" w:name="_Toc100010"/>
      <w:r>
        <w:rPr>
          <w:rFonts w:ascii="Arial" w:eastAsia="SimHei"/>
          <w:b/>
          <w:bCs/>
          <w:color w:val="5C0000"/>
          <w:sz w:val="28"/>
          <w:szCs w:val="28"/>
        </w:rPr>
        <w:t xml:space="preserve">4.1 Home Page</w:t>
      </w:r>
      <w:bookmarkEnd w:id="100010"/>
    </w:p>
    <w:p>
      <w:pPr>
        <w:spacing w:after="120" w:line="312"/>
        <w:jc w:val="both"/>
      </w:pPr>
      <w:r>
        <w:rPr>
          <w:rFonts w:ascii="Calibri"/>
          <w:color w:val="1A1A1A"/>
          <w:sz w:val="24"/>
          <w:szCs w:val="24"/>
        </w:rPr>
        <w:t xml:space="preserve">Purpose: Create a strong first impression and guide visitors to the most important sections within 10 seconds. Audience: Prospective parents, new visitors, and the local community. The homepage opens with a full-width hero banner featuring a high-quality photograph of the school campus overlaid with the school name, tagline, and two call-to-action buttons ("Explore Academics" and "Apply Online"). Below the hero, a short welcome paragraph (80 to 100 words) introduces the school and its core values. Three feature cards highlight the school's key strengths (for example, Experienced Faculty, Modern Facilities, Holistic Development). A news ticker or latest-announcements strip surfaces the three most recent updates. The page closes with a quick-contact section showing address, phone, and a button to open Google Maps directions.</w:t>
      </w:r>
    </w:p>
    <w:p>
      <w:pPr>
        <w:pStyle w:val="Heading2"/>
        <w:spacing w:after="140" w:before="280" w:line="312"/>
      </w:pPr>
      <w:bookmarkStart w:id="100011" w:name="_Toc100011"/>
      <w:r>
        <w:rPr>
          <w:rFonts w:ascii="Arial" w:eastAsia="SimHei"/>
          <w:b/>
          <w:bCs/>
          <w:color w:val="5C0000"/>
          <w:sz w:val="28"/>
          <w:szCs w:val="28"/>
        </w:rPr>
        <w:t xml:space="preserve">4.2 About Us</w:t>
      </w:r>
      <w:bookmarkEnd w:id="100011"/>
    </w:p>
    <w:p>
      <w:pPr>
        <w:spacing w:after="120" w:line="312"/>
        <w:jc w:val="both"/>
      </w:pPr>
      <w:r>
        <w:rPr>
          <w:rFonts w:ascii="Calibri"/>
          <w:color w:val="1A1A1A"/>
          <w:sz w:val="24"/>
          <w:szCs w:val="24"/>
        </w:rPr>
        <w:t xml:space="preserve">Purpose: Build trust by telling the school's story and introducing its leadership. Audience: Prospective parents evaluating the school's credibility. The About Us landing page shows a brief overview (200 words) and a sidebar linking to four sub-pages. The History &amp; Heritage page narrates the founding of the school, its growth over the years, and milestones, supported by archival photographs. The Vision &amp; Mission page presents the school's vision, mission, and core values as a clean three-column layout. The Principal's Message page features a portrait photograph of the principal alongside a 300-word welcome message. The Management Committee page lists the names, designations, and brief profiles of the managing committee members in a card grid.</w:t>
      </w:r>
    </w:p>
    <w:p>
      <w:pPr>
        <w:pStyle w:val="Heading2"/>
        <w:spacing w:after="140" w:before="280" w:line="312"/>
      </w:pPr>
      <w:bookmarkStart w:id="100012" w:name="_Toc100012"/>
      <w:r>
        <w:rPr>
          <w:rFonts w:ascii="Arial" w:eastAsia="SimHei"/>
          <w:b/>
          <w:bCs/>
          <w:color w:val="5C0000"/>
          <w:sz w:val="28"/>
          <w:szCs w:val="28"/>
        </w:rPr>
        <w:t xml:space="preserve">4.3 Academics</w:t>
      </w:r>
      <w:bookmarkEnd w:id="100012"/>
    </w:p>
    <w:p>
      <w:pPr>
        <w:spacing w:after="120" w:line="312"/>
        <w:jc w:val="both"/>
      </w:pPr>
      <w:r>
        <w:rPr>
          <w:rFonts w:ascii="Calibri"/>
          <w:color w:val="1A1A1A"/>
          <w:sz w:val="24"/>
          <w:szCs w:val="24"/>
        </w:rPr>
        <w:t xml:space="preserve">Purpose: Communicate the academic program clearly so parents can assess fit. Audience: Parents of prospective students and current students seeking information. The Academics landing page provides an overview of the academic philosophy and links to four sub-pages. The Curriculum page describes the board affiliation (CBSE or RBSE, to be confirmed), the subjects offered at each level, and the pedagogical approach. The Classes Offered page lists all classes from primary to senior secondary, with the streams available at the senior secondary level (Science, Commerce, Arts). The Faculty page presents a directory of teaching staff organized by department, with photograph, name, qualification, and subject. The Examination Schedule page lists upcoming assessments and links to downloadable PDF timetables.</w:t>
      </w:r>
    </w:p>
    <w:p>
      <w:pPr>
        <w:pStyle w:val="Heading2"/>
        <w:spacing w:after="140" w:before="280" w:line="312"/>
      </w:pPr>
      <w:bookmarkStart w:id="100013" w:name="_Toc100013"/>
      <w:r>
        <w:rPr>
          <w:rFonts w:ascii="Arial" w:eastAsia="SimHei"/>
          <w:b/>
          <w:bCs/>
          <w:color w:val="5C0000"/>
          <w:sz w:val="28"/>
          <w:szCs w:val="28"/>
        </w:rPr>
        <w:t xml:space="preserve">4.4 Admissions</w:t>
      </w:r>
      <w:bookmarkEnd w:id="100013"/>
    </w:p>
    <w:p>
      <w:pPr>
        <w:spacing w:after="120" w:line="312"/>
        <w:jc w:val="both"/>
      </w:pPr>
      <w:r>
        <w:rPr>
          <w:rFonts w:ascii="Calibri"/>
          <w:color w:val="1A1A1A"/>
          <w:sz w:val="24"/>
          <w:szCs w:val="24"/>
        </w:rPr>
        <w:t xml:space="preserve">Purpose: Convert interested visitors into applicants by making the process transparent and easy. Audience: Parents actively considering enrollment. The Admissions landing page summarizes the process in four numbered steps (Inquiry, Form Submission, Interaction, Confirmation) and links to four sub-pages. The Admission Process page details each step, the timeline, and the interaction round. The Fee Structure page presents a transparent table of fees by class, including admission fee, tuition fee, and any optional charges. The Online Application page hosts a multi-section form (student details, parent details, previous school, document upload) with clear validation and a confirmation email. The Eligibility &amp; Documents page lists the age criteria for each class and the documents required at submission.</w:t>
      </w:r>
    </w:p>
    <w:p>
      <w:pPr>
        <w:pStyle w:val="Heading2"/>
        <w:spacing w:after="140" w:before="280" w:line="312"/>
      </w:pPr>
      <w:bookmarkStart w:id="100014" w:name="_Toc100014"/>
      <w:r>
        <w:rPr>
          <w:rFonts w:ascii="Arial" w:eastAsia="SimHei"/>
          <w:b/>
          <w:bCs/>
          <w:color w:val="5C0000"/>
          <w:sz w:val="28"/>
          <w:szCs w:val="28"/>
        </w:rPr>
        <w:t xml:space="preserve">4.5 News &amp; Events</w:t>
      </w:r>
      <w:bookmarkEnd w:id="100014"/>
    </w:p>
    <w:p>
      <w:pPr>
        <w:spacing w:after="120" w:line="312"/>
        <w:jc w:val="both"/>
      </w:pPr>
      <w:r>
        <w:rPr>
          <w:rFonts w:ascii="Calibri"/>
          <w:color w:val="1A1A1A"/>
          <w:sz w:val="24"/>
          <w:szCs w:val="24"/>
        </w:rPr>
        <w:t xml:space="preserve">Purpose: Demonstrate that the school is active and engaging. Audience: Current parents, students, and the wider community. The News &amp; Events landing page displays the six most recent items in a card grid with thumbnail, title, date, and excerpt. The Announcements sub-page lists all formal notices (holiday declarations, exam results, fee reminders) in reverse-chronological order with PDF attachments where applicable. The Event Calendar sub-page presents a monthly calendar view with color-coded event categories (Academic, Cultural, Sports, Holiday). The Photo Gallery sub-page displays albums of school events in a responsive grid with lightbox viewing.</w:t>
      </w:r>
    </w:p>
    <w:p>
      <w:pPr>
        <w:pStyle w:val="Heading2"/>
        <w:spacing w:after="140" w:before="280" w:line="312"/>
      </w:pPr>
      <w:bookmarkStart w:id="100015" w:name="_Toc100015"/>
      <w:r>
        <w:rPr>
          <w:rFonts w:ascii="Arial" w:eastAsia="SimHei"/>
          <w:b/>
          <w:bCs/>
          <w:color w:val="5C0000"/>
          <w:sz w:val="28"/>
          <w:szCs w:val="28"/>
        </w:rPr>
        <w:t xml:space="preserve">4.6 Contact Us</w:t>
      </w:r>
      <w:bookmarkEnd w:id="100015"/>
    </w:p>
    <w:p>
      <w:pPr>
        <w:spacing w:after="120" w:line="312"/>
        <w:jc w:val="both"/>
      </w:pPr>
      <w:r>
        <w:rPr>
          <w:rFonts w:ascii="Calibri"/>
          <w:color w:val="1A1A1A"/>
          <w:sz w:val="24"/>
          <w:szCs w:val="24"/>
        </w:rPr>
        <w:t xml:space="preserve">Purpose: Make it effortless for visitors to reach the school. Audience: All visitors. The Contact Us page combines a contact form (name, email, phone, subject, message) with the school's full postal address, phone numbers (office and admissions desk), email addresses, working hours, an embedded Google Map showing the school's location in Viratnagar, and a WhatsApp click-to-chat button. The page also lists the school's official social media handles (Facebook, Instagram, YouTube) with links opening in new tabs. Form submissions are sent to a designated school email and stored in a simple dashboard accessible to authorized staff.</w:t>
      </w:r>
    </w:p>
    <w:p>
      <w:pPr>
        <w:pStyle w:val="Heading1"/>
        <w:spacing w:after="200" w:before="360" w:line="312"/>
      </w:pPr>
      <w:bookmarkStart w:id="100016" w:name="_Toc100016"/>
      <w:r>
        <w:rPr>
          <w:rFonts w:ascii="Arial" w:eastAsia="SimHei"/>
          <w:b/>
          <w:bCs/>
          <w:color w:val="5C0000"/>
          <w:sz w:val="32"/>
          <w:szCs w:val="32"/>
        </w:rPr>
        <w:t xml:space="preserve">5. Functional Features &amp; Requirements</w:t>
      </w:r>
      <w:bookmarkEnd w:id="100016"/>
    </w:p>
    <w:p>
      <w:pPr>
        <w:spacing w:after="120" w:line="312"/>
        <w:jc w:val="both"/>
      </w:pPr>
      <w:r>
        <w:rPr>
          <w:rFonts w:ascii="Calibri"/>
          <w:color w:val="1A1A1A"/>
          <w:sz w:val="24"/>
          <w:szCs w:val="24"/>
        </w:rPr>
        <w:t xml:space="preserve">Beyond static content, the website must include a set of functional features that improve usability, accessibility, and discoverability. These features are grouped into five categories: responsive design, bilingual support, interactive forms, content management, and technical optimization. Each feature is listed with a priority level (Must Have, Should Have, Could Have) to guide the development team's effort allocation.</w:t>
      </w:r>
    </w:p>
    <w:p>
      <w:pPr>
        <w:keepNext/>
        <w:spacing w:after="80" w:before="200"/>
      </w:pPr>
      <w:r>
        <w:rPr>
          <w:rFonts w:ascii="Arial"/>
          <w:b/>
          <w:bCs/>
          <w:color w:val="5C0000"/>
          <w:sz w:val="22"/>
          <w:szCs w:val="22"/>
        </w:rPr>
        <w:t xml:space="preserve">Table 5.1 — Feature Priority Matrix</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tblGrid>
      <w:tr>
        <w:trPr>
          <w:cantSplit/>
          <w:tblHeader/>
        </w:trPr>
        <w:tc>
          <w:tcPr>
            <w:tcW w:type="pct" w:w="30%"/>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Feature</w:t>
            </w:r>
          </w:p>
        </w:tc>
        <w:tc>
          <w:tcPr>
            <w:tcW w:type="pct" w:w="1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Category</w:t>
            </w:r>
          </w:p>
        </w:tc>
        <w:tc>
          <w:tcPr>
            <w:tcW w:type="pct" w:w="14%"/>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Priority</w:t>
            </w:r>
          </w:p>
        </w:tc>
        <w:tc>
          <w:tcPr>
            <w:tcW w:type="pct" w:w="40%"/>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Notes</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Mobile-responsive layout</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Responsive</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Breakpoints at 480 / 768 / 1024 / 1440 px</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Bilingual (English / Hindi) toggle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Localization</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URL-based (/en/..., /hi/...) or session-based</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Online admission form with file upload</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Forms</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PDF/JPG up to 5 MB; sends confirmation email</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Contact form with spam protection</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Forms</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reCAPTCHA v3; rate-limited</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News / announcements CMS</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Content</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Staff can add/edit without developer help</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Photo gallery with lightbox</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Content</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Should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Lazy-loaded thumbnails; keyboard navigable</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Event calendar</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Content</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Should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Monthly view; ICS export for parents</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WhatsApp click-to-chat</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Engagement</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Should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Floating button on mobile; pre-filled message</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Google Maps embed</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Engagement</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Pinned location of Viratnagar campus</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Site search</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Discovery</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Should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Search across pages and news items</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SEO meta tags + sitemap.xml</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Technical</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Per-page meta title/description; auto sitemap</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Schema.org EducationalOrganization</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Technical</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Should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Improves Google rich results</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WCAG 2.1 AA accessibility</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Accessibility</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Alt text, keyboard nav, contrast ≥ 4.5:1</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Lazy image loading + CDN</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Performance</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Target LCP &lt; 2.5 s on 4G</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SSL (HTTPS) site-wide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Security</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Must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Let's Encrypt free certificate</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Social media integration</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Engagement</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Should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Footer links + Open Graph tags</w:t>
            </w:r>
          </w:p>
        </w:tc>
      </w:tr>
      <w:tr>
        <w:trPr>
          <w:cantSplit/>
        </w:trPr>
        <w:tc>
          <w:tcPr>
            <w:tcW w:type="pct" w:w="30%"/>
            <w:tcMar>
              <w:top w:type="dxa" w:w="80"/>
              <w:left w:type="dxa" w:w="120"/>
              <w:bottom w:type="dxa" w:w="80"/>
              <w:right w:type="dxa" w:w="120"/>
            </w:tcMar>
          </w:tcPr>
          <w:p>
            <w:pPr>
              <w:spacing w:line="280"/>
              <w:jc w:val="left"/>
            </w:pPr>
            <w:r>
              <w:rPr>
                <w:rFonts w:ascii="Calibri"/>
                <w:b w:val="false"/>
                <w:bCs w:val="false"/>
                <w:color w:val="1A1A1A"/>
                <w:sz w:val="21"/>
                <w:szCs w:val="21"/>
              </w:rPr>
              <w:t xml:space="preserve">PDF document viewer</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Content</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Could Have</w:t>
            </w:r>
          </w:p>
        </w:tc>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For circulars and timetables</w:t>
            </w:r>
          </w:p>
        </w:tc>
      </w:tr>
      <w:tr>
        <w:trPr>
          <w:cantSplit/>
        </w:trPr>
        <w:tc>
          <w:tcPr>
            <w:tcW w:type="pct" w:w="3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Alumni directory / stories</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Content</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Could Have</w:t>
            </w:r>
          </w:p>
        </w:tc>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Phase 2 enhancement</w:t>
            </w:r>
          </w:p>
        </w:tc>
      </w:tr>
    </w:tbl>
    <w:p>
      <w:pPr>
        <w:spacing w:after="120" w:line="312"/>
        <w:jc w:val="both"/>
      </w:pPr>
      <w:r>
        <w:rPr>
          <w:rFonts w:ascii="Calibri"/>
          <w:color w:val="1A1A1A"/>
          <w:sz w:val="24"/>
          <w:szCs w:val="24"/>
        </w:rPr>
        <w:t xml:space="preserve">Accessibility is treated as a Must Have, not an afterthought. All images must carry descriptive alt text, all interactive elements must be reachable via keyboard, color contrast must meet WCAG 2.1 AA standards (minimum 4.5:1 for body text), and form fields must have associated label elements. These requirements are non-negotiable because they affect both legal compliance and the school's responsibility to serve all members of its community, including those with visual or motor impairments.</w:t>
      </w:r>
    </w:p>
    <w:p>
      <w:pPr>
        <w:pStyle w:val="Heading1"/>
        <w:spacing w:after="200" w:before="360" w:line="312"/>
      </w:pPr>
      <w:bookmarkStart w:id="100017" w:name="_Toc100017"/>
      <w:r>
        <w:rPr>
          <w:rFonts w:ascii="Arial" w:eastAsia="SimHei"/>
          <w:b/>
          <w:bCs/>
          <w:color w:val="5C0000"/>
          <w:sz w:val="32"/>
          <w:szCs w:val="32"/>
        </w:rPr>
        <w:t xml:space="preserve">6. Suggested Technology Stack</w:t>
      </w:r>
      <w:bookmarkEnd w:id="100017"/>
    </w:p>
    <w:p>
      <w:pPr>
        <w:spacing w:after="120" w:line="312"/>
        <w:jc w:val="both"/>
      </w:pPr>
      <w:r>
        <w:rPr>
          <w:rFonts w:ascii="Calibri"/>
          <w:color w:val="1A1A1A"/>
          <w:sz w:val="24"/>
          <w:szCs w:val="24"/>
        </w:rPr>
        <w:t xml:space="preserve">Two technology options are recommended, depending on the school's preference for self-management versus custom design. Option A (WordPress) is recommended for most schools because it allows non-technical staff to update content after a brief training. Option B (Next.js + headless CMS) is recommended only if the school wants a highly custom design and has access to a developer for ongoing maintenance. Both options are presented with their trade-offs so the management can make an informed decision.</w:t>
      </w:r>
    </w:p>
    <w:p>
      <w:pPr>
        <w:pStyle w:val="Heading2"/>
        <w:spacing w:after="140" w:before="280" w:line="312"/>
      </w:pPr>
      <w:bookmarkStart w:id="100018" w:name="_Toc100018"/>
      <w:r>
        <w:rPr>
          <w:rFonts w:ascii="Arial" w:eastAsia="SimHei"/>
          <w:b/>
          <w:bCs/>
          <w:color w:val="5C0000"/>
          <w:sz w:val="28"/>
          <w:szCs w:val="28"/>
        </w:rPr>
        <w:t xml:space="preserve">6.1 Option A — WordPress (Recommended)</w:t>
      </w:r>
      <w:bookmarkEnd w:id="100018"/>
    </w:p>
    <w:p>
      <w:pPr>
        <w:spacing w:after="120" w:line="312"/>
        <w:jc w:val="both"/>
      </w:pPr>
      <w:r>
        <w:rPr>
          <w:rFonts w:ascii="Calibri"/>
          <w:color w:val="1A1A1A"/>
          <w:sz w:val="24"/>
          <w:szCs w:val="24"/>
        </w:rPr>
        <w:t xml:space="preserve">WordPress powers more than 40% of all websites and is exceptionally well-suited for school sites. The recommended setup uses the core WordPress installation, the Elementor page builder (free version) for visual page editing, a lightweight school-appropriate theme (such as Education Hub or Education Zone), and a small set of essential plugins: Contact Form 7 or WPForms for forms, Yoast SEO for search optimization, WP Super Cache for performance, and UpdraftPlus for automated backups. This stack requires no coding for day-to-day content updates.</w:t>
      </w:r>
    </w:p>
    <w:p>
      <w:pPr>
        <w:pStyle w:val="Heading2"/>
        <w:spacing w:after="140" w:before="280" w:line="312"/>
      </w:pPr>
      <w:bookmarkStart w:id="100019" w:name="_Toc100019"/>
      <w:r>
        <w:rPr>
          <w:rFonts w:ascii="Arial" w:eastAsia="SimHei"/>
          <w:b/>
          <w:bCs/>
          <w:color w:val="5C0000"/>
          <w:sz w:val="28"/>
          <w:szCs w:val="28"/>
        </w:rPr>
        <w:t xml:space="preserve">6.2 Option B — Next.js + Headless CMS</w:t>
      </w:r>
      <w:bookmarkEnd w:id="100019"/>
    </w:p>
    <w:p>
      <w:pPr>
        <w:spacing w:after="120" w:line="312"/>
        <w:jc w:val="both"/>
      </w:pPr>
      <w:r>
        <w:rPr>
          <w:rFonts w:ascii="Calibri"/>
          <w:color w:val="1A1A1A"/>
          <w:sz w:val="24"/>
          <w:szCs w:val="24"/>
        </w:rPr>
        <w:t xml:space="preserve">For a fully custom design with superior performance, the school can opt for Next.js (a React framework) with a headless CMS such as Strapi or Sanity. This option delivers faster page loads, finer design control, and better scalability for future features (such as a student portal). However, it requires a developer for any structural change and carries higher ongoing maintenance cost. This option is recommended only if the school has a long-term technical partner.</w:t>
      </w:r>
    </w:p>
    <w:p>
      <w:pPr>
        <w:pStyle w:val="Heading2"/>
        <w:spacing w:after="140" w:before="280" w:line="312"/>
      </w:pPr>
      <w:bookmarkStart w:id="100020" w:name="_Toc100020"/>
      <w:r>
        <w:rPr>
          <w:rFonts w:ascii="Arial" w:eastAsia="SimHei"/>
          <w:b/>
          <w:bCs/>
          <w:color w:val="5C0000"/>
          <w:sz w:val="28"/>
          <w:szCs w:val="28"/>
        </w:rPr>
        <w:t xml:space="preserve">6.3 Domain, Hosting, Email &amp; Analytics</w:t>
      </w:r>
      <w:bookmarkEnd w:id="100020"/>
    </w:p>
    <w:p>
      <w:pPr>
        <w:keepNext/>
        <w:spacing w:after="80" w:before="200"/>
      </w:pPr>
      <w:r>
        <w:rPr>
          <w:rFonts w:ascii="Arial"/>
          <w:b/>
          <w:bCs/>
          <w:color w:val="5C0000"/>
          <w:sz w:val="22"/>
          <w:szCs w:val="22"/>
        </w:rPr>
        <w:t xml:space="preserve">Table 6.1 — Recommended Services &amp; Tools</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tblGrid>
      <w:tr>
        <w:trPr>
          <w:cantSplit/>
          <w:tblHeader/>
        </w:trPr>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Service</w:t>
            </w:r>
          </w:p>
        </w:tc>
        <w:tc>
          <w:tcPr>
            <w:tcW w:type="pct" w:w="24%"/>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Recommended Provider</w:t>
            </w:r>
          </w:p>
        </w:tc>
        <w:tc>
          <w:tcPr>
            <w:tcW w:type="pct" w:w="2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Plan / Notes</w:t>
            </w:r>
          </w:p>
        </w:tc>
        <w:tc>
          <w:tcPr>
            <w:tcW w:type="pct" w:w="28%"/>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Indicative Annual Cost</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Domain (.in)</w:t>
            </w:r>
          </w:p>
        </w:tc>
        <w:tc>
          <w:tcPr>
            <w:tcW w:type="pct" w:w="24%"/>
            <w:tcMar>
              <w:top w:type="dxa" w:w="80"/>
              <w:left w:type="dxa" w:w="120"/>
              <w:bottom w:type="dxa" w:w="80"/>
              <w:right w:type="dxa" w:w="120"/>
            </w:tcMar>
          </w:tcPr>
          <w:p>
            <w:pPr>
              <w:spacing w:line="280"/>
              <w:jc w:val="left"/>
            </w:pPr>
            <w:r>
              <w:rPr>
                <w:rFonts w:ascii="Calibri"/>
                <w:b w:val="false"/>
                <w:bCs w:val="false"/>
                <w:color w:val="1A1A1A"/>
                <w:sz w:val="21"/>
                <w:szCs w:val="21"/>
              </w:rPr>
              <w:t xml:space="preserve">Hostinger / GoDaddy / Namecheap</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viratpublicschool.in</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 700 – 1,000</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Hosting</w:t>
            </w:r>
          </w:p>
        </w:tc>
        <w:tc>
          <w:tcPr>
            <w:tcW w:type="pct" w:w="2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Hostinger India / Bluehost India</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Shared or Cloud Business</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 3,000 – 8,000</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SSL Certificate</w:t>
            </w:r>
          </w:p>
        </w:tc>
        <w:tc>
          <w:tcPr>
            <w:tcW w:type="pct" w:w="24%"/>
            <w:tcMar>
              <w:top w:type="dxa" w:w="80"/>
              <w:left w:type="dxa" w:w="120"/>
              <w:bottom w:type="dxa" w:w="80"/>
              <w:right w:type="dxa" w:w="120"/>
            </w:tcMar>
          </w:tcPr>
          <w:p>
            <w:pPr>
              <w:spacing w:line="280"/>
              <w:jc w:val="left"/>
            </w:pPr>
            <w:r>
              <w:rPr>
                <w:rFonts w:ascii="Calibri"/>
                <w:b w:val="false"/>
                <w:bCs w:val="false"/>
                <w:color w:val="1A1A1A"/>
                <w:sz w:val="21"/>
                <w:szCs w:val="21"/>
              </w:rPr>
              <w:t xml:space="preserve">Let's Encrypt (free via host)</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Auto-renewing</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Email (Google Workspace for Education)</w:t>
            </w:r>
          </w:p>
        </w:tc>
        <w:tc>
          <w:tcPr>
            <w:tcW w:type="pct" w:w="2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Google</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Free tier for schools</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Analytics</w:t>
            </w:r>
          </w:p>
        </w:tc>
        <w:tc>
          <w:tcPr>
            <w:tcW w:type="pct" w:w="24%"/>
            <w:tcMar>
              <w:top w:type="dxa" w:w="80"/>
              <w:left w:type="dxa" w:w="120"/>
              <w:bottom w:type="dxa" w:w="80"/>
              <w:right w:type="dxa" w:w="120"/>
            </w:tcMar>
          </w:tcPr>
          <w:p>
            <w:pPr>
              <w:spacing w:line="280"/>
              <w:jc w:val="left"/>
            </w:pPr>
            <w:r>
              <w:rPr>
                <w:rFonts w:ascii="Calibri"/>
                <w:b w:val="false"/>
                <w:bCs w:val="false"/>
                <w:color w:val="1A1A1A"/>
                <w:sz w:val="21"/>
                <w:szCs w:val="21"/>
              </w:rPr>
              <w:t xml:space="preserve">Google Analytics 4</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Search Console</w:t>
            </w:r>
          </w:p>
        </w:tc>
        <w:tc>
          <w:tcPr>
            <w:tcW w:type="pct" w:w="2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Google Search Console</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Backup Plugin</w:t>
            </w:r>
          </w:p>
        </w:tc>
        <w:tc>
          <w:tcPr>
            <w:tcW w:type="pct" w:w="24%"/>
            <w:tcMar>
              <w:top w:type="dxa" w:w="80"/>
              <w:left w:type="dxa" w:w="120"/>
              <w:bottom w:type="dxa" w:w="80"/>
              <w:right w:type="dxa" w:w="120"/>
            </w:tcMar>
          </w:tcPr>
          <w:p>
            <w:pPr>
              <w:spacing w:line="280"/>
              <w:jc w:val="left"/>
            </w:pPr>
            <w:r>
              <w:rPr>
                <w:rFonts w:ascii="Calibri"/>
                <w:b w:val="false"/>
                <w:bCs w:val="false"/>
                <w:color w:val="1A1A1A"/>
                <w:sz w:val="21"/>
                <w:szCs w:val="21"/>
              </w:rPr>
              <w:t xml:space="preserve">UpdraftPlus (WordPress)</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Free / Premium</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Free – ₹ 2,000</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Security Plugin</w:t>
            </w:r>
          </w:p>
        </w:tc>
        <w:tc>
          <w:tcPr>
            <w:tcW w:type="pct" w:w="2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Wordfence (WordPress)</w:t>
            </w:r>
          </w:p>
        </w:tc>
        <w:tc>
          <w:tcPr>
            <w:tcW w:type="pct" w:w="2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Free / Premium</w:t>
            </w:r>
          </w:p>
        </w:tc>
        <w:tc>
          <w:tcPr>
            <w:tcW w:type="pct" w:w="28%"/>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Free – ₹ 3,000</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CDN</w:t>
            </w:r>
          </w:p>
        </w:tc>
        <w:tc>
          <w:tcPr>
            <w:tcW w:type="pct" w:w="24%"/>
            <w:tcMar>
              <w:top w:type="dxa" w:w="80"/>
              <w:left w:type="dxa" w:w="120"/>
              <w:bottom w:type="dxa" w:w="80"/>
              <w:right w:type="dxa" w:w="120"/>
            </w:tcMar>
          </w:tcPr>
          <w:p>
            <w:pPr>
              <w:spacing w:line="280"/>
              <w:jc w:val="left"/>
            </w:pPr>
            <w:r>
              <w:rPr>
                <w:rFonts w:ascii="Calibri"/>
                <w:b w:val="false"/>
                <w:bCs w:val="false"/>
                <w:color w:val="1A1A1A"/>
                <w:sz w:val="21"/>
                <w:szCs w:val="21"/>
              </w:rPr>
              <w:t xml:space="preserve">Cloudflare</w:t>
            </w:r>
          </w:p>
        </w:tc>
        <w:tc>
          <w:tcPr>
            <w:tcW w:type="pct" w:w="26%"/>
            <w:tcMar>
              <w:top w:type="dxa" w:w="80"/>
              <w:left w:type="dxa" w:w="120"/>
              <w:bottom w:type="dxa" w:w="80"/>
              <w:right w:type="dxa" w:w="120"/>
            </w:tcMar>
          </w:tcPr>
          <w:p>
            <w:pPr>
              <w:spacing w:line="280"/>
              <w:jc w:val="left"/>
            </w:pPr>
            <w:r>
              <w:rPr>
                <w:rFonts w:ascii="Calibri"/>
                <w:b w:val="false"/>
                <w:bCs w:val="false"/>
                <w:color w:val="1A1A1A"/>
                <w:sz w:val="21"/>
                <w:szCs w:val="21"/>
              </w:rPr>
              <w:t xml:space="preserve">Free tier</w:t>
            </w:r>
          </w:p>
        </w:tc>
        <w:tc>
          <w:tcPr>
            <w:tcW w:type="pct" w:w="28%"/>
            <w:tcMar>
              <w:top w:type="dxa" w:w="80"/>
              <w:left w:type="dxa" w:w="120"/>
              <w:bottom w:type="dxa" w:w="80"/>
              <w:right w:type="dxa" w:w="120"/>
            </w:tcMar>
          </w:tcPr>
          <w:p>
            <w:pPr>
              <w:spacing w:line="280"/>
              <w:jc w:val="left"/>
            </w:pPr>
            <w:r>
              <w:rPr>
                <w:rFonts w:ascii="Calibri"/>
                <w:b w:val="false"/>
                <w:bCs w:val="false"/>
                <w:color w:val="1A1A1A"/>
                <w:sz w:val="21"/>
                <w:szCs w:val="21"/>
              </w:rPr>
              <w:t xml:space="preserve">Free</w:t>
            </w:r>
          </w:p>
        </w:tc>
      </w:tr>
    </w:tbl>
    <w:p>
      <w:pPr>
        <w:spacing w:after="120" w:line="312"/>
        <w:jc w:val="both"/>
      </w:pPr>
      <w:r>
        <w:rPr>
          <w:rFonts w:ascii="Calibri"/>
          <w:color w:val="1A1A1A"/>
          <w:sz w:val="24"/>
          <w:szCs w:val="24"/>
        </w:rPr>
        <w:t xml:space="preserve">The total annual cost for Option A (WordPress) ranges from approximately ₹ 4,000 to ₹ 14,000, excluding the one-time development fee. This makes it highly affordable for a school. The Google Workspace for Education free tier provides email accounts (such as info@viratpublicschool.in, principal@viratpublicschool.in, admissions@viratpublicschool.in) along with 100 GB of cloud storage per user, which is more than sufficient for the school's communication needs.</w:t>
      </w:r>
    </w:p>
    <w:p>
      <w:pPr>
        <w:pStyle w:val="Heading1"/>
        <w:spacing w:after="200" w:before="360" w:line="312"/>
      </w:pPr>
      <w:bookmarkStart w:id="100021" w:name="_Toc100021"/>
      <w:r>
        <w:rPr>
          <w:rFonts w:ascii="Arial" w:eastAsia="SimHei"/>
          <w:b/>
          <w:bCs/>
          <w:color w:val="5C0000"/>
          <w:sz w:val="32"/>
          <w:szCs w:val="32"/>
        </w:rPr>
        <w:t xml:space="preserve">7. Content Assets Checklist</w:t>
      </w:r>
      <w:bookmarkEnd w:id="100021"/>
    </w:p>
    <w:p>
      <w:pPr>
        <w:spacing w:after="120" w:line="312"/>
        <w:jc w:val="both"/>
      </w:pPr>
      <w:r>
        <w:rPr>
          <w:rFonts w:ascii="Calibri"/>
          <w:color w:val="1A1A1A"/>
          <w:sz w:val="24"/>
          <w:szCs w:val="24"/>
        </w:rPr>
        <w:t xml:space="preserve">Before development begins, the school must gather a complete set of content assets. The checklist below identifies every asset required for launch. The school should assign an internal coordinator (typically a senior teacher or the office administrator) to collect these assets, mark each item's status, and share them with the development team via a single Google Drive folder. Items marked "Pending" will block development of the corresponding page, so the checklist must be completed before Phase 2 (design) begins.</w:t>
      </w:r>
    </w:p>
    <w:p>
      <w:pPr>
        <w:keepNext/>
        <w:spacing w:after="80" w:before="200"/>
      </w:pPr>
      <w:r>
        <w:rPr>
          <w:rFonts w:ascii="Arial"/>
          <w:b/>
          <w:bCs/>
          <w:color w:val="5C0000"/>
          <w:sz w:val="22"/>
          <w:szCs w:val="22"/>
        </w:rPr>
        <w:t xml:space="preserve">Table 7.1 — Content Assets Checklist</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tblGrid>
      <w:tr>
        <w:trPr>
          <w:cantSplit/>
          <w:tblHeader/>
        </w:trPr>
        <w:tc>
          <w:tcPr>
            <w:tcW w:type="pct" w:w="40%"/>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Asset</w:t>
            </w:r>
          </w:p>
        </w:tc>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Format</w:t>
            </w:r>
          </w:p>
        </w:tc>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Owner</w:t>
            </w:r>
          </w:p>
        </w:tc>
        <w:tc>
          <w:tcPr>
            <w:tcW w:type="pct" w:w="1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Status</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School logo (high-resolution)</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PNG + SVG</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Management</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Campus exterior photograph</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JPG, landscape, 2400 px</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School office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Classroom photographs (3–5)</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JPG, landscape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School 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Science / computer lab photographs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JPG, landscape</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Concerned faculty</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Playground / sports photographs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JPG, landscape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Sports in-charge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Library photograph</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JPG, landscape</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Librarian</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Principal's portrait + message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JPG + Word doc</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Principal's 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Management committee list + photos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JPG + Word doc</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Management</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School history write-up</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 400–600 words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Senior faculty</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Vision &amp; mission statements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Management</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Core values list</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Management</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Faculty directory (name, qualification, subject, photo)</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Excel + JPGs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Classes offered + streams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 coordinator</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Curriculum details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 coordinator</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Board affiliation certificate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PDF scan</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 process document</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 desk</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Fee structure (class-wise)</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Excel + PDF</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Accounts</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Age / eligibility criteria</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 desk</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Required documents list for admission</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Word doc</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Admissions desk</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Recent event photographs (5–10 albums)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JPG, sorted by event</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Cultural in-charge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Recent announcements / circulars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PDF</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 calendar 2026–27</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PDF + Word</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Academic coordinator</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Postal address + GPS coordinates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Text</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Phone numbers (office, admissions)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Text</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Email addresses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Text</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Working hours</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Text</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tcMar>
              <w:top w:type="dxa" w:w="80"/>
              <w:left w:type="dxa" w:w="120"/>
              <w:bottom w:type="dxa" w:w="80"/>
              <w:right w:type="dxa" w:w="120"/>
            </w:tcMar>
          </w:tcPr>
          <w:p>
            <w:pPr>
              <w:spacing w:line="280"/>
              <w:jc w:val="left"/>
            </w:pPr>
            <w:r>
              <w:rPr>
                <w:rFonts w:ascii="Calibri"/>
                <w:b w:val="false"/>
                <w:bCs w:val="false"/>
                <w:color w:val="1A1A1A"/>
                <w:sz w:val="21"/>
                <w:szCs w:val="21"/>
              </w:rPr>
              <w:t xml:space="preserve">Social media handles (if any)</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Text / URLs</w:t>
            </w:r>
          </w:p>
        </w:tc>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Office</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Pending</w:t>
            </w:r>
          </w:p>
        </w:tc>
      </w:tr>
      <w:tr>
        <w:trPr>
          <w:cantSplit/>
        </w:trPr>
        <w:tc>
          <w:tcPr>
            <w:tcW w:type="pct" w:w="40%"/>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Transport routes (optional)</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PDF</w:t>
            </w:r>
          </w:p>
        </w:tc>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Transport in-charge</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Optional</w:t>
            </w:r>
          </w:p>
        </w:tc>
      </w:tr>
    </w:tbl>
    <w:p>
      <w:pPr>
        <w:pStyle w:val="Heading1"/>
        <w:spacing w:after="200" w:before="360" w:line="312"/>
      </w:pPr>
      <w:bookmarkStart w:id="100022" w:name="_Toc100022"/>
      <w:r>
        <w:rPr>
          <w:rFonts w:ascii="Arial" w:eastAsia="SimHei"/>
          <w:b/>
          <w:bCs/>
          <w:color w:val="5C0000"/>
          <w:sz w:val="32"/>
          <w:szCs w:val="32"/>
        </w:rPr>
        <w:t xml:space="preserve">8. Development Timeline &amp; Next Steps</w:t>
      </w:r>
      <w:bookmarkEnd w:id="100022"/>
    </w:p>
    <w:p>
      <w:pPr>
        <w:spacing w:after="120" w:line="312"/>
        <w:jc w:val="both"/>
      </w:pPr>
      <w:r>
        <w:rPr>
          <w:rFonts w:ascii="Calibri"/>
          <w:color w:val="1A1A1A"/>
          <w:sz w:val="24"/>
          <w:szCs w:val="24"/>
        </w:rPr>
        <w:t xml:space="preserve">The website can be completed in approximately nine weeks from the date of approval, assuming the school provides all content assets within the first two weeks. The timeline below breaks the project into five phases. Each phase has a defined deliverable, an owner, and a sign-off checkpoint. The school management is involved at three checkpoints: design approval (end of Phase 2), content review (end of Phase 4), and final launch approval (end of Phase 5).</w:t>
      </w:r>
    </w:p>
    <w:p>
      <w:pPr>
        <w:keepNext/>
        <w:spacing w:after="80" w:before="200"/>
      </w:pPr>
      <w:r>
        <w:rPr>
          <w:rFonts w:ascii="Arial"/>
          <w:b/>
          <w:bCs/>
          <w:color w:val="5C0000"/>
          <w:sz w:val="22"/>
          <w:szCs w:val="22"/>
        </w:rPr>
        <w:t xml:space="preserve">Table 8.1 — Project Phases &amp; Timeline</w:t>
      </w:r>
    </w:p>
    <w:tbl>
      <w:tblPr>
        <w:tblW w:type="pct" w:w="100%"/>
        <w:tblBorders>
          <w:top w:val="single" w:color="800000" w:sz="4"/>
          <w:left w:val="none"/>
          <w:bottom w:val="single" w:color="800000" w:sz="4"/>
          <w:right w:val="none"/>
          <w:insideH w:val="single" w:color="D8C8B0" w:sz="1"/>
          <w:insideV w:val="none"/>
        </w:tblBorders>
        <w:tblLayout w:type="fixed"/>
      </w:tblPr>
      <w:tblGrid>
        <w:gridCol w:w="100"/>
        <w:gridCol w:w="100"/>
        <w:gridCol w:w="100"/>
        <w:gridCol w:w="100"/>
        <w:gridCol w:w="100"/>
      </w:tblGrid>
      <w:tr>
        <w:trPr>
          <w:cantSplit/>
          <w:tblHeader/>
        </w:trPr>
        <w:tc>
          <w:tcPr>
            <w:tcW w:type="pct" w:w="2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Phase</w:t>
            </w:r>
          </w:p>
        </w:tc>
        <w:tc>
          <w:tcPr>
            <w:tcW w:type="pct" w:w="12%"/>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Week</w:t>
            </w:r>
          </w:p>
        </w:tc>
        <w:tc>
          <w:tcPr>
            <w:tcW w:type="pct" w:w="3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Activities</w:t>
            </w:r>
          </w:p>
        </w:tc>
        <w:tc>
          <w:tcPr>
            <w:tcW w:type="pct" w:w="16%"/>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Owner</w:t>
            </w:r>
          </w:p>
        </w:tc>
        <w:tc>
          <w:tcPr>
            <w:tcW w:type="pct" w:w="14%"/>
            <w:shd w:fill="800000" w:val="clear"/>
            <w:tcMar>
              <w:top w:type="dxa" w:w="80"/>
              <w:left w:type="dxa" w:w="120"/>
              <w:bottom w:type="dxa" w:w="80"/>
              <w:right w:type="dxa" w:w="120"/>
            </w:tcMar>
          </w:tcPr>
          <w:p>
            <w:pPr>
              <w:spacing w:line="280"/>
              <w:jc w:val="left"/>
            </w:pPr>
            <w:r>
              <w:rPr>
                <w:rFonts w:ascii="Calibri"/>
                <w:b/>
                <w:bCs/>
                <w:color w:val="FFFFFF"/>
                <w:sz w:val="21"/>
                <w:szCs w:val="21"/>
              </w:rPr>
              <w:t xml:space="preserve">Deliverable</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1. Content Collection</w:t>
            </w:r>
          </w:p>
        </w:tc>
        <w:tc>
          <w:tcPr>
            <w:tcW w:type="pct" w:w="12%"/>
            <w:tcMar>
              <w:top w:type="dxa" w:w="80"/>
              <w:left w:type="dxa" w:w="120"/>
              <w:bottom w:type="dxa" w:w="80"/>
              <w:right w:type="dxa" w:w="120"/>
            </w:tcMar>
          </w:tcPr>
          <w:p>
            <w:pPr>
              <w:spacing w:line="280"/>
              <w:jc w:val="left"/>
            </w:pPr>
            <w:r>
              <w:rPr>
                <w:rFonts w:ascii="Calibri"/>
                <w:b w:val="false"/>
                <w:bCs w:val="false"/>
                <w:color w:val="1A1A1A"/>
                <w:sz w:val="21"/>
                <w:szCs w:val="21"/>
              </w:rPr>
              <w:t xml:space="preserve">Week 1–2</w:t>
            </w:r>
          </w:p>
        </w:tc>
        <w:tc>
          <w:tcPr>
            <w:tcW w:type="pct" w:w="36%"/>
            <w:tcMar>
              <w:top w:type="dxa" w:w="80"/>
              <w:left w:type="dxa" w:w="120"/>
              <w:bottom w:type="dxa" w:w="80"/>
              <w:right w:type="dxa" w:w="120"/>
            </w:tcMar>
          </w:tcPr>
          <w:p>
            <w:pPr>
              <w:spacing w:line="280"/>
              <w:jc w:val="left"/>
            </w:pPr>
            <w:r>
              <w:rPr>
                <w:rFonts w:ascii="Calibri"/>
                <w:b w:val="false"/>
                <w:bCs w:val="false"/>
                <w:color w:val="1A1A1A"/>
                <w:sz w:val="21"/>
                <w:szCs w:val="21"/>
              </w:rPr>
              <w:t xml:space="preserve">Gather all assets per Section 7 checklist</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School coordinator</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Approved content folder</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2. Design Mockups</w:t>
            </w:r>
          </w:p>
        </w:tc>
        <w:tc>
          <w:tcPr>
            <w:tcW w:type="pct" w:w="1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Week 3–4</w:t>
            </w:r>
          </w:p>
        </w:tc>
        <w:tc>
          <w:tcPr>
            <w:tcW w:type="pct" w:w="3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Wireframes + visual design for Home, About, Academics, Admissions, News, Contact</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Developer</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Approved design mockups</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3. Development</w:t>
            </w:r>
          </w:p>
        </w:tc>
        <w:tc>
          <w:tcPr>
            <w:tcW w:type="pct" w:w="12%"/>
            <w:tcMar>
              <w:top w:type="dxa" w:w="80"/>
              <w:left w:type="dxa" w:w="120"/>
              <w:bottom w:type="dxa" w:w="80"/>
              <w:right w:type="dxa" w:w="120"/>
            </w:tcMar>
          </w:tcPr>
          <w:p>
            <w:pPr>
              <w:spacing w:line="280"/>
              <w:jc w:val="left"/>
            </w:pPr>
            <w:r>
              <w:rPr>
                <w:rFonts w:ascii="Calibri"/>
                <w:b w:val="false"/>
                <w:bCs w:val="false"/>
                <w:color w:val="1A1A1A"/>
                <w:sz w:val="21"/>
                <w:szCs w:val="21"/>
              </w:rPr>
              <w:t xml:space="preserve">Week 5–7</w:t>
            </w:r>
          </w:p>
        </w:tc>
        <w:tc>
          <w:tcPr>
            <w:tcW w:type="pct" w:w="36%"/>
            <w:tcMar>
              <w:top w:type="dxa" w:w="80"/>
              <w:left w:type="dxa" w:w="120"/>
              <w:bottom w:type="dxa" w:w="80"/>
              <w:right w:type="dxa" w:w="120"/>
            </w:tcMar>
          </w:tcPr>
          <w:p>
            <w:pPr>
              <w:spacing w:line="280"/>
              <w:jc w:val="left"/>
            </w:pPr>
            <w:r>
              <w:rPr>
                <w:rFonts w:ascii="Calibri"/>
                <w:b w:val="false"/>
                <w:bCs w:val="false"/>
                <w:color w:val="1A1A1A"/>
                <w:sz w:val="21"/>
                <w:szCs w:val="21"/>
              </w:rPr>
              <w:t xml:space="preserve">Build pages, forms, CMS setup, bilingual toggle, responsive layout</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Developer</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Staging site URL</w:t>
            </w:r>
          </w:p>
        </w:tc>
      </w:tr>
      <w:tr>
        <w:trPr>
          <w:cantSplit/>
        </w:trPr>
        <w:tc>
          <w:tcPr>
            <w:tcW w:type="pct" w:w="2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4. Testing &amp; Content Upload</w:t>
            </w:r>
          </w:p>
        </w:tc>
        <w:tc>
          <w:tcPr>
            <w:tcW w:type="pct" w:w="12%"/>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Week 8</w:t>
            </w:r>
          </w:p>
        </w:tc>
        <w:tc>
          <w:tcPr>
            <w:tcW w:type="pct" w:w="3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Cross-browser testing, accessibility audit, content upload, SEO setup</w:t>
            </w:r>
          </w:p>
        </w:tc>
        <w:tc>
          <w:tcPr>
            <w:tcW w:type="pct" w:w="16%"/>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Developer + School</w:t>
            </w:r>
          </w:p>
        </w:tc>
        <w:tc>
          <w:tcPr>
            <w:tcW w:type="pct" w:w="14%"/>
            <w:shd w:fill="F5F1E8" w:val="clear"/>
            <w:tcMar>
              <w:top w:type="dxa" w:w="80"/>
              <w:left w:type="dxa" w:w="120"/>
              <w:bottom w:type="dxa" w:w="80"/>
              <w:right w:type="dxa" w:w="120"/>
            </w:tcMar>
          </w:tcPr>
          <w:p>
            <w:pPr>
              <w:spacing w:line="280"/>
              <w:jc w:val="left"/>
            </w:pPr>
            <w:r>
              <w:rPr>
                <w:rFonts w:ascii="Calibri"/>
                <w:b w:val="false"/>
                <w:bCs w:val="false"/>
                <w:color w:val="1A1A1A"/>
                <w:sz w:val="21"/>
                <w:szCs w:val="21"/>
              </w:rPr>
              <w:t xml:space="preserve">Tested staging site</w:t>
            </w:r>
          </w:p>
        </w:tc>
      </w:tr>
      <w:tr>
        <w:trPr>
          <w:cantSplit/>
        </w:trPr>
        <w:tc>
          <w:tcPr>
            <w:tcW w:type="pct" w:w="22%"/>
            <w:tcMar>
              <w:top w:type="dxa" w:w="80"/>
              <w:left w:type="dxa" w:w="120"/>
              <w:bottom w:type="dxa" w:w="80"/>
              <w:right w:type="dxa" w:w="120"/>
            </w:tcMar>
          </w:tcPr>
          <w:p>
            <w:pPr>
              <w:spacing w:line="280"/>
              <w:jc w:val="left"/>
            </w:pPr>
            <w:r>
              <w:rPr>
                <w:rFonts w:ascii="Calibri"/>
                <w:b w:val="false"/>
                <w:bCs w:val="false"/>
                <w:color w:val="1A1A1A"/>
                <w:sz w:val="21"/>
                <w:szCs w:val="21"/>
              </w:rPr>
              <w:t xml:space="preserve">5. Launch &amp; Training</w:t>
            </w:r>
          </w:p>
        </w:tc>
        <w:tc>
          <w:tcPr>
            <w:tcW w:type="pct" w:w="12%"/>
            <w:tcMar>
              <w:top w:type="dxa" w:w="80"/>
              <w:left w:type="dxa" w:w="120"/>
              <w:bottom w:type="dxa" w:w="80"/>
              <w:right w:type="dxa" w:w="120"/>
            </w:tcMar>
          </w:tcPr>
          <w:p>
            <w:pPr>
              <w:spacing w:line="280"/>
              <w:jc w:val="left"/>
            </w:pPr>
            <w:r>
              <w:rPr>
                <w:rFonts w:ascii="Calibri"/>
                <w:b w:val="false"/>
                <w:bCs w:val="false"/>
                <w:color w:val="1A1A1A"/>
                <w:sz w:val="21"/>
                <w:szCs w:val="21"/>
              </w:rPr>
              <w:t xml:space="preserve">Week 9</w:t>
            </w:r>
          </w:p>
        </w:tc>
        <w:tc>
          <w:tcPr>
            <w:tcW w:type="pct" w:w="36%"/>
            <w:tcMar>
              <w:top w:type="dxa" w:w="80"/>
              <w:left w:type="dxa" w:w="120"/>
              <w:bottom w:type="dxa" w:w="80"/>
              <w:right w:type="dxa" w:w="120"/>
            </w:tcMar>
          </w:tcPr>
          <w:p>
            <w:pPr>
              <w:spacing w:line="280"/>
              <w:jc w:val="left"/>
            </w:pPr>
            <w:r>
              <w:rPr>
                <w:rFonts w:ascii="Calibri"/>
                <w:b w:val="false"/>
                <w:bCs w:val="false"/>
                <w:color w:val="1A1A1A"/>
                <w:sz w:val="21"/>
                <w:szCs w:val="21"/>
              </w:rPr>
              <w:t xml:space="preserve">Domain + hosting setup, go-live, staff training on CMS</w:t>
            </w:r>
          </w:p>
        </w:tc>
        <w:tc>
          <w:tcPr>
            <w:tcW w:type="pct" w:w="16%"/>
            <w:tcMar>
              <w:top w:type="dxa" w:w="80"/>
              <w:left w:type="dxa" w:w="120"/>
              <w:bottom w:type="dxa" w:w="80"/>
              <w:right w:type="dxa" w:w="120"/>
            </w:tcMar>
          </w:tcPr>
          <w:p>
            <w:pPr>
              <w:spacing w:line="280"/>
              <w:jc w:val="left"/>
            </w:pPr>
            <w:r>
              <w:rPr>
                <w:rFonts w:ascii="Calibri"/>
                <w:b w:val="false"/>
                <w:bCs w:val="false"/>
                <w:color w:val="1A1A1A"/>
                <w:sz w:val="21"/>
                <w:szCs w:val="21"/>
              </w:rPr>
              <w:t xml:space="preserve">Developer + School</w:t>
            </w:r>
          </w:p>
        </w:tc>
        <w:tc>
          <w:tcPr>
            <w:tcW w:type="pct" w:w="14%"/>
            <w:tcMar>
              <w:top w:type="dxa" w:w="80"/>
              <w:left w:type="dxa" w:w="120"/>
              <w:bottom w:type="dxa" w:w="80"/>
              <w:right w:type="dxa" w:w="120"/>
            </w:tcMar>
          </w:tcPr>
          <w:p>
            <w:pPr>
              <w:spacing w:line="280"/>
              <w:jc w:val="left"/>
            </w:pPr>
            <w:r>
              <w:rPr>
                <w:rFonts w:ascii="Calibri"/>
                <w:b w:val="false"/>
                <w:bCs w:val="false"/>
                <w:color w:val="1A1A1A"/>
                <w:sz w:val="21"/>
                <w:szCs w:val="21"/>
              </w:rPr>
              <w:t xml:space="preserve">Live website + training notes</w:t>
            </w:r>
          </w:p>
        </w:tc>
      </w:tr>
    </w:tbl>
    <w:p>
      <w:pPr>
        <w:pStyle w:val="Heading2"/>
        <w:spacing w:after="140" w:before="280" w:line="312"/>
      </w:pPr>
      <w:bookmarkStart w:id="100023" w:name="_Toc100023"/>
      <w:r>
        <w:rPr>
          <w:rFonts w:ascii="Arial" w:eastAsia="SimHei"/>
          <w:b/>
          <w:bCs/>
          <w:color w:val="5C0000"/>
          <w:sz w:val="28"/>
          <w:szCs w:val="28"/>
        </w:rPr>
        <w:t xml:space="preserve">8.1 Responsibility Matrix</w:t>
      </w:r>
      <w:bookmarkEnd w:id="100023"/>
    </w:p>
    <w:p>
      <w:pPr>
        <w:spacing w:after="120" w:line="312"/>
        <w:jc w:val="both"/>
      </w:pPr>
      <w:r>
        <w:rPr>
          <w:rFonts w:ascii="Calibri"/>
          <w:color w:val="1A1A1A"/>
          <w:sz w:val="24"/>
          <w:szCs w:val="24"/>
        </w:rPr>
        <w:t xml:space="preserve">A clear division of responsibilities prevents the most common project friction. The school is responsible for providing content, approving designs, supplying factual information (fees, faculty, history), and assigning a single point of contact. The developer is responsible for design execution, technical implementation, testing, deployment, and training. Joint responsibilities include content review, accessibility verification, and the final pre-launch walkthrough.</w:t>
      </w:r>
    </w:p>
    <w:p>
      <w:pPr>
        <w:pStyle w:val="Heading2"/>
        <w:spacing w:after="140" w:before="280" w:line="312"/>
      </w:pPr>
      <w:bookmarkStart w:id="100024" w:name="_Toc100024"/>
      <w:r>
        <w:rPr>
          <w:rFonts w:ascii="Arial" w:eastAsia="SimHei"/>
          <w:b/>
          <w:bCs/>
          <w:color w:val="5C0000"/>
          <w:sz w:val="28"/>
          <w:szCs w:val="28"/>
        </w:rPr>
        <w:t xml:space="preserve">8.2 Immediate Next Steps</w:t>
      </w:r>
      <w:bookmarkEnd w:id="100024"/>
    </w:p>
    <w:p>
      <w:pPr>
        <w:spacing w:after="120" w:line="312"/>
        <w:jc w:val="both"/>
      </w:pPr>
      <w:r>
        <w:rPr>
          <w:rFonts w:ascii="Calibri"/>
          <w:color w:val="1A1A1A"/>
          <w:sz w:val="24"/>
          <w:szCs w:val="24"/>
        </w:rPr>
        <w:t xml:space="preserve">To move this project forward, the school management is requested to take three actions in the coming week. First, formally approve this specification document so development can be scoped accurately. Second, appoint a single internal coordinator who will own the content-gathering process and serve as the primary contact for the development team. Third, initiate the content collection per the checklist in Section 7 — most schools underestimate how long this takes, and starting early is the single biggest predictor of an on-time launch. Once these three actions are complete, the development team can begin Phase 2 (design mockups) within one week.</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5B5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5B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jc w:val="right"/>
    </w:pPr>
    <w:r>
      <w:rPr>
        <w:rFonts w:ascii="Calibri"/>
        <w:i/>
        <w:iCs/>
        <w:color w:val="6B5B5B"/>
        <w:sz w:val="18"/>
        <w:szCs w:val="18"/>
      </w:rPr>
      <w:t xml:space="preserve">Virat Public School  ·  Website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Arial" w:eastAsia="SimHei"/>
      <w:b/>
      <w:bCs/>
      <w:color w:val="5C0000"/>
      <w:sz w:val="32"/>
      <w:szCs w:val="32"/>
    </w:rPr>
  </w:style>
  <w:style w:type="paragraph" w:styleId="Heading2">
    <w:name w:val="Heading 2"/>
    <w:basedOn w:val="Normal"/>
    <w:next w:val="Normal"/>
    <w:qFormat/>
    <w:pPr>
      <w:spacing w:after="140" w:before="280" w:line="312"/>
      <w:outlineLvl w:val="1"/>
    </w:pPr>
    <w:rPr>
      <w:rFonts w:ascii="Arial" w:eastAsia="SimHei"/>
      <w:b/>
      <w:bCs/>
      <w:color w:val="5C0000"/>
      <w:sz w:val="28"/>
      <w:szCs w:val="28"/>
    </w:rPr>
  </w:style>
  <w:style w:type="paragraph" w:styleId="Heading3">
    <w:name w:val="Heading 3"/>
    <w:basedOn w:val="Normal"/>
    <w:next w:val="Normal"/>
    <w:qFormat/>
    <w:pPr>
      <w:spacing w:after="100" w:before="200" w:line="312"/>
      <w:outlineLvl w:val="2"/>
    </w:pPr>
    <w:rPr>
      <w:rFonts w:ascii="Arial" w:eastAsia="SimHei"/>
      <w:b/>
      <w:bCs/>
      <w:color w:val="8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Virat Public School — Website Structure &amp; Design Specification</dc:title>
  <dc:creator>Virat Public School</dc:creator>
  <dc:description>Comprehensive website specification document for Virat Public School, Viratnagar, Kotputli-Behror, Rajasthan.</dc:description>
  <cp:lastModifiedBy>Un-named</cp:lastModifiedBy>
  <cp:revision>1</cp:revision>
  <dcterms:created xsi:type="dcterms:W3CDTF">2026-07-15T01:32:06.523Z</dcterms:created>
  <dcterms:modified xsi:type="dcterms:W3CDTF">2026-07-15T01:32:06.524Z</dcterms:modified>
</cp:coreProperties>
</file>

<file path=docProps/custom.xml><?xml version="1.0" encoding="utf-8"?>
<Properties xmlns="http://schemas.openxmlformats.org/officeDocument/2006/custom-properties" xmlns:vt="http://schemas.openxmlformats.org/officeDocument/2006/docPropsVTypes"/>
</file>