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design — CarePath 1.0</w:t>
      </w:r>
    </w:p>
    <w:p>
      <w:pPr>
        <w:jc w:val="left"/>
      </w:pPr>
      <w:r>
        <w:rPr>
          <w:i/>
          <w:sz w:val="18"/>
        </w:rPr>
        <w:t>Document: DES-CAREPATH-003 · Version: 1.2 · Status: Approved · Owner: Security Architect · Reviewed: Security Review Board, 2026-03-11</w:t>
      </w:r>
    </w:p>
    <w:p>
      <w:pPr>
        <w:pStyle w:val="Heading2"/>
      </w:pPr>
      <w:r>
        <w:t>1. Trust boundaries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Boundary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Crossing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Control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Internet → ingress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Partner systems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TLS 1.2+, IP allow-list, bearer token (REG-04)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Clinical network → service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Staff clients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TLS, bearer token, role check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Service → database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Every query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Parameterised statements, least-privilege grants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Service → logs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Every emitted line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Redaction at the formatter (NFR-04)</w:t>
            </w:r>
          </w:p>
        </w:tc>
      </w:tr>
    </w:tbl>
    <w:p/>
    <w:p>
      <w:r>
        <w:rPr>
          <w:b w:val="0"/>
          <w:i w:val="0"/>
        </w:rPr>
        <w:t>Patient data never crosses out of the network boundary except through the FHIR export, which is the one path deliberately designed for it (C-02).</w:t>
      </w:r>
    </w:p>
    <w:p>
      <w:pPr>
        <w:pStyle w:val="Heading2"/>
      </w:pPr>
      <w:r>
        <w:t>2. Threat model (STRIDE)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Threat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Spoofing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 stolen token is replayed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Tokens stored as SHA-256 digests; compared with hmac.compare_digest; every candidate compared so timing does not reveal position. Rotation on a 90-day cycle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NFR-05, REG-02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Spoofing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Credential stuffing against the token endpoint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Rate limiting per source. Stated here and in NFR-12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NFR-12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Tampering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An attacker edits the audit trail to hide an access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 application code path updates or deletes audit_event; the database grant excludes both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NFR-09, REG-01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Tampering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SQL injection through a search term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Every statement parameterised. No string interpolation into SQL anywhere in the codebase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Repudiation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 clinician denies opening a record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Audit event in the same transaction as the read, naming the unique subject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NFR-03, REG-01, REG-02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Information disclosure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 caller probes for the existence of a patient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 record that does not exist and a record the caller may not read are indistinguishable — both "not found"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REG-03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Information disclosure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Patient data reaches the log aggregator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Redaction filter on the formatter; log sampling review each sprint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NFR-04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Information disclosure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 partner receives more than the purpose requires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Role grants; export limited to the partner role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REG-03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Information disclosure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 partner receives a record for a patient who withdrew consent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Consent consulted before disclosure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BR-05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Denial of service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One request reads the whole patient table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Server-side clamp on every collection endpoint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NFR-06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Denial of service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 slow query holds a transaction open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2s transaction ceiling; slow-query log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NFR-11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Elevation of privilege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 role gains a permission it was never granted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One grant table; an unlisted role holds nothing. Checked as a declared dependency before the handler runs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NFR-05, REG-03</w:t>
            </w:r>
          </w:p>
        </w:tc>
      </w:tr>
    </w:tbl>
    <w:p/>
    <w:p>
      <w:pPr>
        <w:pStyle w:val="Heading2"/>
      </w:pPr>
      <w:r>
        <w:t>3. Authentication</w:t>
      </w:r>
    </w:p>
    <w:p>
      <w:r>
        <w:rPr>
          <w:b w:val="0"/>
          <w:i w:val="0"/>
        </w:rPr>
        <w:t xml:space="preserve">Bearer tokens on the </w:t>
      </w:r>
      <w:r>
        <w:rPr>
          <w:rFonts w:ascii="Consolas" w:hAnsi="Consolas"/>
          <w:b w:val="0"/>
          <w:i w:val="0"/>
        </w:rPr>
        <w:t>Authorization</w:t>
      </w:r>
      <w:r>
        <w:rPr>
          <w:b w:val="0"/>
          <w:i w:val="0"/>
        </w:rPr>
        <w:t xml:space="preserve"> header. The stored form is a SHA-256 digest, so the directory is not itself a set of usable credentials.</w:t>
      </w:r>
    </w:p>
    <w:p>
      <w:r>
        <w:rPr>
          <w:rFonts w:ascii="Consolas" w:hAnsi="Consolas"/>
          <w:b w:val="0"/>
          <w:i w:val="0"/>
        </w:rPr>
        <w:t>principal_for</w:t>
      </w:r>
      <w:r>
        <w:rPr>
          <w:b w:val="0"/>
          <w:i w:val="0"/>
        </w:rPr>
        <w:t xml:space="preserve"> compares </w:t>
      </w:r>
      <w:r>
        <w:rPr>
          <w:b/>
          <w:i w:val="0"/>
        </w:rPr>
        <w:t>every</w:t>
      </w:r>
      <w:r>
        <w:rPr>
          <w:b w:val="0"/>
          <w:i w:val="0"/>
        </w:rPr>
        <w:t xml:space="preserve"> stored digest even after a match. An early return would make the time taken depend on where in the directory a token sits, which over enough attempts is a distinguishable signal.</w:t>
      </w:r>
    </w:p>
    <w:p>
      <w:r>
        <w:rPr>
          <w:b w:val="0"/>
          <w:i w:val="0"/>
        </w:rPr>
        <w:t xml:space="preserve">Release 1.0 uses a static directory because the network's identity programme lands after the pilot (ADR-0002). The demonstration tokens are published in this repository </w:t>
      </w:r>
      <w:r>
        <w:rPr>
          <w:b/>
          <w:i w:val="0"/>
        </w:rPr>
        <w:t>because they protect nothing</w:t>
      </w:r>
      <w:r>
        <w:rPr>
          <w:b w:val="0"/>
          <w:i w:val="0"/>
        </w:rPr>
        <w:t xml:space="preserve"> — there is no real data behind them. A deployment replaces the directory; it does not add to it.</w:t>
      </w:r>
    </w:p>
    <w:p>
      <w:pPr>
        <w:pStyle w:val="Heading2"/>
      </w:pPr>
      <w:r>
        <w:t>4. Authorisation</w:t>
      </w:r>
    </w:p>
    <w:p>
      <w:r>
        <w:rPr>
          <w:b w:val="0"/>
          <w:i w:val="0"/>
        </w:rPr>
        <w:t xml:space="preserve">One table, </w:t>
      </w:r>
      <w:r>
        <w:rPr>
          <w:rFonts w:ascii="Consolas" w:hAnsi="Consolas"/>
          <w:b w:val="0"/>
          <w:i w:val="0"/>
        </w:rPr>
        <w:t>GRANTS</w:t>
      </w:r>
      <w:r>
        <w:rPr>
          <w:b w:val="0"/>
          <w:i w:val="0"/>
        </w:rPr>
        <w:t>, mapping role to permissions. Two properties matter:</w:t>
      </w:r>
    </w:p>
    <w:p>
      <w:pPr>
        <w:pStyle w:val="ListBullet"/>
      </w:pPr>
      <w:r>
        <w:rPr>
          <w:b/>
          <w:i w:val="0"/>
        </w:rPr>
        <w:t>Closed by default.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GRANTS.get(role, frozenset())</w:t>
      </w:r>
      <w:r>
        <w:rPr>
          <w:b w:val="0"/>
          <w:i w:val="0"/>
        </w:rPr>
        <w:t xml:space="preserve"> — an unknown role holds no permissions. Adding a role to the token issuer without deciding its grants therefore grants nothing rather than everything.</w:t>
      </w:r>
    </w:p>
    <w:p>
      <w:pPr>
        <w:pStyle w:val="ListBullet"/>
      </w:pPr>
      <w:r>
        <w:rPr>
          <w:b/>
          <w:i w:val="0"/>
        </w:rPr>
        <w:t>Declared, not called.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require(Permission.X)</w:t>
      </w:r>
      <w:r>
        <w:rPr>
          <w:b w:val="0"/>
          <w:i w:val="0"/>
        </w:rPr>
        <w:t xml:space="preserve"> builds a dependency that appears in the route signature. The check cannot be forgotten in a handler body, and a reviewer sees the requirement without reading the implementation.</w:t>
      </w:r>
    </w:p>
    <w:p>
      <w:r>
        <w:rPr>
          <w:b w:val="0"/>
          <w:i w:val="0"/>
        </w:rPr>
        <w:t>Role separation is deliberate and tested: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May not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clinician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Read and write the clinical record, read risk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Read the audit trail, export, record consent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coordinator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Read the record, move referrals, record consent, read risk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Register patients, export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auditor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Read the audit trail, confirm a patient exists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Read risk, write anything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partner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Export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Everything else</w:t>
            </w:r>
          </w:p>
        </w:tc>
      </w:tr>
    </w:tbl>
    <w:p/>
    <w:p>
      <w:r>
        <w:rPr>
          <w:b w:val="0"/>
          <w:i w:val="0"/>
        </w:rPr>
        <w:t>An auditor deliberately cannot read risk scores. The score is an operational judgement about a patient, and reviewing access is not a reason to form one.</w:t>
      </w:r>
    </w:p>
    <w:p>
      <w:pPr>
        <w:pStyle w:val="Heading2"/>
      </w:pPr>
      <w:r>
        <w:t>5. Secrets</w:t>
      </w:r>
    </w:p>
    <w:p>
      <w:r>
        <w:rPr>
          <w:b w:val="0"/>
          <w:i w:val="0"/>
        </w:rPr>
        <w:t xml:space="preserve">Mounted as files with owner-only permissions (NFR-07). Never environment variables — the environment of a process is readable by anything that can read </w:t>
      </w:r>
      <w:r>
        <w:rPr>
          <w:rFonts w:ascii="Consolas" w:hAnsi="Consolas"/>
          <w:b w:val="0"/>
          <w:i w:val="0"/>
        </w:rPr>
        <w:t>/proc</w:t>
      </w:r>
      <w:r>
        <w:rPr>
          <w:b w:val="0"/>
          <w:i w:val="0"/>
        </w:rPr>
        <w:t>, and it lands in crash dumps and in the output of well-meaning diagnostic tooling.</w:t>
      </w:r>
    </w:p>
    <w:p>
      <w:pPr>
        <w:pStyle w:val="Heading2"/>
      </w:pPr>
      <w:r>
        <w:t>6. Residual risks accepted for 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Why accepted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Compensating control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Review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A database administrator can read patient rows directly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Column-level encryption is a release 2.0 change (G-02)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Administrative sessions logged and reviewed monthly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Release 2.0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Static tokens have no expiry beyond rotation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Identity programme lands after the pilot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90-day rotation; revocation by removing the digest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Release 2.0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No automated FHIR validator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Pipeline work not funded for 1.0 (G-04)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Structure reviewed by two engineers at release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Release 1.1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design — CarePath 1.0</dc:title>
  <dc:subject/>
  <dc:creator>Security Architect</dc:creator>
  <cp:keywords/>
  <dc:description>Demonstration artifact. Synthetic content only - not a clinical record.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