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Postmortem — INC-2026-0814, patient search exhausted the connection</w:t>
      </w:r>
    </w:p>
    <w:p>
      <w:pPr>
        <w:jc w:val="left"/>
      </w:pPr>
      <w:r>
        <w:rPr>
          <w:i/>
          <w:sz w:val="18"/>
        </w:rPr>
        <w:t>Document: OPS-CAREPATH-003 · Incident: INC-2026-0814 · Severity: Sev-2 · Date: 2026-08-14, 14:02–14:47 UTC (45 minutes) · Author: On-call platform engineer · Status: Actions open · Review: Blameless, held 2026-08-19</w:t>
      </w:r>
    </w:p>
    <w:p>
      <w:pPr>
        <w:pStyle w:val="Heading2"/>
      </w:pPr>
      <w:r>
        <w:t>Impact</w:t>
      </w:r>
    </w:p>
    <w:p>
      <w:r>
        <w:rPr>
          <w:b w:val="0"/>
          <w:i w:val="0"/>
        </w:rPr>
        <w:t>For 45 minutes, CarePath served 5xx to roughly 60% of requests. Two clinics could not open patient records and reverted to telephoning the ward. No data was lost and no record was disclosed improperly. The audit trail is complete for the period — every request that succeeded wrote its audit event, and the requests that failed wrote nothing, which is the behaviour NFR-03 intends.</w:t>
      </w:r>
    </w:p>
    <w:p>
      <w:r>
        <w:rPr>
          <w:b w:val="0"/>
          <w:i w:val="0"/>
        </w:rPr>
        <w:t>Availability for August fell to 99.83%, below the 99.9% objective. The error budget for the month was fully consumed.</w:t>
      </w:r>
    </w:p>
    <w:p>
      <w:pPr>
        <w:pStyle w:val="Heading2"/>
      </w:pPr>
      <w:r>
        <w:t>Timeline (UTC)</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Time</w:t>
            </w:r>
          </w:p>
        </w:tc>
        <w:tc>
          <w:tcPr>
            <w:tcW w:type="dxa" w:w="4320"/>
          </w:tcPr>
          <w:p>
            <w:r>
              <w:rPr>
                <w:b/>
                <w:sz w:val="18"/>
              </w:rPr>
              <w:t>Event</w:t>
            </w:r>
          </w:p>
        </w:tc>
      </w:tr>
      <w:tr>
        <w:tc>
          <w:tcPr>
            <w:tcW w:type="dxa" w:w="4320"/>
          </w:tcPr>
          <w:p>
            <w:r>
              <w:rPr>
                <w:b w:val="0"/>
                <w:sz w:val="18"/>
              </w:rPr>
              <w:t>14:02</w:t>
            </w:r>
          </w:p>
        </w:tc>
        <w:tc>
          <w:tcPr>
            <w:tcW w:type="dxa" w:w="4320"/>
          </w:tcPr>
          <w:p>
            <w:r>
              <w:rPr>
                <w:b w:val="0"/>
                <w:sz w:val="18"/>
              </w:rPr>
              <w:t>A coordinator searches for family name A to browse the cohort alphabetically</w:t>
            </w:r>
          </w:p>
        </w:tc>
      </w:tr>
      <w:tr>
        <w:tc>
          <w:tcPr>
            <w:tcW w:type="dxa" w:w="4320"/>
          </w:tcPr>
          <w:p>
            <w:r>
              <w:rPr>
                <w:b w:val="0"/>
                <w:sz w:val="18"/>
              </w:rPr>
              <w:t>14:02</w:t>
            </w:r>
          </w:p>
        </w:tc>
        <w:tc>
          <w:tcPr>
            <w:tcW w:type="dxa" w:w="4320"/>
          </w:tcPr>
          <w:p>
            <w:r>
              <w:rPr>
                <w:b w:val="0"/>
                <w:sz w:val="18"/>
              </w:rPr>
              <w:t>GET /patients?family_name=A&amp;limit=100000 is served. The request reads and serialises the full patient table</w:t>
            </w:r>
          </w:p>
        </w:tc>
      </w:tr>
      <w:tr>
        <w:tc>
          <w:tcPr>
            <w:tcW w:type="dxa" w:w="4320"/>
          </w:tcPr>
          <w:p>
            <w:r>
              <w:rPr>
                <w:b w:val="0"/>
                <w:sz w:val="18"/>
              </w:rPr>
              <w:t>14:03</w:t>
            </w:r>
          </w:p>
        </w:tc>
        <w:tc>
          <w:tcPr>
            <w:tcW w:type="dxa" w:w="4320"/>
          </w:tcPr>
          <w:p>
            <w:r>
              <w:rPr>
                <w:b w:val="0"/>
                <w:sz w:val="18"/>
              </w:rPr>
              <w:t>p95 latency alert fires (Sev-3)</w:t>
            </w:r>
          </w:p>
        </w:tc>
      </w:tr>
      <w:tr>
        <w:tc>
          <w:tcPr>
            <w:tcW w:type="dxa" w:w="4320"/>
          </w:tcPr>
          <w:p>
            <w:r>
              <w:rPr>
                <w:b w:val="0"/>
                <w:sz w:val="18"/>
              </w:rPr>
              <w:t>14:06</w:t>
            </w:r>
          </w:p>
        </w:tc>
        <w:tc>
          <w:tcPr>
            <w:tcW w:type="dxa" w:w="4320"/>
          </w:tcPr>
          <w:p>
            <w:r>
              <w:rPr>
                <w:b w:val="0"/>
                <w:sz w:val="18"/>
              </w:rPr>
              <w:t>The search is repeated twice more after the browser appears to hang</w:t>
            </w:r>
          </w:p>
        </w:tc>
      </w:tr>
      <w:tr>
        <w:tc>
          <w:tcPr>
            <w:tcW w:type="dxa" w:w="4320"/>
          </w:tcPr>
          <w:p>
            <w:r>
              <w:rPr>
                <w:b w:val="0"/>
                <w:sz w:val="18"/>
              </w:rPr>
              <w:t>14:09</w:t>
            </w:r>
          </w:p>
        </w:tc>
        <w:tc>
          <w:tcPr>
            <w:tcW w:type="dxa" w:w="4320"/>
          </w:tcPr>
          <w:p>
            <w:r>
              <w:rPr>
                <w:b w:val="0"/>
                <w:sz w:val="18"/>
              </w:rPr>
              <w:t>Error rate passes 1%; Sev-2 page</w:t>
            </w:r>
          </w:p>
        </w:tc>
      </w:tr>
      <w:tr>
        <w:tc>
          <w:tcPr>
            <w:tcW w:type="dxa" w:w="4320"/>
          </w:tcPr>
          <w:p>
            <w:r>
              <w:rPr>
                <w:b w:val="0"/>
                <w:sz w:val="18"/>
              </w:rPr>
              <w:t>14:11</w:t>
            </w:r>
          </w:p>
        </w:tc>
        <w:tc>
          <w:tcPr>
            <w:tcW w:type="dxa" w:w="4320"/>
          </w:tcPr>
          <w:p>
            <w:r>
              <w:rPr>
                <w:b w:val="0"/>
                <w:sz w:val="18"/>
              </w:rPr>
              <w:t>On-call acknowledges</w:t>
            </w:r>
          </w:p>
        </w:tc>
      </w:tr>
      <w:tr>
        <w:tc>
          <w:tcPr>
            <w:tcW w:type="dxa" w:w="4320"/>
          </w:tcPr>
          <w:p>
            <w:r>
              <w:rPr>
                <w:b w:val="0"/>
                <w:sz w:val="18"/>
              </w:rPr>
              <w:t>14:19</w:t>
            </w:r>
          </w:p>
        </w:tc>
        <w:tc>
          <w:tcPr>
            <w:tcW w:type="dxa" w:w="4320"/>
          </w:tcPr>
          <w:p>
            <w:r>
              <w:rPr>
                <w:b w:val="0"/>
                <w:sz w:val="18"/>
              </w:rPr>
              <w:t>Ingress logs show three long-running GET /patients requests. Cause identified</w:t>
            </w:r>
          </w:p>
        </w:tc>
      </w:tr>
      <w:tr>
        <w:tc>
          <w:tcPr>
            <w:tcW w:type="dxa" w:w="4320"/>
          </w:tcPr>
          <w:p>
            <w:r>
              <w:rPr>
                <w:b w:val="0"/>
                <w:sz w:val="18"/>
              </w:rPr>
              <w:t>14:23</w:t>
            </w:r>
          </w:p>
        </w:tc>
        <w:tc>
          <w:tcPr>
            <w:tcW w:type="dxa" w:w="4320"/>
          </w:tcPr>
          <w:p>
            <w:r>
              <w:rPr>
                <w:b w:val="0"/>
                <w:sz w:val="18"/>
              </w:rPr>
              <w:t>The coordinator is asked by telephone to stop retrying</w:t>
            </w:r>
          </w:p>
        </w:tc>
      </w:tr>
      <w:tr>
        <w:tc>
          <w:tcPr>
            <w:tcW w:type="dxa" w:w="4320"/>
          </w:tcPr>
          <w:p>
            <w:r>
              <w:rPr>
                <w:b w:val="0"/>
                <w:sz w:val="18"/>
              </w:rPr>
              <w:t>14:31</w:t>
            </w:r>
          </w:p>
        </w:tc>
        <w:tc>
          <w:tcPr>
            <w:tcW w:type="dxa" w:w="4320"/>
          </w:tcPr>
          <w:p>
            <w:r>
              <w:rPr>
                <w:b w:val="0"/>
                <w:sz w:val="18"/>
              </w:rPr>
              <w:t>carepath-api-blue restarted to clear the held transactions</w:t>
            </w:r>
          </w:p>
        </w:tc>
      </w:tr>
      <w:tr>
        <w:tc>
          <w:tcPr>
            <w:tcW w:type="dxa" w:w="4320"/>
          </w:tcPr>
          <w:p>
            <w:r>
              <w:rPr>
                <w:b w:val="0"/>
                <w:sz w:val="18"/>
              </w:rPr>
              <w:t>14:39</w:t>
            </w:r>
          </w:p>
        </w:tc>
        <w:tc>
          <w:tcPr>
            <w:tcW w:type="dxa" w:w="4320"/>
          </w:tcPr>
          <w:p>
            <w:r>
              <w:rPr>
                <w:b w:val="0"/>
                <w:sz w:val="18"/>
              </w:rPr>
              <w:t>Error rate normal</w:t>
            </w:r>
          </w:p>
        </w:tc>
      </w:tr>
      <w:tr>
        <w:tc>
          <w:tcPr>
            <w:tcW w:type="dxa" w:w="4320"/>
          </w:tcPr>
          <w:p>
            <w:r>
              <w:rPr>
                <w:b w:val="0"/>
                <w:sz w:val="18"/>
              </w:rPr>
              <w:t>14:47</w:t>
            </w:r>
          </w:p>
        </w:tc>
        <w:tc>
          <w:tcPr>
            <w:tcW w:type="dxa" w:w="4320"/>
          </w:tcPr>
          <w:p>
            <w:r>
              <w:rPr>
                <w:b w:val="0"/>
                <w:sz w:val="18"/>
              </w:rPr>
              <w:t>Declared resolved after a clean watch window</w:t>
            </w:r>
          </w:p>
        </w:tc>
      </w:tr>
    </w:tbl>
    <w:p/>
    <w:p>
      <w:pPr>
        <w:pStyle w:val="Heading2"/>
      </w:pPr>
      <w:r>
        <w:t>What happened</w:t>
      </w:r>
    </w:p>
    <w:p>
      <w:r>
        <w:rPr>
          <w:rFonts w:ascii="Consolas" w:hAnsi="Consolas"/>
          <w:b w:val="0"/>
          <w:i w:val="0"/>
        </w:rPr>
        <w:t>GET /patients</w:t>
      </w:r>
      <w:r>
        <w:rPr>
          <w:b w:val="0"/>
          <w:i w:val="0"/>
        </w:rPr>
        <w:t xml:space="preserve"> accepts a </w:t>
      </w:r>
      <w:r>
        <w:rPr>
          <w:rFonts w:ascii="Consolas" w:hAnsi="Consolas"/>
          <w:b w:val="0"/>
          <w:i w:val="0"/>
        </w:rPr>
        <w:t>limit</w:t>
      </w:r>
      <w:r>
        <w:rPr>
          <w:b w:val="0"/>
          <w:i w:val="0"/>
        </w:rPr>
        <w:t xml:space="preserve"> query parameter and passes it to the database unchanged. The three sibling listing endpoints — encounters, referrals and consent — declare </w:t>
      </w:r>
      <w:r>
        <w:rPr>
          <w:rFonts w:ascii="Consolas" w:hAnsi="Consolas"/>
          <w:b w:val="0"/>
          <w:i w:val="0"/>
        </w:rPr>
        <w:t>le=settings.max_page_size</w:t>
      </w:r>
      <w:r>
        <w:rPr>
          <w:b w:val="0"/>
          <w:i w:val="0"/>
        </w:rPr>
        <w:t>, so a limit above the maximum page size is refused with a 422. Patient search does not.</w:t>
      </w:r>
    </w:p>
    <w:p>
      <w:r>
        <w:rPr>
          <w:b w:val="0"/>
          <w:i w:val="0"/>
        </w:rPr>
        <w:t>A single-letter prefix matched every patient. With a limit of 100,000 the service read the whole table, held a transaction open well past the 2s ceiling in NFR-11, and — on SQLite's single writer (ADR-0001) — blocked every write behind it.</w:t>
      </w:r>
    </w:p>
    <w:p>
      <w:pPr>
        <w:pStyle w:val="Heading2"/>
      </w:pPr>
      <w:r>
        <w:t>Why it was not caught</w:t>
      </w:r>
    </w:p>
    <w:p>
      <w:r>
        <w:rPr>
          <w:b/>
          <w:i w:val="0"/>
        </w:rPr>
        <w:t>It was.</w:t>
      </w:r>
      <w:r>
        <w:rPr>
          <w:b w:val="0"/>
          <w:i w:val="0"/>
        </w:rPr>
        <w:t xml:space="preserve"> T-01 in the traceability matrix records exactly this, raised at the test review on 2026-05-28:</w:t>
      </w:r>
    </w:p>
    <w:p>
      <w:pPr>
        <w:pStyle w:val="IntenseQuote"/>
      </w:pPr>
      <w:r>
        <w:rPr>
          <w:rFonts w:ascii="Consolas" w:hAnsi="Consolas"/>
          <w:b w:val="0"/>
          <w:i w:val="0"/>
        </w:rPr>
        <w:t>GET /patients</w:t>
      </w:r>
      <w:r>
        <w:rPr>
          <w:b w:val="0"/>
          <w:i w:val="0"/>
        </w:rPr>
        <w:t xml:space="preserve"> declares </w:t>
      </w:r>
      <w:r>
        <w:rPr>
          <w:rFonts w:ascii="Consolas" w:hAnsi="Consolas"/>
          <w:b w:val="0"/>
          <w:i w:val="0"/>
        </w:rPr>
        <w:t>limit</w:t>
      </w:r>
      <w:r>
        <w:rPr>
          <w:b w:val="0"/>
          <w:i w:val="0"/>
        </w:rPr>
        <w:t xml:space="preserve"> with no </w:t>
      </w:r>
      <w:r>
        <w:rPr>
          <w:rFonts w:ascii="Consolas" w:hAnsi="Consolas"/>
          <w:b w:val="0"/>
          <w:i w:val="0"/>
        </w:rPr>
        <w:t>le</w:t>
      </w:r>
      <w:r>
        <w:rPr>
          <w:b w:val="0"/>
          <w:i w:val="0"/>
        </w:rPr>
        <w:t xml:space="preserve"> bound, unlike the encounter, referral and consent listings. There is no test asserting an upper bound on patient search.</w:t>
      </w:r>
    </w:p>
    <w:p>
      <w:r>
        <w:rPr>
          <w:b w:val="0"/>
          <w:i w:val="0"/>
        </w:rPr>
        <w:t>It was waived under W-01 at the release review on 2026-06-02, bundled with two unrelated findings under a single rationale: the pilot cohort is small and behind an allow-list.</w:t>
      </w:r>
    </w:p>
    <w:p>
      <w:r>
        <w:rPr>
          <w:b w:val="0"/>
          <w:i w:val="0"/>
        </w:rPr>
        <w:t xml:space="preserve">That rationale addressed </w:t>
      </w:r>
      <w:r>
        <w:rPr>
          <w:b w:val="0"/>
          <w:i/>
        </w:rPr>
        <w:t>exposure</w:t>
      </w:r>
      <w:r>
        <w:rPr>
          <w:b w:val="0"/>
          <w:i w:val="0"/>
        </w:rPr>
        <w:t xml:space="preserve"> — who could reach the endpoint. It did not address </w:t>
      </w:r>
      <w:r>
        <w:rPr>
          <w:b w:val="0"/>
          <w:i/>
        </w:rPr>
        <w:t>blast radius</w:t>
      </w:r>
      <w:r>
        <w:rPr>
          <w:b w:val="0"/>
          <w:i w:val="0"/>
        </w:rPr>
        <w:t xml:space="preserve"> — what one authorised, well-meaning user could do with it. Nobody at the board separated those, because the three findings were presented together and discussed as one item.</w:t>
      </w:r>
    </w:p>
    <w:p>
      <w:pPr>
        <w:pStyle w:val="Heading2"/>
      </w:pPr>
      <w:r>
        <w:t>Contributing factors</w:t>
      </w:r>
    </w:p>
    <w:p>
      <w:pPr>
        <w:pStyle w:val="ListBullet"/>
      </w:pPr>
      <w:r>
        <w:rPr>
          <w:b w:val="0"/>
          <w:i w:val="0"/>
        </w:rPr>
        <w:t>The three sibling endpoints clamp and this one does not. The inconsistency made it invisible on review: a reviewer reading any one file sees a clamp.</w:t>
      </w:r>
    </w:p>
    <w:p>
      <w:pPr>
        <w:pStyle w:val="ListBullet"/>
      </w:pPr>
      <w:r>
        <w:rPr>
          <w:b w:val="0"/>
          <w:i w:val="0"/>
        </w:rPr>
        <w:t>The alert at 14:03 was Sev-3, six minutes before the Sev-2. A latency alert that precedes an error alert is usually the more informative one.</w:t>
      </w:r>
    </w:p>
    <w:p>
      <w:pPr>
        <w:pStyle w:val="ListBullet"/>
      </w:pPr>
      <w:r>
        <w:rPr>
          <w:b w:val="0"/>
          <w:i w:val="0"/>
        </w:rPr>
        <w:t>The operations runbook's "latency has risen" section already named this cause, and it was reached at 14:19 rather than 14:11, because the on-call went to dashboards first.</w:t>
      </w:r>
    </w:p>
    <w:p>
      <w:pPr>
        <w:pStyle w:val="Heading2"/>
      </w:pPr>
      <w:r>
        <w:t>What went well</w:t>
      </w:r>
    </w:p>
    <w:p>
      <w:pPr>
        <w:pStyle w:val="ListBullet"/>
      </w:pPr>
      <w:r>
        <w:rPr>
          <w:b w:val="0"/>
          <w:i w:val="0"/>
        </w:rPr>
        <w:t>The correlation identifier made the trace immediate once the logs were opened.</w:t>
      </w:r>
    </w:p>
    <w:p>
      <w:pPr>
        <w:pStyle w:val="ListBullet"/>
      </w:pPr>
      <w:r>
        <w:rPr>
          <w:b w:val="0"/>
          <w:i w:val="0"/>
        </w:rPr>
        <w:t>Liveness and readiness being separate meant the orchestrator did not restart-loop the instances while the database was contended.</w:t>
      </w:r>
    </w:p>
    <w:p>
      <w:pPr>
        <w:pStyle w:val="ListBullet"/>
      </w:pPr>
      <w:r>
        <w:rPr>
          <w:b w:val="0"/>
          <w:i w:val="0"/>
        </w:rPr>
        <w:t>The audit trail's transactional guarantee held under failure. Nothing was disclosed without a record.</w:t>
      </w:r>
    </w:p>
    <w:p>
      <w:pPr>
        <w:pStyle w:val="Heading2"/>
      </w:pPr>
      <w:r>
        <w:t>Actions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Action</w:t>
            </w:r>
          </w:p>
        </w:tc>
        <w:tc>
          <w:tcPr>
            <w:tcW w:type="dxa" w:w="1728"/>
          </w:tcPr>
          <w:p>
            <w:r>
              <w:rPr>
                <w:b/>
                <w:sz w:val="18"/>
              </w:rPr>
              <w:t>Owner</w:t>
            </w:r>
          </w:p>
        </w:tc>
        <w:tc>
          <w:tcPr>
            <w:tcW w:type="dxa" w:w="1728"/>
          </w:tcPr>
          <w:p>
            <w:r>
              <w:rPr>
                <w:b/>
                <w:sz w:val="18"/>
              </w:rPr>
              <w:t>Due</w:t>
            </w:r>
          </w:p>
        </w:tc>
        <w:tc>
          <w:tcPr>
            <w:tcW w:type="dxa" w:w="1728"/>
          </w:tcPr>
          <w:p>
            <w:r>
              <w:rPr>
                <w:b/>
                <w:sz w:val="18"/>
              </w:rPr>
              <w:t>Status</w:t>
            </w:r>
          </w:p>
        </w:tc>
      </w:tr>
      <w:tr>
        <w:tc>
          <w:tcPr>
            <w:tcW w:type="dxa" w:w="1728"/>
          </w:tcPr>
          <w:p>
            <w:r>
              <w:rPr>
                <w:b w:val="0"/>
                <w:sz w:val="18"/>
              </w:rPr>
              <w:t>A-1</w:t>
            </w:r>
          </w:p>
        </w:tc>
        <w:tc>
          <w:tcPr>
            <w:tcW w:type="dxa" w:w="1728"/>
          </w:tcPr>
          <w:p>
            <w:r>
              <w:rPr>
                <w:b w:val="0"/>
                <w:sz w:val="18"/>
              </w:rPr>
              <w:t>Clamp limit on GET /patients to the maximum page size, as the sibling endpoints do</w:t>
            </w:r>
          </w:p>
        </w:tc>
        <w:tc>
          <w:tcPr>
            <w:tcW w:type="dxa" w:w="1728"/>
          </w:tcPr>
          <w:p>
            <w:r>
              <w:rPr>
                <w:b w:val="0"/>
                <w:sz w:val="18"/>
              </w:rPr>
              <w:t>Engineering</w:t>
            </w:r>
          </w:p>
        </w:tc>
        <w:tc>
          <w:tcPr>
            <w:tcW w:type="dxa" w:w="1728"/>
          </w:tcPr>
          <w:p>
            <w:r>
              <w:rPr>
                <w:b w:val="0"/>
                <w:sz w:val="18"/>
              </w:rPr>
              <w:t>2026-08-22</w:t>
            </w:r>
          </w:p>
        </w:tc>
        <w:tc>
          <w:tcPr>
            <w:tcW w:type="dxa" w:w="1728"/>
          </w:tcPr>
          <w:p>
            <w:r>
              <w:rPr>
                <w:b w:val="0"/>
                <w:sz w:val="18"/>
              </w:rPr>
              <w:t>Open</w:t>
            </w:r>
          </w:p>
        </w:tc>
      </w:tr>
      <w:tr>
        <w:tc>
          <w:tcPr>
            <w:tcW w:type="dxa" w:w="1728"/>
          </w:tcPr>
          <w:p>
            <w:r>
              <w:rPr>
                <w:b w:val="0"/>
                <w:sz w:val="18"/>
              </w:rPr>
              <w:t>A-2</w:t>
            </w:r>
          </w:p>
        </w:tc>
        <w:tc>
          <w:tcPr>
            <w:tcW w:type="dxa" w:w="1728"/>
          </w:tcPr>
          <w:p>
            <w:r>
              <w:rPr>
                <w:b w:val="0"/>
                <w:sz w:val="18"/>
              </w:rPr>
              <w:t>Add a test asserting an upper bound on every collection endpoint, not only on the ones that have one today</w:t>
            </w:r>
          </w:p>
        </w:tc>
        <w:tc>
          <w:tcPr>
            <w:tcW w:type="dxa" w:w="1728"/>
          </w:tcPr>
          <w:p>
            <w:r>
              <w:rPr>
                <w:b w:val="0"/>
                <w:sz w:val="18"/>
              </w:rPr>
              <w:t>Engineering</w:t>
            </w:r>
          </w:p>
        </w:tc>
        <w:tc>
          <w:tcPr>
            <w:tcW w:type="dxa" w:w="1728"/>
          </w:tcPr>
          <w:p>
            <w:r>
              <w:rPr>
                <w:b w:val="0"/>
                <w:sz w:val="18"/>
              </w:rPr>
              <w:t>2026-08-22</w:t>
            </w:r>
          </w:p>
        </w:tc>
        <w:tc>
          <w:tcPr>
            <w:tcW w:type="dxa" w:w="1728"/>
          </w:tcPr>
          <w:p>
            <w:r>
              <w:rPr>
                <w:b w:val="0"/>
                <w:sz w:val="18"/>
              </w:rPr>
              <w:t>Open</w:t>
            </w:r>
          </w:p>
        </w:tc>
      </w:tr>
      <w:tr>
        <w:tc>
          <w:tcPr>
            <w:tcW w:type="dxa" w:w="1728"/>
          </w:tcPr>
          <w:p>
            <w:r>
              <w:rPr>
                <w:b w:val="0"/>
                <w:sz w:val="18"/>
              </w:rPr>
              <w:t>A-3</w:t>
            </w:r>
          </w:p>
        </w:tc>
        <w:tc>
          <w:tcPr>
            <w:tcW w:type="dxa" w:w="1728"/>
          </w:tcPr>
          <w:p>
            <w:r>
              <w:rPr>
                <w:b w:val="0"/>
                <w:sz w:val="18"/>
              </w:rPr>
              <w:t>Waivers cover one finding each. A bundled waiver hides the finding whose rationale is weakest</w:t>
            </w:r>
          </w:p>
        </w:tc>
        <w:tc>
          <w:tcPr>
            <w:tcW w:type="dxa" w:w="1728"/>
          </w:tcPr>
          <w:p>
            <w:r>
              <w:rPr>
                <w:b w:val="0"/>
                <w:sz w:val="18"/>
              </w:rPr>
              <w:t>Delivery Manager</w:t>
            </w:r>
          </w:p>
        </w:tc>
        <w:tc>
          <w:tcPr>
            <w:tcW w:type="dxa" w:w="1728"/>
          </w:tcPr>
          <w:p>
            <w:r>
              <w:rPr>
                <w:b w:val="0"/>
                <w:sz w:val="18"/>
              </w:rPr>
              <w:t>2026-08-26</w:t>
            </w:r>
          </w:p>
        </w:tc>
        <w:tc>
          <w:tcPr>
            <w:tcW w:type="dxa" w:w="1728"/>
          </w:tcPr>
          <w:p>
            <w:r>
              <w:rPr>
                <w:b w:val="0"/>
                <w:sz w:val="18"/>
              </w:rPr>
              <w:t>Open</w:t>
            </w:r>
          </w:p>
        </w:tc>
      </w:tr>
      <w:tr>
        <w:tc>
          <w:tcPr>
            <w:tcW w:type="dxa" w:w="1728"/>
          </w:tcPr>
          <w:p>
            <w:r>
              <w:rPr>
                <w:b w:val="0"/>
                <w:sz w:val="18"/>
              </w:rPr>
              <w:t>A-4</w:t>
            </w:r>
          </w:p>
        </w:tc>
        <w:tc>
          <w:tcPr>
            <w:tcW w:type="dxa" w:w="1728"/>
          </w:tcPr>
          <w:p>
            <w:r>
              <w:rPr>
                <w:b w:val="0"/>
                <w:sz w:val="18"/>
              </w:rPr>
              <w:t>Release review to record, per waived finding, both the exposure and the blast radius</w:t>
            </w:r>
          </w:p>
        </w:tc>
        <w:tc>
          <w:tcPr>
            <w:tcW w:type="dxa" w:w="1728"/>
          </w:tcPr>
          <w:p>
            <w:r>
              <w:rPr>
                <w:b w:val="0"/>
                <w:sz w:val="18"/>
              </w:rPr>
              <w:t>Delivery Manager</w:t>
            </w:r>
          </w:p>
        </w:tc>
        <w:tc>
          <w:tcPr>
            <w:tcW w:type="dxa" w:w="1728"/>
          </w:tcPr>
          <w:p>
            <w:r>
              <w:rPr>
                <w:b w:val="0"/>
                <w:sz w:val="18"/>
              </w:rPr>
              <w:t>2026-08-26</w:t>
            </w:r>
          </w:p>
        </w:tc>
        <w:tc>
          <w:tcPr>
            <w:tcW w:type="dxa" w:w="1728"/>
          </w:tcPr>
          <w:p>
            <w:r>
              <w:rPr>
                <w:b w:val="0"/>
                <w:sz w:val="18"/>
              </w:rPr>
              <w:t>Open</w:t>
            </w:r>
          </w:p>
        </w:tc>
      </w:tr>
      <w:tr>
        <w:tc>
          <w:tcPr>
            <w:tcW w:type="dxa" w:w="1728"/>
          </w:tcPr>
          <w:p>
            <w:r>
              <w:rPr>
                <w:b w:val="0"/>
                <w:sz w:val="18"/>
              </w:rPr>
              <w:t>A-5</w:t>
            </w:r>
          </w:p>
        </w:tc>
        <w:tc>
          <w:tcPr>
            <w:tcW w:type="dxa" w:w="1728"/>
          </w:tcPr>
          <w:p>
            <w:r>
              <w:rPr>
                <w:b w:val="0"/>
                <w:sz w:val="18"/>
              </w:rPr>
              <w:t>Re-examine W-01's remaining findings individually — T-02 and T-03 were waived on the same sentence</w:t>
            </w:r>
          </w:p>
        </w:tc>
        <w:tc>
          <w:tcPr>
            <w:tcW w:type="dxa" w:w="1728"/>
          </w:tcPr>
          <w:p>
            <w:r>
              <w:rPr>
                <w:b w:val="0"/>
                <w:sz w:val="18"/>
              </w:rPr>
              <w:t>Clinical Systems Board</w:t>
            </w:r>
          </w:p>
        </w:tc>
        <w:tc>
          <w:tcPr>
            <w:tcW w:type="dxa" w:w="1728"/>
          </w:tcPr>
          <w:p>
            <w:r>
              <w:rPr>
                <w:b w:val="0"/>
                <w:sz w:val="18"/>
              </w:rPr>
              <w:t>2026-09-02</w:t>
            </w:r>
          </w:p>
        </w:tc>
        <w:tc>
          <w:tcPr>
            <w:tcW w:type="dxa" w:w="1728"/>
          </w:tcPr>
          <w:p>
            <w:r>
              <w:rPr>
                <w:b w:val="0"/>
                <w:sz w:val="18"/>
              </w:rPr>
              <w:t>Open</w:t>
            </w:r>
          </w:p>
        </w:tc>
      </w:tr>
      <w:tr>
        <w:tc>
          <w:tcPr>
            <w:tcW w:type="dxa" w:w="1728"/>
          </w:tcPr>
          <w:p>
            <w:r>
              <w:rPr>
                <w:b w:val="0"/>
                <w:sz w:val="18"/>
              </w:rPr>
              <w:t>A-6</w:t>
            </w:r>
          </w:p>
        </w:tc>
        <w:tc>
          <w:tcPr>
            <w:tcW w:type="dxa" w:w="1728"/>
          </w:tcPr>
          <w:p>
            <w:r>
              <w:rPr>
                <w:b w:val="0"/>
                <w:sz w:val="18"/>
              </w:rPr>
              <w:t>On-call guidance: read the runbook section matching the first alert before opening dashboards</w:t>
            </w:r>
          </w:p>
        </w:tc>
        <w:tc>
          <w:tcPr>
            <w:tcW w:type="dxa" w:w="1728"/>
          </w:tcPr>
          <w:p>
            <w:r>
              <w:rPr>
                <w:b w:val="0"/>
                <w:sz w:val="18"/>
              </w:rPr>
              <w:t>Platform</w:t>
            </w:r>
          </w:p>
        </w:tc>
        <w:tc>
          <w:tcPr>
            <w:tcW w:type="dxa" w:w="1728"/>
          </w:tcPr>
          <w:p>
            <w:r>
              <w:rPr>
                <w:b w:val="0"/>
                <w:sz w:val="18"/>
              </w:rPr>
              <w:t>2026-08-29</w:t>
            </w:r>
          </w:p>
        </w:tc>
        <w:tc>
          <w:tcPr>
            <w:tcW w:type="dxa" w:w="1728"/>
          </w:tcPr>
          <w:p>
            <w:r>
              <w:rPr>
                <w:b w:val="0"/>
                <w:sz w:val="18"/>
              </w:rPr>
              <w:t>Open</w:t>
            </w:r>
          </w:p>
        </w:tc>
      </w:tr>
    </w:tbl>
    <w:p/>
    <w:p>
      <w:r>
        <w:rPr>
          <w:b w:val="0"/>
          <w:i w:val="0"/>
        </w:rPr>
        <w:t>A-5 is the action this postmortem exists for. One of the two findings still waived under W-01 is T-03 — the export path does not consult consent before releasing a record to a partner. That one touches a business requirement, and the argument that carried it through the board was written about a different finding entirely.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Postmortem — INC-2026-0814, patient search exhausted the connection</dc:title>
  <dc:subject/>
  <dc:creator>CarePath programme</dc:creator>
  <cp:keywords/>
  <dc:description>Demonstration artifact. Synthetic content only - not a clinical record.</dc:description>
  <cp:lastModifiedBy/>
  <cp:revision>1</cp:revision>
  <dcterms:created xsi:type="dcterms:W3CDTF">2013-12-23T23:15:00Z</dcterms:created>
  <dcterms:modified xsi:type="dcterms:W3CDTF">2013-12-23T23:15:00Z</dcterms:modified>
  <cp:category/>
</cp:coreProperties>
</file>