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management — CarePath</w:t>
      </w:r>
    </w:p>
    <w:p>
      <w:pPr>
        <w:jc w:val="left"/>
      </w:pPr>
      <w:r>
        <w:rPr>
          <w:i/>
          <w:sz w:val="18"/>
        </w:rPr>
        <w:t>Document: GOV-CAREPATH-003 · Version: 1.2 · Status: Active · Owner: Delivery Manager</w:t>
      </w:r>
    </w:p>
    <w:p>
      <w:pPr>
        <w:pStyle w:val="Heading2"/>
      </w:pPr>
      <w:r>
        <w:t>Classes of 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Examples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Approval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Lead time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Standard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Dependency patch, documentation, a test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Peer review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Normal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 new endpoint, a schema change, a change to a role's grants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Peer review plus the release review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One release cycle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Significant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Anything touching audit, consent, authentication or the FHIR contract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Release review plus Information Governance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Two release cycles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8"/>
              </w:rPr>
              <w:t>Emergency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Production is degraded or a control is failing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On-call plus one senior engineer, retrospectively reviewed within two working days</w:t>
            </w:r>
          </w:p>
        </w:tc>
        <w:tc>
          <w:tcPr>
            <w:tcW w:type="dxa" w:w="2160"/>
          </w:tcPr>
          <w:p>
            <w:r>
              <w:rPr>
                <w:b w:val="0"/>
                <w:sz w:val="18"/>
              </w:rPr>
              <w:t>Immediate</w:t>
            </w:r>
          </w:p>
        </w:tc>
      </w:tr>
    </w:tbl>
    <w:p/>
    <w:p>
      <w:r>
        <w:rPr>
          <w:b w:val="0"/>
          <w:i w:val="0"/>
        </w:rPr>
        <w:t xml:space="preserve">A change to </w:t>
      </w:r>
      <w:r>
        <w:rPr>
          <w:rFonts w:ascii="Consolas" w:hAnsi="Consolas"/>
          <w:b w:val="0"/>
          <w:i w:val="0"/>
        </w:rPr>
        <w:t>security/audit.py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services/consent.py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</w:rPr>
        <w:t>security/auth.py</w:t>
      </w:r>
      <w:r>
        <w:rPr>
          <w:b w:val="0"/>
          <w:i w:val="0"/>
        </w:rPr>
        <w:t xml:space="preserve"> is </w:t>
      </w:r>
      <w:r>
        <w:rPr>
          <w:b/>
          <w:i w:val="0"/>
        </w:rPr>
        <w:t>always</w:t>
      </w:r>
      <w:r>
        <w:rPr>
          <w:b w:val="0"/>
          <w:i w:val="0"/>
        </w:rPr>
        <w:t xml:space="preserve"> significant, regardless of size. A one-line change to an audit path is a one-line change to a regulatory control.</w:t>
      </w:r>
    </w:p>
    <w:p>
      <w:pPr>
        <w:pStyle w:val="Heading2"/>
      </w:pPr>
      <w:r>
        <w:t>Pull request requirements</w:t>
      </w:r>
    </w:p>
    <w:p>
      <w:pPr>
        <w:pStyle w:val="ListBullet"/>
      </w:pPr>
      <w:r>
        <w:rPr>
          <w:b w:val="0"/>
          <w:i w:val="0"/>
        </w:rPr>
        <w:t>☐ Names the requirement identifiers it affects</w:t>
      </w:r>
    </w:p>
    <w:p>
      <w:pPr>
        <w:pStyle w:val="ListBullet"/>
      </w:pPr>
      <w:r>
        <w:rPr>
          <w:b w:val="0"/>
          <w:i w:val="0"/>
        </w:rPr>
        <w:t>☐ Tests for both the success and the refusal path</w:t>
      </w:r>
    </w:p>
    <w:p>
      <w:pPr>
        <w:pStyle w:val="ListBullet"/>
      </w:pPr>
      <w:r>
        <w:rPr>
          <w:b w:val="0"/>
          <w:i w:val="0"/>
        </w:rPr>
        <w:t>☐ Traceability matrix updated if coverage changed</w:t>
      </w:r>
    </w:p>
    <w:p>
      <w:pPr>
        <w:pStyle w:val="ListBullet"/>
      </w:pPr>
      <w:r>
        <w:rPr>
          <w:b w:val="0"/>
          <w:i w:val="0"/>
        </w:rPr>
        <w:t>☐ Coding standards checklist completed</w:t>
      </w:r>
    </w:p>
    <w:p>
      <w:pPr>
        <w:pStyle w:val="ListBullet"/>
      </w:pPr>
      <w:r>
        <w:rPr>
          <w:b w:val="0"/>
          <w:i w:val="0"/>
        </w:rPr>
        <w:t>☐ For a significant change: the control matrix reviewed and, if its effectiveness rating moves, updated in the same change</w:t>
      </w:r>
    </w:p>
    <w:p>
      <w:r>
        <w:rPr>
          <w:b w:val="0"/>
          <w:i w:val="0"/>
        </w:rPr>
        <w:t>The last one matters. A control matrix updated in a separate change is a control matrix that drifts, and this one already carries a rating (C-09) that describes an intention rather than an implementation.</w:t>
      </w:r>
    </w:p>
    <w:p>
      <w:pPr>
        <w:pStyle w:val="Heading2"/>
      </w:pPr>
      <w:r>
        <w:t>Waivers</w:t>
      </w:r>
    </w:p>
    <w:p>
      <w:r>
        <w:rPr>
          <w:b w:val="0"/>
          <w:i w:val="0"/>
        </w:rPr>
        <w:t>A waiver permits release with a known finding open.</w:t>
      </w:r>
    </w:p>
    <w:p>
      <w:r>
        <w:rPr>
          <w:b/>
          <w:i w:val="0"/>
        </w:rPr>
        <w:t>Rules, tightened after INC-2026-0814:</w:t>
      </w:r>
    </w:p>
    <w:p>
      <w:pPr>
        <w:pStyle w:val="ListNumber"/>
      </w:pPr>
      <w:r>
        <w:rPr>
          <w:b/>
          <w:i w:val="0"/>
        </w:rPr>
        <w:t>One waiver, one finding.</w:t>
      </w:r>
      <w:r>
        <w:rPr>
          <w:b w:val="0"/>
          <w:i w:val="0"/>
        </w:rPr>
        <w:t xml:space="preserve"> A waiver covering several findings is invalid. W-01 covered three and carried the weakest rationale onto the strongest finding (R-10).</w:t>
      </w:r>
    </w:p>
    <w:p>
      <w:pPr>
        <w:pStyle w:val="ListNumber"/>
      </w:pPr>
      <w:r>
        <w:rPr>
          <w:b w:val="0"/>
          <w:i w:val="0"/>
        </w:rPr>
        <w:t xml:space="preserve">The rationale must address </w:t>
      </w:r>
      <w:r>
        <w:rPr>
          <w:b/>
          <w:i w:val="0"/>
        </w:rPr>
        <w:t>exposure</w:t>
      </w:r>
      <w:r>
        <w:rPr>
          <w:b w:val="0"/>
          <w:i w:val="0"/>
        </w:rPr>
        <w:t xml:space="preserve"> (who can reach it) </w:t>
      </w:r>
      <w:r>
        <w:rPr>
          <w:b/>
          <w:i w:val="0"/>
        </w:rPr>
        <w:t>and blast radius</w:t>
      </w:r>
      <w:r>
        <w:rPr>
          <w:b w:val="0"/>
          <w:i w:val="0"/>
        </w:rPr>
        <w:t xml:space="preserve"> (what one authorised user can do with it) separately. W-01 addressed only exposure, which is why T-01 became INC-2026-0814.</w:t>
      </w:r>
    </w:p>
    <w:p>
      <w:pPr>
        <w:pStyle w:val="ListNumber"/>
      </w:pPr>
      <w:r>
        <w:rPr>
          <w:b w:val="0"/>
          <w:i w:val="0"/>
        </w:rPr>
        <w:t>Every waiver has an expiry — a date or a named event, never "until fixed".</w:t>
      </w:r>
    </w:p>
    <w:p>
      <w:pPr>
        <w:pStyle w:val="ListNumber"/>
      </w:pPr>
      <w:r>
        <w:rPr>
          <w:b w:val="0"/>
          <w:i w:val="0"/>
        </w:rPr>
        <w:t>Waivers are reviewed at every subsequent release review, not only at the one that granted them.</w:t>
      </w:r>
    </w:p>
    <w:p>
      <w:pPr>
        <w:pStyle w:val="ListNumber"/>
      </w:pPr>
      <w:r>
        <w:rPr>
          <w:b w:val="0"/>
          <w:i w:val="0"/>
        </w:rPr>
        <w:t xml:space="preserve">A waiver on a finding that touches a </w:t>
      </w:r>
      <w:r>
        <w:rPr>
          <w:b/>
          <w:i w:val="0"/>
        </w:rPr>
        <w:t>business</w:t>
      </w:r>
      <w:r>
        <w:rPr>
          <w:b w:val="0"/>
          <w:i w:val="0"/>
        </w:rPr>
        <w:t xml:space="preserve"> requirement, rather than a non-functional one, goes to the Clinical Systems Board as its own agenda item.</w:t>
      </w:r>
    </w:p>
    <w:p>
      <w:r>
        <w:rPr>
          <w:b w:val="0"/>
          <w:i w:val="0"/>
        </w:rPr>
        <w:t>Rule 5 exists because of T-03. It was waived alongside two non-functional findings and was the only one of the three that defeated a stated business requirement (BR-05), and the board minute records no discussion of it.</w:t>
      </w:r>
    </w:p>
    <w:p>
      <w:pPr>
        <w:pStyle w:val="Heading2"/>
      </w:pPr>
      <w:r>
        <w:t>Emergency changes</w:t>
      </w:r>
    </w:p>
    <w:p>
      <w:r>
        <w:rPr>
          <w:b w:val="0"/>
          <w:i w:val="0"/>
        </w:rPr>
        <w:t>Emergency authority covers restoring service. It does not cover:</w:t>
      </w:r>
    </w:p>
    <w:p>
      <w:pPr>
        <w:pStyle w:val="ListBullet"/>
      </w:pPr>
      <w:r>
        <w:rPr>
          <w:b w:val="0"/>
          <w:i w:val="0"/>
        </w:rPr>
        <w:t xml:space="preserve">Disabling an audit write to get past a failing audit table. </w:t>
      </w:r>
      <w:r>
        <w:rPr>
          <w:b/>
          <w:i w:val="0"/>
        </w:rPr>
        <w:t>Take the service out of the pool instead.</w:t>
      </w:r>
      <w:r>
        <w:rPr>
          <w:b w:val="0"/>
          <w:i w:val="0"/>
        </w:rPr>
        <w:t xml:space="preserve"> A disclosure that cannot be recorded is a disclosure that is not made.</w:t>
      </w:r>
    </w:p>
    <w:p>
      <w:pPr>
        <w:pStyle w:val="ListBullet"/>
      </w:pPr>
      <w:r>
        <w:rPr>
          <w:b w:val="0"/>
          <w:i w:val="0"/>
        </w:rPr>
        <w:t>Widening a role's grants to unblock a user.</w:t>
      </w:r>
    </w:p>
    <w:p>
      <w:pPr>
        <w:pStyle w:val="ListBullet"/>
      </w:pPr>
      <w:r>
        <w:rPr>
          <w:b w:val="0"/>
          <w:i w:val="0"/>
        </w:rPr>
        <w:t>Bypassing a consent check.</w:t>
      </w:r>
    </w:p>
    <w:p>
      <w:r>
        <w:rPr>
          <w:b w:val="0"/>
          <w:i w:val="0"/>
        </w:rPr>
        <w:t>Each of those is a control, and a control suspended under time pressure is a control that is found suspended six months later.</w:t>
      </w:r>
    </w:p>
    <w:p>
      <w:pPr>
        <w:pStyle w:val="Heading2"/>
      </w:pPr>
      <w:r>
        <w:t>Records</w:t>
      </w:r>
    </w:p>
    <w:p>
      <w:r>
        <w:rPr>
          <w:b w:val="0"/>
          <w:i w:val="0"/>
        </w:rPr>
        <w:t>Every change keeps: the pull request, the review, the release record, the deployment record with its snapshot identifier, and any waiver. Retained for six years, alongside the audit trail (NFR-09).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management — CarePath</dc:title>
  <dc:subject/>
  <dc:creator>Delivery Manager</dc:creator>
  <cp:keywords/>
  <dc:description>Demonstration artifact. Synthetic content only - not a clinical record.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