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Discharge checklist - CarePath 1.0</w:t>
      </w:r>
    </w:p>
    <w:p>
      <w:r>
        <w:t xml:space="preserve">Document: OPS-CAREPATH-011 - Version 1.0 - Status: Active - Owner: Ward Manager, Riverside General - 2026-09-01</w:t>
      </w:r>
    </w:p>
    <w:p>
      <w:r>
        <w:t xml:space="preserve">Demonstration artifact. Synthetic content only - not a clinical record.</w:t>
      </w:r>
    </w:p>
    <w:p>
      <w:pPr>
        <w:pStyle w:val="Heading1"/>
      </w:pPr>
      <w:r>
        <w:t xml:space="preserve">Before the patient leaves</w:t>
      </w:r>
    </w:p>
    <w:p>
      <w:r>
        <w:t xml:space="preserve">The first table was made in Word with its header row in bold but not marked as a header row. The platform reads the bold row as the header.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Step</w:t>
            </w:r>
          </w:p>
        </w:tc>
        <w:tc>
          <w:p>
            <w:r>
              <w:rPr>
                <w:b/>
              </w:rPr>
              <w:t xml:space="preserve">Owner</w:t>
            </w:r>
          </w:p>
        </w:tc>
        <w:tc>
          <w:p>
            <w:r>
              <w:rPr>
                <w:b/>
              </w:rPr>
              <w:t xml:space="preserve">Recorded in</w:t>
            </w:r>
          </w:p>
        </w:tc>
      </w:tr>
      <w:tr>
        <w:tc>
          <w:p>
            <w:r>
              <w:t xml:space="preserve">Medicines reconciled</w:t>
            </w:r>
          </w:p>
        </w:tc>
        <w:tc>
          <w:p>
            <w:r>
              <w:t xml:space="preserve">Pharmacist</w:t>
            </w:r>
          </w:p>
        </w:tc>
        <w:tc>
          <w:p>
            <w:r>
              <w:t xml:space="preserve">Discharge summary</w:t>
            </w:r>
          </w:p>
        </w:tc>
      </w:tr>
      <w:tr>
        <w:tc>
          <w:p>
            <w:r>
              <w:t xml:space="preserve">Referral raised (BR-02)</w:t>
            </w:r>
          </w:p>
        </w:tc>
        <w:tc>
          <w:p>
            <w:r>
              <w:t xml:space="preserve">Care coordinator</w:t>
            </w:r>
          </w:p>
        </w:tc>
        <w:tc>
          <w:p>
            <w:r>
              <w:t xml:space="preserve">CarePath referral</w:t>
            </w:r>
          </w:p>
        </w:tc>
      </w:tr>
      <w:tr>
        <w:tc>
          <w:p>
            <w:r>
              <w:t xml:space="preserve">Follow-up booked</w:t>
            </w:r>
          </w:p>
        </w:tc>
        <w:tc>
          <w:p>
            <w:r>
              <w:t xml:space="preserve">Ward clerk</w:t>
            </w:r>
          </w:p>
        </w:tc>
        <w:tc>
          <w:p>
            <w:r>
              <w:t xml:space="preserve">Clinic system</w:t>
            </w:r>
          </w:p>
        </w:tc>
      </w:tr>
    </w:tbl>
    <w:p>
      <w:pPr>
        <w:pStyle w:val="Heading1"/>
      </w:pPr>
      <w:r>
        <w:t xml:space="preserve">After the patient leaves</w:t>
      </w:r>
    </w:p>
    <w:p>
      <w:r>
        <w:t xml:space="preserve">The second table's first row is not bold either, so nothing says which row names the columns: the graph can only call them column 1, 2 and 3.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Check</w:t>
            </w:r>
          </w:p>
        </w:tc>
        <w:tc>
          <w:p>
            <w:r>
              <w:t xml:space="preserve">Within</w:t>
            </w:r>
          </w:p>
        </w:tc>
        <w:tc>
          <w:p>
            <w:r>
              <w:t xml:space="preserve">Escalate to</w:t>
            </w:r>
          </w:p>
        </w:tc>
      </w:tr>
      <w:tr>
        <w:tc>
          <w:p>
            <w:r>
              <w:t xml:space="preserve">Referral acknowledged</w:t>
            </w:r>
          </w:p>
        </w:tc>
        <w:tc>
          <w:p>
            <w:r>
              <w:t xml:space="preserve">1 working day</w:t>
            </w:r>
          </w:p>
        </w:tc>
        <w:tc>
          <w:p>
            <w:r>
              <w:t xml:space="preserve">Care coordinator</w:t>
            </w:r>
          </w:p>
        </w:tc>
      </w:tr>
      <w:tr>
        <w:tc>
          <w:p>
            <w:r>
              <w:t xml:space="preserve">Patient contacted</w:t>
            </w:r>
          </w:p>
        </w:tc>
        <w:tc>
          <w:p>
            <w:r>
              <w:t xml:space="preserve">2 working days</w:t>
            </w:r>
          </w:p>
        </w:tc>
        <w:tc>
          <w:p>
            <w:r>
              <w:t xml:space="preserve">Community nurse</w:t>
            </w:r>
          </w:p>
        </w:tc>
      </w:tr>
      <w:tr>
        <w:tc>
          <w:p>
            <w:r>
              <w:t xml:space="preserve">Readmission risk reviewed</w:t>
            </w:r>
          </w:p>
        </w:tc>
        <w:tc>
          <w:p>
            <w:r>
              <w:t xml:space="preserve">7 days</w:t>
            </w:r>
          </w:p>
        </w:tc>
        <w:tc>
          <w:p>
            <w:r>
              <w:t xml:space="preserve">Clinical lead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