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Quarterly letter</w:t>
      </w:r>
    </w:p>
    <w:p>
      <w:pPr>
        <w:pStyle w:val="BodyText"/>
        <w:bidi w:val="0"/>
        <w:jc w:val="left"/>
        <w:rPr/>
      </w:pPr>
      <w:r>
        <w:rPr/>
        <w:t xml:space="preserve">Revenue grew </w:t>
      </w:r>
      <w:r>
        <w:rPr>
          <w:b/>
        </w:rPr>
        <w:t>12%</w:t>
      </w:r>
      <w:r>
        <w:rPr/>
        <w:t xml:space="preserve"> this quarter.</w:t>
      </w:r>
    </w:p>
    <w:tbl>
      <w:tblPr>
        <w:tblW w:w="2312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11"/>
        <w:gridCol w:w="1201"/>
      </w:tblGrid>
      <w:tr>
        <w:trPr/>
        <w:tc>
          <w:tcPr>
            <w:tcW w:w="1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120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Amount</w:t>
            </w:r>
          </w:p>
        </w:tc>
      </w:tr>
      <w:tr>
        <w:trPr/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Widgets</w:t>
            </w:r>
          </w:p>
        </w:tc>
        <w:tc>
          <w:tcPr>
            <w:tcW w:w="120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4.50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00"/>
    <w:family w:val="roman"/>
    <w:pitch w:val="variable"/>
  </w:font>
  <w:font w:name="Noto Sans">
    <w:charset w:val="00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erif" w:hAnsi="DejaVu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DejaVu Serif" w:hAnsi="DejaVu Serif" w:eastAsia="DejaVu Sans" w:cs="DejaVu 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