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NYSA CORE Role Access Conditions for Review</w:t>
      </w:r>
    </w:p>
    <w:p>
      <w:pPr>
        <w:spacing w:after="200"/>
      </w:pPr>
      <w:r>
        <w:rPr>
          <w:rFonts w:ascii="Arial" w:hAnsi="Arial"/>
          <w:b/>
          <w:color w:val="B99A55"/>
          <w:sz w:val="21"/>
        </w:rPr>
        <w:t>Proposed DEV205 access model  |  Revised 19 September 2026  |  Decision document</w:t>
      </w:r>
    </w:p>
    <w:p>
      <w:r>
        <w:rPr>
          <w:rFonts w:ascii="Arial" w:hAnsi="Arial"/>
          <w:b/>
          <w:color w:val="172536"/>
          <w:sz w:val="20"/>
        </w:rPr>
        <w:t xml:space="preserve">Main conclusion  </w:t>
      </w:r>
      <w:r>
        <w:t>Administrator and Managing Director must remain separate roles. The Administrator should maintain system configuration and access controls, but should not see customer, lead, inventory, opportunity, finance, commission-payment, or approval workspaces. The Managing Director should retain company-wide business oversight and approval authority.</w:t>
      </w:r>
    </w:p>
    <w:p>
      <w:r>
        <w:rPr>
          <w:rFonts w:ascii="Arial" w:hAnsi="Arial"/>
          <w:b/>
          <w:color w:val="172536"/>
          <w:sz w:val="20"/>
        </w:rPr>
        <w:t xml:space="preserve">Change status  </w:t>
      </w:r>
      <w:r>
        <w:t>No access-control change has been applied or deployed as part of this document. The matrix below is the proposed model for confirmation before implementation.</w:t>
      </w:r>
    </w:p>
    <w:p>
      <w:pPr>
        <w:pStyle w:val="Heading1"/>
        <w:keepNext/>
        <w:spacing w:before="240" w:after="100"/>
      </w:pPr>
      <w:r>
        <w:t>Why the change is required</w:t>
      </w:r>
    </w:p>
    <w:p>
      <w:pPr>
        <w:pStyle w:val="ListBullet"/>
        <w:keepLines/>
        <w:spacing w:after="40"/>
      </w:pPr>
      <w:r>
        <w:t>The current dashboard logic groups the Administrator with the Managing Director and labels the resulting page as a Managing Director workspace.</w:t>
      </w:r>
    </w:p>
    <w:p>
      <w:pPr>
        <w:pStyle w:val="ListBullet"/>
        <w:keepLines/>
        <w:spacing w:after="40"/>
      </w:pPr>
      <w:r>
        <w:t>The current sidebar exposes business modules to the Administrator, including customers, leads, inventory, opportunities, marketing compliance, assignment queues, receivables and related dashboards.</w:t>
      </w:r>
    </w:p>
    <w:p>
      <w:pPr>
        <w:pStyle w:val="ListBullet"/>
        <w:keepLines/>
        <w:spacing w:after="40"/>
      </w:pPr>
      <w:r>
        <w:t>Several current server-side permission helpers also treat the Administrator as a company-wide business reader or operational manager. Hiding menu items alone would therefore be insufficient.</w:t>
      </w:r>
    </w:p>
    <w:p>
      <w:pPr>
        <w:pStyle w:val="ListBullet"/>
        <w:keepLines/>
        <w:spacing w:after="40"/>
      </w:pPr>
      <w:r>
        <w:t>The proposed model applies least privilege in both the user interface and the API. Direct calls to prohibited business endpoints must return a permission error.</w:t>
      </w:r>
    </w:p>
    <w:p>
      <w:pPr>
        <w:pStyle w:val="Heading1"/>
        <w:keepNext/>
        <w:spacing w:before="240" w:after="100"/>
      </w:pPr>
      <w:r>
        <w:t>Access notation</w:t>
      </w:r>
    </w:p>
    <w:tbl>
      <w:tblPr>
        <w:tblW w:type="auto" w:w="0"/>
        <w:jc w:val="center"/>
        <w:tblLayout w:type="fixed"/>
        <w:tblLook w:firstColumn="1" w:firstRow="1" w:lastColumn="0" w:lastRow="0" w:noHBand="0" w:noVBand="1" w:val="04A0"/>
      </w:tblPr>
      <w:tblGrid>
        <w:gridCol w:w="7582"/>
        <w:gridCol w:w="7582"/>
      </w:tblGrid>
      <w:tr>
        <w:trPr>
          <w:tblHeader w:val="true"/>
        </w:trPr>
        <w:tc>
          <w:tcPr>
            <w:tcW w:type="dxa" w:w="194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Condition</w:t>
            </w:r>
          </w:p>
        </w:tc>
        <w:tc>
          <w:tcPr>
            <w:tcW w:type="dxa" w:w="12527"/>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Meaning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8"/>
              </w:rPr>
              <w:t>Allowed</w:t>
            </w:r>
          </w:p>
        </w:tc>
        <w:tc>
          <w:tcPr>
            <w:tcW w:type="dxa" w:w="1252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8"/>
              </w:rPr>
              <w:t>The role may open and perform the stated function within its data scope.</w:t>
            </w:r>
          </w:p>
        </w:tc>
      </w:tr>
      <w:tr>
        <w:tc>
          <w:tcPr>
            <w:tcW w:type="dxa" w:w="194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8"/>
              </w:rPr>
              <w:t>Limited</w:t>
            </w:r>
          </w:p>
        </w:tc>
        <w:tc>
          <w:tcPr>
            <w:tcW w:type="dxa" w:w="12527"/>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8"/>
              </w:rPr>
              <w:t>The role has a defined read-only, assigned-record, team, configuration-only or approval-only scope.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8"/>
              </w:rPr>
              <w:t>No access</w:t>
            </w:r>
          </w:p>
        </w:tc>
        <w:tc>
          <w:tcPr>
            <w:tcW w:type="dxa" w:w="1252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8"/>
              </w:rPr>
              <w:t>The function is hidden from navigation and rejected by the API.</w:t>
            </w:r>
          </w:p>
        </w:tc>
      </w:tr>
    </w:tbl>
    <w:p>
      <w:pPr>
        <w:spacing w:after="20"/>
      </w:pPr>
    </w:p>
    <w:p>
      <w:r>
        <w:br w:type="page"/>
      </w:r>
    </w:p>
    <w:p>
      <w:pPr>
        <w:pStyle w:val="Heading1"/>
        <w:keepNext/>
        <w:spacing w:before="240" w:after="100"/>
      </w:pPr>
      <w:r>
        <w:t>Proposed business access matrix</w:t>
      </w:r>
    </w:p>
    <w:p>
      <w:pPr>
        <w:keepNext/>
      </w:pPr>
      <w:r>
        <w:t>This matrix covers day-to-day business records and decisions. “Limited” is explained in the role scope section.</w:t>
      </w:r>
    </w:p>
    <w:tbl>
      <w:tblPr>
        <w:tblW w:type="auto" w:w="0"/>
        <w:jc w:val="center"/>
        <w:tblLayout w:type="fixed"/>
        <w:tblLook w:firstColumn="1" w:firstRow="1" w:lastColumn="0" w:lastRow="0" w:noHBand="0" w:noVBand="1" w:val="04A0"/>
      </w:tblPr>
      <w:tblGrid>
        <w:gridCol w:w="1895"/>
        <w:gridCol w:w="1895"/>
        <w:gridCol w:w="1895"/>
        <w:gridCol w:w="1895"/>
        <w:gridCol w:w="1895"/>
        <w:gridCol w:w="1895"/>
        <w:gridCol w:w="1895"/>
        <w:gridCol w:w="1895"/>
      </w:tblGrid>
      <w:tr>
        <w:trPr>
          <w:tblHeader w:val="true"/>
        </w:trPr>
        <w:tc>
          <w:tcPr>
            <w:tcW w:type="dxa" w:w="32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Business function</w:t>
            </w:r>
          </w:p>
        </w:tc>
        <w:tc>
          <w:tcPr>
            <w:tcW w:type="dxa" w:w="1555"/>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w:t>
            </w:r>
          </w:p>
        </w:tc>
        <w:tc>
          <w:tcPr>
            <w:tcW w:type="dxa" w:w="1555"/>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 Assistant</w:t>
            </w:r>
          </w:p>
        </w:tc>
        <w:tc>
          <w:tcPr>
            <w:tcW w:type="dxa" w:w="16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Managing Director</w:t>
            </w:r>
          </w:p>
        </w:tc>
        <w:tc>
          <w:tcPr>
            <w:tcW w:type="dxa" w:w="14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Manager</w:t>
            </w:r>
          </w:p>
        </w:tc>
        <w:tc>
          <w:tcPr>
            <w:tcW w:type="dxa" w:w="14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Sales Agent</w:t>
            </w:r>
          </w:p>
        </w:tc>
        <w:tc>
          <w:tcPr>
            <w:tcW w:type="dxa" w:w="161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Listing Executive</w:t>
            </w:r>
          </w:p>
        </w:tc>
        <w:tc>
          <w:tcPr>
            <w:tcW w:type="dxa" w:w="14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Accountant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Executive business dashboard</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Customers and KYC records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Leads and assignment</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Inventory and listings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External portal listings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Opportunities and Deals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only</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Proposal and Deal approvals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Marketing compliance operations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Receivables and invoice records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Commission-payment preparation</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View and approve</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Prepare and pay</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Leave application and own balance</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4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r>
      <w:tr>
        <w:tc>
          <w:tcPr>
            <w:tcW w:type="dxa" w:w="32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Leave approval</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55"/>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bl>
    <w:p>
      <w:pPr>
        <w:spacing w:after="20"/>
      </w:pPr>
    </w:p>
    <w:p>
      <w:r>
        <w:rPr>
          <w:rFonts w:ascii="Arial" w:hAnsi="Arial"/>
          <w:b/>
          <w:color w:val="172536"/>
          <w:sz w:val="18"/>
        </w:rPr>
        <w:t xml:space="preserve">Important  </w:t>
      </w:r>
      <w:r>
        <w:t>The Administrator may see a count of records affected by a user-access or configuration change when this is necessary to avoid unsafe maintenance, but may not open the underlying business records from that summary.</w:t>
      </w:r>
    </w:p>
    <w:p>
      <w:r>
        <w:br w:type="page"/>
      </w:r>
    </w:p>
    <w:p>
      <w:pPr>
        <w:pStyle w:val="Heading1"/>
        <w:keepNext/>
        <w:spacing w:before="240" w:after="100"/>
      </w:pPr>
      <w:r>
        <w:t>Proposed governance and configuration matrix</w:t>
      </w:r>
    </w:p>
    <w:tbl>
      <w:tblPr>
        <w:tblW w:type="auto" w:w="0"/>
        <w:jc w:val="center"/>
        <w:tblLayout w:type="fixed"/>
        <w:tblLook w:firstColumn="1" w:firstRow="1" w:lastColumn="0" w:lastRow="0" w:noHBand="0" w:noVBand="1" w:val="04A0"/>
      </w:tblPr>
      <w:tblGrid>
        <w:gridCol w:w="1895"/>
        <w:gridCol w:w="1895"/>
        <w:gridCol w:w="1895"/>
        <w:gridCol w:w="1895"/>
        <w:gridCol w:w="1895"/>
        <w:gridCol w:w="1895"/>
        <w:gridCol w:w="1895"/>
        <w:gridCol w:w="1895"/>
      </w:tblGrid>
      <w:tr>
        <w:trPr>
          <w:tblHeader w:val="true"/>
        </w:trPr>
        <w:tc>
          <w:tcPr>
            <w:tcW w:type="dxa" w:w="3311"/>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Governance function</w:t>
            </w:r>
          </w:p>
        </w:tc>
        <w:tc>
          <w:tcPr>
            <w:tcW w:type="dxa" w:w="161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w:t>
            </w:r>
          </w:p>
        </w:tc>
        <w:tc>
          <w:tcPr>
            <w:tcW w:type="dxa" w:w="161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 Assistant</w:t>
            </w:r>
          </w:p>
        </w:tc>
        <w:tc>
          <w:tcPr>
            <w:tcW w:type="dxa" w:w="1699"/>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Managing Director</w:t>
            </w:r>
          </w:p>
        </w:tc>
        <w:tc>
          <w:tcPr>
            <w:tcW w:type="dxa" w:w="14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Manager</w:t>
            </w:r>
          </w:p>
        </w:tc>
        <w:tc>
          <w:tcPr>
            <w:tcW w:type="dxa" w:w="14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Sales Agent</w:t>
            </w:r>
          </w:p>
        </w:tc>
        <w:tc>
          <w:tcPr>
            <w:tcW w:type="dxa" w:w="15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Listing Executive</w:t>
            </w:r>
          </w:p>
        </w:tc>
        <w:tc>
          <w:tcPr>
            <w:tcW w:type="dxa" w:w="144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Accountant</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Users, roles, status and invitations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Teams and reporting structure</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only</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only</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Audit log and security events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Organization legal, VAT and bank details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Draft only</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Payout policy, tiers and effective date</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Draft only</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Controlled values and master data</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Draft support</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values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Provider mappings and integration setup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Integration health and failure monitoring</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Summary only</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Listing and media approval policy settings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activate</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Draft support</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Leave policy and employment configuration</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61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Maintain and administer</w:t>
            </w:r>
          </w:p>
        </w:tc>
        <w:tc>
          <w:tcPr>
            <w:tcW w:type="dxa" w:w="1699"/>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Read active version</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r>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4"/>
              </w:rPr>
              <w:t>Deployment and environment status</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Allowed</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Limited</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4"/>
              </w:rPr>
              <w:t>No access</w:t>
            </w:r>
          </w:p>
        </w:tc>
      </w:tr>
    </w:tbl>
    <w:p>
      <w:pPr>
        <w:spacing w:after="20"/>
      </w:pPr>
    </w:p>
    <w:p>
      <w:r>
        <w:rPr>
          <w:rFonts w:ascii="Arial" w:hAnsi="Arial"/>
          <w:b/>
          <w:color w:val="172536"/>
          <w:sz w:val="18"/>
        </w:rPr>
        <w:t xml:space="preserve">Separation principle  </w:t>
      </w:r>
      <w:r>
        <w:t>Configuration access does not grant access to the business records produced under that configuration. For example, an Administrator may activate the payout policy but may not prepare, approve or record an Agent payout.</w:t>
      </w:r>
    </w:p>
    <w:p>
      <w:r>
        <w:br w:type="page"/>
      </w:r>
    </w:p>
    <w:p>
      <w:pPr>
        <w:pStyle w:val="Heading1"/>
        <w:keepNext/>
        <w:spacing w:before="240" w:after="100"/>
      </w:pPr>
      <w:r>
        <w:t>Role conditions and data scope</w:t>
      </w:r>
    </w:p>
    <w:tbl>
      <w:tblPr>
        <w:tblW w:type="auto" w:w="0"/>
        <w:jc w:val="center"/>
        <w:tblLayout w:type="fixed"/>
        <w:tblLook w:firstColumn="1" w:firstRow="1" w:lastColumn="0" w:lastRow="0" w:noHBand="0" w:noVBand="1" w:val="04A0"/>
      </w:tblPr>
      <w:tblGrid>
        <w:gridCol w:w="5055"/>
        <w:gridCol w:w="5055"/>
        <w:gridCol w:w="5055"/>
      </w:tblGrid>
      <w:tr>
        <w:trPr>
          <w:tblHeader w:val="true"/>
        </w:trPr>
        <w:tc>
          <w:tcPr>
            <w:tcW w:type="dxa" w:w="223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Role</w:t>
            </w:r>
          </w:p>
        </w:tc>
        <w:tc>
          <w:tcPr>
            <w:tcW w:type="dxa" w:w="33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Data scope</w:t>
            </w:r>
          </w:p>
        </w:tc>
        <w:tc>
          <w:tcPr>
            <w:tcW w:type="dxa" w:w="87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Access condition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Administrator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System governance only</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Maintains identity, configuration, master data, integration controls and audit evidence. No customer, pipeline, inventory, Deal, finance, approval or leave-administration records.</w:t>
            </w:r>
          </w:p>
        </w:tc>
      </w:tr>
      <w:tr>
        <w:tc>
          <w:tcPr>
            <w:tcW w:type="dxa" w:w="223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 Assistant</w:t>
            </w:r>
          </w:p>
        </w:tc>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Delegated administration and leave administration</w:t>
            </w:r>
          </w:p>
        </w:tc>
        <w:tc>
          <w:tcPr>
            <w:tcW w:type="dxa" w:w="87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Supports approved administrative tasks and administers leave policy, employment configuration, the leave register and leave decisions. Cannot activate other high-risk settings or change Administrator or Director authority.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Managing Director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Company-wide business scope</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Reads company-wide business records and decides only the approval types assigned to the Managing Director. Cannot administer users, system security or configuration versions.</w:t>
            </w:r>
          </w:p>
        </w:tc>
      </w:tr>
      <w:tr>
        <w:tc>
          <w:tcPr>
            <w:tcW w:type="dxa" w:w="223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Manager</w:t>
            </w:r>
          </w:p>
        </w:tc>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Managed teams and assigned governance</w:t>
            </w:r>
          </w:p>
        </w:tc>
        <w:tc>
          <w:tcPr>
            <w:tcW w:type="dxa" w:w="87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Reads and operates records owned by managed teams. Can reassign and approve only where the workflow assigns Manager authority.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Sales Agent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Own and assigned customer work</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Operates assigned Leads and owned Opportunities, participates in Deals, and uses permitted inventory. Cannot approve own proposals, Deals or payouts.</w:t>
            </w:r>
          </w:p>
        </w:tc>
      </w:tr>
      <w:tr>
        <w:tc>
          <w:tcPr>
            <w:tcW w:type="dxa" w:w="223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Listing Executive</w:t>
            </w:r>
          </w:p>
        </w:tc>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Inventory and participating Opportunities</w:t>
            </w:r>
          </w:p>
        </w:tc>
        <w:tc>
          <w:tcPr>
            <w:tcW w:type="dxa" w:w="87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Maintains permitted inventory and sees an Opportunity only when recorded as an active participant. No general Lead or finance access.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Accountant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Finance workspaces and read-only context</w:t>
            </w:r>
          </w:p>
        </w:tc>
        <w:tc>
          <w:tcPr>
            <w:tcW w:type="dxa" w:w="87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Uses Dashboard, read-only Opportunities, My Leave, Receivables and Commission Payments. Cannot edit customer, Lead, inventory or Deal records.</w:t>
            </w:r>
          </w:p>
        </w:tc>
      </w:tr>
    </w:tbl>
    <w:p>
      <w:pPr>
        <w:spacing w:after="20"/>
      </w:pPr>
    </w:p>
    <w:p>
      <w:r>
        <w:br w:type="page"/>
      </w:r>
    </w:p>
    <w:p>
      <w:pPr>
        <w:pStyle w:val="Heading1"/>
        <w:keepNext/>
        <w:spacing w:before="240" w:after="100"/>
      </w:pPr>
      <w:r>
        <w:t>Key workflow ownership</w:t>
      </w:r>
    </w:p>
    <w:tbl>
      <w:tblPr>
        <w:tblW w:type="auto" w:w="0"/>
        <w:jc w:val="center"/>
        <w:tblLayout w:type="fixed"/>
        <w:tblLook w:firstColumn="1" w:firstRow="1" w:lastColumn="0" w:lastRow="0" w:noHBand="0" w:noVBand="1" w:val="04A0"/>
      </w:tblPr>
      <w:tblGrid>
        <w:gridCol w:w="5055"/>
        <w:gridCol w:w="5055"/>
        <w:gridCol w:w="5055"/>
      </w:tblGrid>
      <w:tr>
        <w:trPr>
          <w:tblHeader w:val="true"/>
        </w:trPr>
        <w:tc>
          <w:tcPr>
            <w:tcW w:type="dxa" w:w="432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Workflow</w:t>
            </w:r>
          </w:p>
        </w:tc>
        <w:tc>
          <w:tcPr>
            <w:tcW w:type="dxa" w:w="3096"/>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Responsible role</w:t>
            </w:r>
          </w:p>
        </w:tc>
        <w:tc>
          <w:tcPr>
            <w:tcW w:type="dxa" w:w="6983"/>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Condition</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Create and work a Lead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Sales Agent or Manager</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Only within assignment and team scope.</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Create and progress an Opportunity</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Sales Agent or Manager</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Listing Executive is participant-only; Accountant is read-only.</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Approve a proposal or Deal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Manager or Managing Director</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The workflow decides which role is required. The submitter cannot gain approval authority from Administrator status.</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Create invoice and record receipt</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Accountant</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Managing Director may view; Administrator has no transaction access.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Prepare commission-payment batch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Accountant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Based on cleared company receipts and the active payout policy.</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Approve commission-payment batch</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Managing Director</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The Managing Director may select or deselect individual rows in the consolidated batch.</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Record approved payout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Accountant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Recorded at batch level with detail available for review.</w:t>
            </w:r>
          </w:p>
        </w:tc>
      </w:tr>
      <w:tr>
        <w:tc>
          <w:tcPr>
            <w:tcW w:type="dxa" w:w="432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Maintain invoice legal VAT and bank details</w:t>
            </w:r>
          </w:p>
        </w:tc>
        <w:tc>
          <w:tcPr>
            <w:tcW w:type="dxa" w:w="309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w:t>
            </w:r>
          </w:p>
        </w:tc>
        <w:tc>
          <w:tcPr>
            <w:tcW w:type="dxa" w:w="6983"/>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Configuration only. Accountant consumes the active version when generating an invoice.</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Maintain payout calculation method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Configuration only. Managing Director approves actual payout batches, not policy versions.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0F5"/>
          </w:tcPr>
          <w:p>
            <w:pPr>
              <w:spacing w:after="0"/>
              <w:jc w:val="left"/>
            </w:pPr>
            <w:r>
              <w:rPr>
                <w:rFonts w:ascii="Arial" w:hAnsi="Arial"/>
                <w:b/>
                <w:color w:val="333333"/>
                <w:sz w:val="16"/>
              </w:rPr>
              <w:t>Maintain leave policy and employment configuration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0F5"/>
          </w:tcPr>
          <w:p>
            <w:pPr>
              <w:spacing w:after="0"/>
              <w:jc w:val="center"/>
            </w:pPr>
            <w:r>
              <w:rPr>
                <w:rFonts w:ascii="Arial" w:hAnsi="Arial"/>
                <w:b w:val="0"/>
                <w:color w:val="333333"/>
                <w:sz w:val="16"/>
              </w:rPr>
              <w:t>Admin Assistant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EAF0F5"/>
          </w:tcPr>
          <w:p>
            <w:pPr>
              <w:spacing w:after="0"/>
              <w:jc w:val="center"/>
            </w:pPr>
            <w:r>
              <w:rPr>
                <w:rFonts w:ascii="Arial" w:hAnsi="Arial"/>
                <w:b w:val="0"/>
                <w:color w:val="333333"/>
                <w:sz w:val="16"/>
              </w:rPr>
              <w:t>The Administrator has no leave-administration access.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spacing w:after="0"/>
              <w:jc w:val="left"/>
            </w:pPr>
            <w:r>
              <w:rPr>
                <w:rFonts w:ascii="Arial" w:hAnsi="Arial"/>
                <w:b/>
                <w:color w:val="333333"/>
                <w:sz w:val="16"/>
              </w:rPr>
              <w:t>Administer leave register and decide leave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spacing w:after="0"/>
              <w:jc w:val="center"/>
            </w:pPr>
            <w:r>
              <w:rPr>
                <w:rFonts w:ascii="Arial" w:hAnsi="Arial"/>
                <w:b w:val="0"/>
                <w:color w:val="333333"/>
                <w:sz w:val="16"/>
              </w:rPr>
              <w:t>Admin Assistant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spacing w:after="0"/>
              <w:jc w:val="center"/>
            </w:pPr>
            <w:r>
              <w:rPr>
                <w:rFonts w:ascii="Arial" w:hAnsi="Arial"/>
                <w:b w:val="0"/>
                <w:color w:val="333333"/>
                <w:sz w:val="16"/>
              </w:rPr>
              <w:t>Temporary operating model; no separate HR role is created.</w:t>
            </w:r>
          </w:p>
        </w:tc>
      </w:tr>
    </w:tbl>
    <w:p>
      <w:pPr>
        <w:spacing w:after="20"/>
      </w:pPr>
    </w:p>
    <w:p>
      <w:r>
        <w:br w:type="page"/>
      </w:r>
    </w:p>
    <w:p>
      <w:pPr>
        <w:pStyle w:val="Heading1"/>
        <w:keepNext/>
        <w:spacing w:before="240" w:after="100"/>
      </w:pPr>
      <w:r>
        <w:t>Administrator access after the proposed change</w:t>
      </w:r>
    </w:p>
    <w:tbl>
      <w:tblPr>
        <w:tblW w:type="auto" w:w="0"/>
        <w:jc w:val="center"/>
        <w:tblLayout w:type="fixed"/>
        <w:tblLook w:firstColumn="1" w:firstRow="1" w:lastColumn="0" w:lastRow="0" w:noHBand="0" w:noVBand="1" w:val="04A0"/>
      </w:tblPr>
      <w:tblGrid>
        <w:gridCol w:w="5055"/>
        <w:gridCol w:w="5055"/>
        <w:gridCol w:w="5055"/>
      </w:tblGrid>
      <w:tr>
        <w:trPr>
          <w:tblHeader w:val="true"/>
        </w:trPr>
        <w:tc>
          <w:tcPr>
            <w:tcW w:type="dxa" w:w="338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Area</w:t>
            </w:r>
          </w:p>
        </w:tc>
        <w:tc>
          <w:tcPr>
            <w:tcW w:type="dxa" w:w="554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 may see or do</w:t>
            </w:r>
          </w:p>
        </w:tc>
        <w:tc>
          <w:tcPr>
            <w:tcW w:type="dxa" w:w="5688"/>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Administrator must not see or do</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Administrator</w:t>
              <w:br/>
              <w:t>dashboard</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System status, configuration requiring attention, integration failures, pending access requests and audit exceptions.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No business KPIs, customer names, Deal values, invoice amounts, receivable balances or payout queues.</w:t>
            </w:r>
          </w:p>
        </w:tc>
      </w:tr>
      <w:tr>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Administration</w:t>
            </w:r>
          </w:p>
        </w:tc>
        <w:tc>
          <w:tcPr>
            <w:tcW w:type="dxa" w:w="554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Users, invitations, roles, account status, teams, organization settings, controlled values, integration mappings and approved configuration modules.</w:t>
            </w:r>
          </w:p>
        </w:tc>
        <w:tc>
          <w:tcPr>
            <w:tcW w:type="dxa" w:w="568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No direct links into customer, Lead, inventory, Opportunity, receivable or commission-payment records.</w:t>
            </w:r>
          </w:p>
        </w:tc>
      </w:tr>
      <w:t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Operational impact checks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Counts and non-sensitive warnings needed before suspending a user or changing configuration.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No drill-down to the affected business records.</w:t>
            </w:r>
          </w:p>
        </w:tc>
      </w:tr>
      <w:tr>
        <w:tc>
          <w:tcPr>
            <w:tcW w:type="dxa" w:w="338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Audit</w:t>
            </w:r>
          </w:p>
        </w:tc>
        <w:tc>
          <w:tcPr>
            <w:tcW w:type="dxa" w:w="554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Security and configuration audit events required to establish who changed what and when.</w:t>
            </w:r>
          </w:p>
        </w:tc>
        <w:tc>
          <w:tcPr>
            <w:tcW w:type="dxa" w:w="568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Business activity content is minimized unless required to identify the governed change.</w:t>
            </w:r>
          </w:p>
        </w:tc>
      </w:tr>
    </w:tbl>
    <w:p>
      <w:pPr>
        <w:spacing w:after="20"/>
      </w:pPr>
    </w:p>
    <w:p>
      <w:pPr>
        <w:pStyle w:val="Heading1"/>
        <w:keepNext/>
        <w:spacing w:before="240" w:after="100"/>
      </w:pPr>
      <w:r>
        <w:t>Technical enforcement conditions</w:t>
      </w:r>
    </w:p>
    <w:p>
      <w:pPr>
        <w:pStyle w:val="ListBullet"/>
        <w:keepLines/>
        <w:spacing w:after="40"/>
      </w:pPr>
      <w:r>
        <w:t>Navigation: prohibited workspaces are not rendered for the Administrator.</w:t>
      </w:r>
    </w:p>
    <w:p>
      <w:pPr>
        <w:pStyle w:val="ListBullet"/>
        <w:keepLines/>
        <w:spacing w:after="40"/>
      </w:pPr>
      <w:r>
        <w:t>Dashboard: an Administrator governance dashboard replaces the current Managing Director dashboard mapping.</w:t>
      </w:r>
    </w:p>
    <w:p>
      <w:pPr>
        <w:pStyle w:val="ListBullet"/>
        <w:keepLines/>
        <w:spacing w:after="40"/>
      </w:pPr>
      <w:r>
        <w:t>API: prohibited business reads and writes return HTTP 403 even when the URL is entered directly or called outside the user interface.</w:t>
      </w:r>
    </w:p>
    <w:p>
      <w:pPr>
        <w:pStyle w:val="ListBullet"/>
        <w:keepLines/>
        <w:spacing w:after="40"/>
      </w:pPr>
      <w:r>
        <w:t>Queries: Administrator status no longer grants company-wide customer, Lead, Opportunity, inventory or finance scope.</w:t>
      </w:r>
    </w:p>
    <w:p>
      <w:pPr>
        <w:pStyle w:val="ListBullet"/>
        <w:keepLines/>
        <w:spacing w:after="40"/>
      </w:pPr>
      <w:r>
        <w:t>Mixed modules: configuration endpoints remain available to the Administrator, while transaction and approval endpoints in the same module remain blocked.</w:t>
      </w:r>
    </w:p>
    <w:p>
      <w:pPr>
        <w:pStyle w:val="ListBullet"/>
        <w:keepLines/>
        <w:spacing w:after="40"/>
      </w:pPr>
      <w:r>
        <w:t>Auditability: consequential configuration and access changes continue to record actor, time, target, action and reason.</w:t>
      </w:r>
    </w:p>
    <w:p>
      <w:pPr>
        <w:pStyle w:val="ListBullet"/>
        <w:keepLines/>
        <w:spacing w:after="40"/>
      </w:pPr>
      <w:r>
        <w:t>Regression: Managing Director, Manager, Sales Agent, Listing Executive, Accountant and Admin Assistant behavior must remain unchanged except where this document expressly states otherwise.</w:t>
      </w:r>
    </w:p>
    <w:p>
      <w:r>
        <w:br w:type="page"/>
      </w:r>
    </w:p>
    <w:p>
      <w:pPr>
        <w:pStyle w:val="Heading1"/>
        <w:keepNext/>
        <w:spacing w:before="240" w:after="100"/>
      </w:pPr>
      <w:r>
        <w:t>Acceptance tests required before CRM Test deployment</w:t>
      </w:r>
    </w:p>
    <w:tbl>
      <w:tblPr>
        <w:tblW w:type="auto" w:w="0"/>
        <w:jc w:val="center"/>
        <w:tblLayout w:type="fixed"/>
        <w:tblLook w:firstColumn="1" w:firstRow="1" w:lastColumn="0" w:lastRow="0" w:noHBand="0" w:noVBand="1" w:val="04A0"/>
      </w:tblPr>
      <w:tblGrid>
        <w:gridCol w:w="7582"/>
        <w:gridCol w:w="7582"/>
      </w:tblGrid>
      <w:tr>
        <w:trPr>
          <w:tblHeader w:val="true"/>
        </w:trPr>
        <w:tc>
          <w:tcPr>
            <w:tcW w:type="dxa" w:w="4464"/>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Test</w:t>
            </w:r>
          </w:p>
        </w:tc>
        <w:tc>
          <w:tcPr>
            <w:tcW w:type="dxa" w:w="1008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Expected result</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Administrator navigation</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Only governance and configuration workspaces are shown.</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Administrator dashboard</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No Managing Director label, business KPI or business queue is loaded.</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Direct API request</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Representative customer, Lead, inventory, Opportunity, receivable and payout endpoints return 403.</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Configuration access</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Organization legal VAT and bank settings, payout policy, controlled values and integration mappings remain maintainable.</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Managing Director regression</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Company-wide business dashboard and assigned approvals remain available; Administration remains unavailable.</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Accountant regression</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Dashboard, read-only Opportunities, My Leave, Receivables and Commission Payments continue to work.</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Other role regression</w:t>
            </w:r>
          </w:p>
        </w:tc>
        <w:tc>
          <w:tcPr>
            <w:tcW w:type="dxa" w:w="10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Manager, Sales Agent, Listing Executive and Admin Assistant retain only the documented scope.</w:t>
            </w:r>
          </w:p>
        </w:tc>
      </w:tr>
      <w:tr>
        <w:tc>
          <w:tcPr>
            <w:tcW w:type="dxa" w:w="4464"/>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7"/>
              </w:rPr>
              <w:t>Audit regression</w:t>
            </w:r>
          </w:p>
        </w:tc>
        <w:tc>
          <w:tcPr>
            <w:tcW w:type="dxa" w:w="1008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7"/>
              </w:rPr>
              <w:t>Access and configuration changes remain attributable and reasoned.</w:t>
            </w:r>
          </w:p>
        </w:tc>
      </w:tr>
    </w:tbl>
    <w:p>
      <w:pPr>
        <w:spacing w:after="20"/>
      </w:pPr>
    </w:p>
    <w:p>
      <w:r>
        <w:br w:type="page"/>
      </w:r>
    </w:p>
    <w:p>
      <w:pPr>
        <w:pStyle w:val="Heading1"/>
        <w:keepNext/>
        <w:spacing w:before="240" w:after="100"/>
      </w:pPr>
      <w:r>
        <w:t>Assumptions requiring confirmation</w:t>
      </w:r>
    </w:p>
    <w:tbl>
      <w:tblPr>
        <w:tblW w:type="auto" w:w="0"/>
        <w:jc w:val="center"/>
        <w:tblLayout w:type="fixed"/>
        <w:tblLook w:firstColumn="1" w:firstRow="1" w:lastColumn="0" w:lastRow="0" w:noHBand="0" w:noVBand="1" w:val="04A0"/>
      </w:tblPr>
      <w:tblGrid>
        <w:gridCol w:w="3791"/>
        <w:gridCol w:w="3791"/>
        <w:gridCol w:w="3791"/>
        <w:gridCol w:w="3791"/>
      </w:tblGrid>
      <w:tr>
        <w:trPr>
          <w:tblHeader w:val="true"/>
        </w:trPr>
        <w:tc>
          <w:tcPr>
            <w:tcW w:type="dxa" w:w="648"/>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left"/>
            </w:pPr>
            <w:r>
              <w:rPr>
                <w:rFonts w:ascii="Arial" w:hAnsi="Arial"/>
                <w:b/>
                <w:color w:val="FFFFFF"/>
                <w:sz w:val="16"/>
              </w:rPr>
              <w:t>No</w:t>
            </w:r>
          </w:p>
        </w:tc>
        <w:tc>
          <w:tcPr>
            <w:tcW w:type="dxa" w:w="9792"/>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Assumption</w:t>
            </w:r>
          </w:p>
        </w:tc>
        <w:tc>
          <w:tcPr>
            <w:tcW w:type="dxa" w:w="2376"/>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Basis</w:t>
            </w:r>
          </w:p>
        </w:tc>
        <w:tc>
          <w:tcPr>
            <w:tcW w:type="dxa" w:w="1800"/>
            <w:shd w:fill="172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00" w:type="dxa"/>
              <w:bottom w:w="110" w:type="dxa"/>
              <w:end w:w="100" w:type="dxa"/>
            </w:tcMar>
            <w:vAlign w:val="center"/>
          </w:tcPr>
          <w:p>
            <w:pPr>
              <w:spacing w:after="0"/>
              <w:jc w:val="center"/>
            </w:pPr>
            <w:r>
              <w:rPr>
                <w:rFonts w:ascii="Arial" w:hAnsi="Arial"/>
                <w:b/>
                <w:color w:val="FFFFFF"/>
                <w:sz w:val="16"/>
              </w:rPr>
              <w:t>Required action</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1</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 has no routine business-record access, including read-only access.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Proposed assumption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Confirm or amend</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2</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Managing Director remains a business role and does not receive system-administration authority.</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Proposed assumption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Confirm or amend</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3</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 Assistant may help prepare configuration but may not activate high-risk configuration or administer Administrator and Director authority.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Proposed assumption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Confirm or amend</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4</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 Assistant maintains leave policy and employment configuration, opens the leave register and decides leave. Administrator has no leave-administration access. No HR role is created at this stage.</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Confirmed decision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Implement in DEV205</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5</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Administrator may see record counts needed for safe user suspension or configuration impact checks, but not names, values or record details.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Proposed assumption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Confirm or amend</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6</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There is no standing emergency or break-glass business access for Administrator in DEV205.</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Proposed assumption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Confirm or amend</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7</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One Administrator may currently create, approve and activate a configuration version. Dual control is not added unless separately approved.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Current behavior retained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Decision recommended</w:t>
            </w:r>
          </w:p>
        </w:tc>
      </w:tr>
      <w:tr>
        <w:tc>
          <w:tcPr>
            <w:tcW w:type="dxa" w:w="648"/>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b/>
                <w:color w:val="333333"/>
                <w:sz w:val="16"/>
              </w:rPr>
              <w:t>8</w:t>
            </w:r>
          </w:p>
        </w:tc>
        <w:tc>
          <w:tcPr>
            <w:tcW w:type="dxa" w:w="9792"/>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An individual who needs both administration and business authority should use separate named accounts or a separately governed temporary-role process, not a combined permanent role.</w:t>
            </w:r>
          </w:p>
        </w:tc>
        <w:tc>
          <w:tcPr>
            <w:tcW w:type="dxa" w:w="2376"/>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Security recommendation</w:t>
            </w:r>
          </w:p>
        </w:tc>
        <w:tc>
          <w:tcPr>
            <w:tcW w:type="dxa" w:w="1800"/>
            <w:shd w:fill="EAF0F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b w:val="0"/>
                <w:color w:val="333333"/>
                <w:sz w:val="16"/>
              </w:rPr>
              <w:t>Decision recommended</w:t>
            </w:r>
          </w:p>
        </w:tc>
      </w:tr>
    </w:tbl>
    <w:p>
      <w:pPr>
        <w:spacing w:after="20"/>
      </w:pPr>
    </w:p>
    <w:p>
      <w:pPr>
        <w:pStyle w:val="Heading1"/>
        <w:keepNext/>
        <w:spacing w:before="240" w:after="100"/>
      </w:pPr>
      <w:r>
        <w:t>Implementation boundary</w:t>
      </w:r>
    </w:p>
    <w:p>
      <w:r>
        <w:t>After confirmation, DEV205 should change role checks, navigation, dashboard selection, query scope and API middleware together. It should not change business calculations, ownership rules, payout formulas, invoice logic, data, schema or production configuration. No database migration is expected. CRM Test deployment will still require a dated source package, checksum, rollback package, focused authorization tests and explicit deployment confirmation.</w:t>
      </w:r>
    </w:p>
    <w:p>
      <w:pPr>
        <w:keepLines w:val="0"/>
        <w:spacing w:before="80" w:after="0"/>
      </w:pPr>
      <w:r>
        <w:rPr>
          <w:b/>
          <w:sz w:val="17"/>
        </w:rPr>
        <w:t xml:space="preserve">Source basis  </w:t>
      </w:r>
      <w:r>
        <w:rPr>
          <w:sz w:val="17"/>
        </w:rPr>
        <w:t>CRM Test 2.1.0-dev.204; access logic inspected 17 September 2026; Git commit 1af87ba994599d8de1bab6d37b2005e609d449fe; existing DEV204 working-tree changes preserved.</w:t>
      </w:r>
    </w:p>
    <w:sectPr w:rsidR="00FC693F" w:rsidRPr="0006063C" w:rsidSect="00034616">
      <w:footerReference w:type="default" r:id="rId9"/>
      <w:pgSz w:w="16834" w:h="11909" w:orient="landscape"/>
      <w:pgMar w:top="835"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color w:val="666666"/>
        <w:sz w:val="16"/>
      </w:rPr>
      <w:t>NYSA CORE  |  Role Access Conditions  |  DEV205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