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NYSA CORE Role Access Conditions As Built</w:t>
      </w:r>
    </w:p>
    <w:p>
      <w:pPr>
        <w:spacing w:after="200"/>
      </w:pPr>
      <w:r>
        <w:t>DEV205 deployed model and DEV206 correction candidate  |  Revised 19 September 2026  |  As built control document</w:t>
      </w:r>
    </w:p>
    <w:p>
      <w:r>
        <w:rPr>
          <w:rFonts w:ascii="Arial" w:hAnsi="Arial"/>
          <w:b/>
          <w:color w:val="172536"/>
          <w:sz w:val="20"/>
        </w:rPr>
        <w:t xml:space="preserve">Main conclusion  </w:t>
      </w:r>
      <w:r>
        <w:t>Administrator and Managing Director must remain separate roles. The Administrator should maintain system configuration and access controls, but should not see customer, lead, inventory, opportunity, finance, commission-payment, or approval workspaces. The Managing Director should retain company-wide business oversight and approval authority.</w:t>
      </w:r>
    </w:p>
    <w:p>
      <w:r>
        <w:t>Change status  DEV205 is deployed to CRM Test. DEV206 is a local correction candidate addressing Administrator configuration references and leave terminology. Production is unchanged. No deployment may be requested until the control-by-control comparison and focused regression evidence are complete.</w:t>
      </w:r>
    </w:p>
    <w:p>
      <w:pPr>
        <w:pStyle w:val="Heading1"/>
        <w:keepNext/>
        <w:spacing w:before="240" w:after="100"/>
      </w:pPr>
      <w:r>
        <w:t>Why the change is required</w:t>
      </w:r>
    </w:p>
    <w:p>
      <w:pPr>
        <w:pStyle w:val="ListBullet"/>
        <w:keepLines/>
        <w:spacing w:after="40"/>
      </w:pPr>
      <w:r>
        <w:t>The current dashboard logic groups the Administrator with the Managing Director and labels the resulting page as a Managing Director workspace.</w:t>
      </w:r>
    </w:p>
    <w:p>
      <w:pPr>
        <w:pStyle w:val="ListBullet"/>
        <w:keepLines/>
        <w:spacing w:after="40"/>
      </w:pPr>
      <w:r>
        <w:t>The current sidebar exposes business modules to the Administrator, including customers, leads, inventory, opportunities, marketing compliance, assignment queues, receivables and related dashboards.</w:t>
      </w:r>
    </w:p>
    <w:p>
      <w:pPr>
        <w:pStyle w:val="ListBullet"/>
        <w:keepLines/>
        <w:spacing w:after="40"/>
      </w:pPr>
      <w:r>
        <w:t>Several current server-side permission helpers also treat the Administrator as a company-wide business reader or operational manager. Hiding menu items alone would therefore be insufficient.</w:t>
      </w:r>
    </w:p>
    <w:p>
      <w:pPr>
        <w:pStyle w:val="ListBullet"/>
        <w:keepLines/>
        <w:spacing w:after="40"/>
      </w:pPr>
      <w:r>
        <w:t>The proposed model applies least privilege in both the user interface and the API. Direct calls to prohibited business endpoints must return a permission error.</w:t>
      </w:r>
    </w:p>
    <w:p>
      <w:pPr>
        <w:pStyle w:val="Heading1"/>
        <w:keepNext/>
        <w:spacing w:before="240" w:after="100"/>
      </w:pPr>
      <w:r>
        <w:t>Access notation</w:t>
      </w:r>
    </w:p>
    <w:tbl>
      <w:tblPr>
        <w:tblW w:type="auto" w:w="0"/>
        <w:jc w:val="center"/>
        <w:tblLayout w:type="fixed"/>
        <w:tblLook w:firstColumn="1" w:firstRow="1" w:lastColumn="0" w:lastRow="0" w:noHBand="0" w:noVBand="1" w:val="04A0"/>
      </w:tblPr>
      <w:tblGrid>
        <w:gridCol w:w="7582"/>
        <w:gridCol w:w="7582"/>
      </w:tblGrid>
      <w:tr>
        <w:trPr>
          <w:tblHeader w:val="true"/>
        </w:trPr>
        <w:tc>
          <w:tcPr>
            <w:tcW w:type="dxa" w:w="194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Condition</w:t>
            </w:r>
          </w:p>
        </w:tc>
        <w:tc>
          <w:tcPr>
            <w:tcW w:type="dxa" w:w="12527"/>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Meaning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8"/>
              </w:rPr>
              <w:t>Allowed</w:t>
            </w:r>
          </w:p>
        </w:tc>
        <w:tc>
          <w:tcPr>
            <w:tcW w:type="dxa" w:w="1252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8"/>
              </w:rPr>
              <w:t>The role may open and perform the stated function within its data scope.</w:t>
            </w:r>
          </w:p>
        </w:tc>
      </w:tr>
      <w:tr>
        <w:tc>
          <w:tcPr>
            <w:tcW w:type="dxa" w:w="194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8"/>
              </w:rPr>
              <w:t>Limited</w:t>
            </w:r>
          </w:p>
        </w:tc>
        <w:tc>
          <w:tcPr>
            <w:tcW w:type="dxa" w:w="12527"/>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8"/>
              </w:rPr>
              <w:t>The role has a defined read-only, assigned-record, team, configuration-only or approval-only scope.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8"/>
              </w:rPr>
              <w:t>No access</w:t>
            </w:r>
          </w:p>
        </w:tc>
        <w:tc>
          <w:tcPr>
            <w:tcW w:type="dxa" w:w="1252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8"/>
              </w:rPr>
              <w:t>The function is hidden from navigation and rejected by the API.</w:t>
            </w:r>
          </w:p>
        </w:tc>
      </w:tr>
    </w:tbl>
    <w:p>
      <w:pPr>
        <w:spacing w:after="20"/>
      </w:pPr>
    </w:p>
    <w:p>
      <w:r>
        <w:br w:type="page"/>
      </w:r>
    </w:p>
    <w:p>
      <w:pPr>
        <w:pStyle w:val="Heading1"/>
        <w:keepNext/>
        <w:spacing w:before="240" w:after="100"/>
      </w:pPr>
      <w:r>
        <w:t>Proposed business access matrix</w:t>
      </w:r>
    </w:p>
    <w:p>
      <w:pPr>
        <w:keepNext/>
      </w:pPr>
      <w:r>
        <w:t>This matrix covers day-to-day business records and decisions. “Limited” is explained in the role scope section.</w:t>
      </w:r>
    </w:p>
    <w:tbl>
      <w:tblPr>
        <w:tblW w:type="auto" w:w="0"/>
        <w:jc w:val="center"/>
        <w:tblLayout w:type="fixed"/>
        <w:tblLook w:firstColumn="1" w:firstRow="1" w:lastColumn="0" w:lastRow="0" w:noHBand="0" w:noVBand="1" w:val="04A0"/>
      </w:tblPr>
      <w:tblGrid>
        <w:gridCol w:w="1895"/>
        <w:gridCol w:w="1895"/>
        <w:gridCol w:w="1895"/>
        <w:gridCol w:w="1895"/>
        <w:gridCol w:w="1895"/>
        <w:gridCol w:w="1895"/>
        <w:gridCol w:w="1895"/>
        <w:gridCol w:w="1895"/>
      </w:tblGrid>
      <w:tr>
        <w:trPr>
          <w:tblHeader w:val="true"/>
        </w:trPr>
        <w:tc>
          <w:tcPr>
            <w:tcW w:type="dxa" w:w="32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Business function</w:t>
            </w:r>
          </w:p>
        </w:tc>
        <w:tc>
          <w:tcPr>
            <w:tcW w:type="dxa" w:w="1555"/>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w:t>
            </w:r>
          </w:p>
        </w:tc>
        <w:tc>
          <w:tcPr>
            <w:tcW w:type="dxa" w:w="1555"/>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 Assistant</w:t>
            </w:r>
          </w:p>
        </w:tc>
        <w:tc>
          <w:tcPr>
            <w:tcW w:type="dxa" w:w="16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Managing Director</w:t>
            </w:r>
          </w:p>
        </w:tc>
        <w:tc>
          <w:tcPr>
            <w:tcW w:type="dxa" w:w="14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Manager</w:t>
            </w:r>
          </w:p>
        </w:tc>
        <w:tc>
          <w:tcPr>
            <w:tcW w:type="dxa" w:w="14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Sales Agent</w:t>
            </w:r>
          </w:p>
        </w:tc>
        <w:tc>
          <w:tcPr>
            <w:tcW w:type="dxa" w:w="161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Listing Executive</w:t>
            </w:r>
          </w:p>
        </w:tc>
        <w:tc>
          <w:tcPr>
            <w:tcW w:type="dxa" w:w="14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Accountant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Executive business dashboard</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Customers and KYC records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Leads and assignment</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Inventory and listings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External portal listings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Opportunities and Deals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only</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Proposal and Deal approvals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Marketing compliance operations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Receivables and invoice records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Commission-payment preparation</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View and approve</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Prepare and pay</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Leave application and own balance</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Allowed</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Leave approval</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Allowed</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bl>
    <w:p>
      <w:pPr>
        <w:spacing w:after="20"/>
      </w:pPr>
    </w:p>
    <w:p>
      <w:r>
        <w:rPr>
          <w:rFonts w:ascii="Arial" w:hAnsi="Arial"/>
          <w:b/>
          <w:color w:val="172536"/>
          <w:sz w:val="18"/>
        </w:rPr>
        <w:t xml:space="preserve">Important  </w:t>
      </w:r>
      <w:r>
        <w:t>The Administrator may see a count of records affected by a user-access or configuration change when this is necessary to avoid unsafe maintenance, but may not open the underlying business records from that summary.</w:t>
      </w:r>
    </w:p>
    <w:p>
      <w:r>
        <w:br w:type="page"/>
      </w:r>
    </w:p>
    <w:p>
      <w:pPr>
        <w:pStyle w:val="Heading1"/>
        <w:keepNext/>
        <w:spacing w:before="240" w:after="100"/>
      </w:pPr>
      <w:r>
        <w:t>Proposed governance and configuration matrix</w:t>
      </w:r>
    </w:p>
    <w:tbl>
      <w:tblPr>
        <w:tblW w:type="auto" w:w="0"/>
        <w:jc w:val="center"/>
        <w:tblLayout w:type="fixed"/>
        <w:tblLook w:firstColumn="1" w:firstRow="1" w:lastColumn="0" w:lastRow="0" w:noHBand="0" w:noVBand="1" w:val="04A0"/>
      </w:tblPr>
      <w:tblGrid>
        <w:gridCol w:w="1895"/>
        <w:gridCol w:w="1895"/>
        <w:gridCol w:w="1895"/>
        <w:gridCol w:w="1895"/>
        <w:gridCol w:w="1895"/>
        <w:gridCol w:w="1895"/>
        <w:gridCol w:w="1895"/>
        <w:gridCol w:w="1895"/>
      </w:tblGrid>
      <w:tr>
        <w:trPr>
          <w:tblHeader w:val="true"/>
        </w:trPr>
        <w:tc>
          <w:tcPr>
            <w:tcW w:type="dxa" w:w="3311"/>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Governance function</w:t>
            </w:r>
          </w:p>
        </w:tc>
        <w:tc>
          <w:tcPr>
            <w:tcW w:type="dxa" w:w="161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w:t>
            </w:r>
          </w:p>
        </w:tc>
        <w:tc>
          <w:tcPr>
            <w:tcW w:type="dxa" w:w="161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 Assistant</w:t>
            </w:r>
          </w:p>
        </w:tc>
        <w:tc>
          <w:tcPr>
            <w:tcW w:type="dxa" w:w="1699"/>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Managing Director</w:t>
            </w:r>
          </w:p>
        </w:tc>
        <w:tc>
          <w:tcPr>
            <w:tcW w:type="dxa" w:w="14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Manager</w:t>
            </w:r>
          </w:p>
        </w:tc>
        <w:tc>
          <w:tcPr>
            <w:tcW w:type="dxa" w:w="14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Sales Agent</w:t>
            </w:r>
          </w:p>
        </w:tc>
        <w:tc>
          <w:tcPr>
            <w:tcW w:type="dxa" w:w="15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Listing Executive</w:t>
            </w:r>
          </w:p>
        </w:tc>
        <w:tc>
          <w:tcPr>
            <w:tcW w:type="dxa" w:w="14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Accountant</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Users, roles, status and invitations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Teams and reporting structure</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only</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only</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Audit log and security events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Organization legal, VAT and bank details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Payout policy, tiers and effective date</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Controlled values and master data</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Provider mappings and integration setup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Integration health and failure monitoring</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Summary only</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Listing and media approval policy settings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Leave policy and employment configuration</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Maintain and administer</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Deployment and environment status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No access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bl>
    <w:p>
      <w:pPr>
        <w:spacing w:after="20"/>
      </w:pPr>
    </w:p>
    <w:p>
      <w:r>
        <w:rPr>
          <w:rFonts w:ascii="Arial" w:hAnsi="Arial"/>
          <w:b/>
          <w:color w:val="172536"/>
          <w:sz w:val="18"/>
        </w:rPr>
        <w:t xml:space="preserve">Separation principle  </w:t>
      </w:r>
      <w:r>
        <w:t>Configuration access does not grant access to the business records produced under that configuration. For example, an Administrator may activate the payout policy but may not prepare, approve or record an Agent payout.</w:t>
      </w:r>
    </w:p>
    <w:p>
      <w:r>
        <w:br w:type="page"/>
      </w:r>
    </w:p>
    <w:p>
      <w:pPr>
        <w:pStyle w:val="Heading1"/>
        <w:keepNext/>
        <w:spacing w:before="240" w:after="100"/>
      </w:pPr>
      <w:r>
        <w:t>Role conditions and data scope</w:t>
      </w:r>
    </w:p>
    <w:tbl>
      <w:tblPr>
        <w:tblW w:type="auto" w:w="0"/>
        <w:jc w:val="center"/>
        <w:tblLayout w:type="fixed"/>
        <w:tblLook w:firstColumn="1" w:firstRow="1" w:lastColumn="0" w:lastRow="0" w:noHBand="0" w:noVBand="1" w:val="04A0"/>
      </w:tblPr>
      <w:tblGrid>
        <w:gridCol w:w="5055"/>
        <w:gridCol w:w="5055"/>
        <w:gridCol w:w="5055"/>
      </w:tblGrid>
      <w:tr>
        <w:trPr>
          <w:tblHeader w:val="true"/>
        </w:trPr>
        <w:tc>
          <w:tcPr>
            <w:tcW w:type="dxa" w:w="223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Role</w:t>
            </w:r>
          </w:p>
        </w:tc>
        <w:tc>
          <w:tcPr>
            <w:tcW w:type="dxa" w:w="33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Data scope</w:t>
            </w:r>
          </w:p>
        </w:tc>
        <w:tc>
          <w:tcPr>
            <w:tcW w:type="dxa" w:w="87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Access condition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Administrator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System governance only</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Maintains identity, configuration, master data, integration controls and audit evidence. No customer, pipeline, inventory, Deal, finance, approval or leave-administration records.</w:t>
            </w:r>
          </w:p>
        </w:tc>
      </w:tr>
      <w:tr>
        <w:tc>
          <w:tcPr>
            <w:tcW w:type="dxa" w:w="223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 Assistant</w:t>
            </w:r>
          </w:p>
        </w:tc>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Leave administration</w:t>
            </w:r>
          </w:p>
        </w:tc>
        <w:tc>
          <w:tcPr>
            <w:tcW w:type="dxa" w:w="87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Maintains leave policy and employment configuration, opens the leave register and decides leave. No general business or system-configuration access.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Managing Director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Company-wide business scope</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Reads company-wide business records and decides only the approval types assigned to the Managing Director. Cannot administer users, system security or configuration versions.</w:t>
            </w:r>
          </w:p>
        </w:tc>
      </w:tr>
      <w:tr>
        <w:tc>
          <w:tcPr>
            <w:tcW w:type="dxa" w:w="223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Manager</w:t>
            </w:r>
          </w:p>
        </w:tc>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Managed teams and assigned governance</w:t>
            </w:r>
          </w:p>
        </w:tc>
        <w:tc>
          <w:tcPr>
            <w:tcW w:type="dxa" w:w="87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Reads and operates records owned by managed teams. Can reassign and approve only where the workflow assigns Manager authority.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Sales Agent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Own and assigned customer work</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Operates assigned Leads and owned Opportunities, participates in Deals, and uses permitted inventory. Cannot approve own proposals, Deals or payouts.</w:t>
            </w:r>
          </w:p>
        </w:tc>
      </w:tr>
      <w:tr>
        <w:tc>
          <w:tcPr>
            <w:tcW w:type="dxa" w:w="223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Listing Executive</w:t>
            </w:r>
          </w:p>
        </w:tc>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Inventory and participating Opportunities</w:t>
            </w:r>
          </w:p>
        </w:tc>
        <w:tc>
          <w:tcPr>
            <w:tcW w:type="dxa" w:w="87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Maintains permitted inventory and sees an Opportunity only when recorded as an active participant. No general Lead or finance access.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Accountant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Finance workspaces and read-only context</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Uses Dashboard, read-only Opportunities, My Leave, Receivables and Commission Payments. Cannot edit customer, Lead, inventory or Deal records.</w:t>
            </w:r>
          </w:p>
        </w:tc>
      </w:tr>
    </w:tbl>
    <w:p>
      <w:pPr>
        <w:spacing w:after="20"/>
      </w:pPr>
    </w:p>
    <w:p>
      <w:r>
        <w:br w:type="page"/>
      </w:r>
    </w:p>
    <w:p>
      <w:pPr>
        <w:pStyle w:val="Heading1"/>
        <w:keepNext/>
        <w:spacing w:before="240" w:after="100"/>
      </w:pPr>
      <w:r>
        <w:t>Key workflow ownership</w:t>
      </w:r>
    </w:p>
    <w:tbl>
      <w:tblPr>
        <w:tblW w:type="auto" w:w="0"/>
        <w:jc w:val="center"/>
        <w:tblLayout w:type="fixed"/>
        <w:tblLook w:firstColumn="1" w:firstRow="1" w:lastColumn="0" w:lastRow="0" w:noHBand="0" w:noVBand="1" w:val="04A0"/>
      </w:tblPr>
      <w:tblGrid>
        <w:gridCol w:w="5055"/>
        <w:gridCol w:w="5055"/>
        <w:gridCol w:w="5055"/>
      </w:tblGrid>
      <w:tr>
        <w:trPr>
          <w:tblHeader w:val="true"/>
        </w:trPr>
        <w:tc>
          <w:tcPr>
            <w:tcW w:type="dxa" w:w="432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Workflow</w:t>
            </w:r>
          </w:p>
        </w:tc>
        <w:tc>
          <w:tcPr>
            <w:tcW w:type="dxa" w:w="3096"/>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Responsible role</w:t>
            </w:r>
          </w:p>
        </w:tc>
        <w:tc>
          <w:tcPr>
            <w:tcW w:type="dxa" w:w="69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Condition</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Create and work a Lead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Sales Agent or Manager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Only within assignment and team scope.</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Create and progress an Opportunity</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Sales Agent or Manager</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Listing Executive is participant-only; Accountant is read-only.</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Approve a proposal or Deal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Manager or Managing Director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The workflow decides which role is required. The submitter cannot gain approval authority from Administrator status.</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Create invoice and record receipt</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Accountant</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Managing Director may view; Administrator has no transaction access.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Prepare commission-payment batch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Accountant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Based on cleared company receipts and the active payout policy.</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Approve commission-payment batch</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Managing Director</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The Managing Director may select or deselect individual rows in the consolidated batch.</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Record approved payout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Accountant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Recorded at batch level with detail available for review.</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Maintain invoice legal VAT and bank details</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Configuration only. Accountant consumes the active version when generating an invoice.</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Maintain payout calculation method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Configuration only. Managing Director approves actual payout batches, not policy versions.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0F5"/>
          </w:tcPr>
          <w:p>
            <w:pPr>
              <w:spacing w:after="0"/>
              <w:jc w:val="left"/>
            </w:pPr>
            <w:r>
              <w:rPr>
                <w:rFonts w:ascii="Arial" w:hAnsi="Arial"/>
                <w:b/>
                <w:color w:val="333333"/>
                <w:sz w:val="16"/>
              </w:rPr>
              <w:t>Maintain leave policy and employment configuration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0F5"/>
          </w:tcPr>
          <w:p>
            <w:pPr>
              <w:spacing w:after="0"/>
              <w:jc w:val="center"/>
            </w:pPr>
            <w:r>
              <w:rPr>
                <w:rFonts w:ascii="Arial" w:hAnsi="Arial"/>
                <w:b w:val="0"/>
                <w:color w:val="333333"/>
                <w:sz w:val="16"/>
              </w:rPr>
              <w:t>Admin Assistant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0F5"/>
          </w:tcPr>
          <w:p>
            <w:pPr>
              <w:spacing w:after="0"/>
              <w:jc w:val="center"/>
            </w:pPr>
            <w:r>
              <w:rPr>
                <w:rFonts w:ascii="Arial" w:hAnsi="Arial"/>
                <w:b w:val="0"/>
                <w:color w:val="333333"/>
                <w:sz w:val="16"/>
              </w:rPr>
              <w:t>The Administrator has no leave-administration access.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spacing w:after="0"/>
              <w:jc w:val="left"/>
            </w:pPr>
            <w:r>
              <w:rPr>
                <w:rFonts w:ascii="Arial" w:hAnsi="Arial"/>
                <w:b/>
                <w:color w:val="333333"/>
                <w:sz w:val="16"/>
              </w:rPr>
              <w:t>Administer leave register and decide leave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spacing w:after="0"/>
              <w:jc w:val="center"/>
            </w:pPr>
            <w:r>
              <w:rPr>
                <w:rFonts w:ascii="Arial" w:hAnsi="Arial"/>
                <w:b w:val="0"/>
                <w:color w:val="333333"/>
                <w:sz w:val="16"/>
              </w:rPr>
              <w:t>Admin Assistant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spacing w:after="0"/>
              <w:jc w:val="center"/>
            </w:pPr>
            <w:r>
              <w:rPr>
                <w:rFonts w:ascii="Arial" w:hAnsi="Arial"/>
                <w:b w:val="0"/>
                <w:color w:val="333333"/>
                <w:sz w:val="16"/>
              </w:rPr>
              <w:t>Temporary operating model; no separate HR role is created.</w:t>
            </w:r>
          </w:p>
        </w:tc>
      </w:tr>
    </w:tbl>
    <w:p>
      <w:pPr>
        <w:spacing w:after="20"/>
      </w:pPr>
    </w:p>
    <w:p>
      <w:r>
        <w:br w:type="page"/>
      </w:r>
    </w:p>
    <w:p>
      <w:pPr>
        <w:pStyle w:val="Heading1"/>
        <w:keepNext/>
        <w:spacing w:before="240" w:after="100"/>
      </w:pPr>
      <w:r>
        <w:t>Administrator access after the proposed change</w:t>
      </w:r>
    </w:p>
    <w:tbl>
      <w:tblPr>
        <w:tblW w:type="auto" w:w="0"/>
        <w:jc w:val="center"/>
        <w:tblLayout w:type="fixed"/>
        <w:tblLook w:firstColumn="1" w:firstRow="1" w:lastColumn="0" w:lastRow="0" w:noHBand="0" w:noVBand="1" w:val="04A0"/>
      </w:tblPr>
      <w:tblGrid>
        <w:gridCol w:w="5055"/>
        <w:gridCol w:w="5055"/>
        <w:gridCol w:w="5055"/>
      </w:tblGrid>
      <w:tr>
        <w:trPr>
          <w:tblHeader w:val="true"/>
        </w:trPr>
        <w:tc>
          <w:tcPr>
            <w:tcW w:type="dxa" w:w="33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Area</w:t>
            </w:r>
          </w:p>
        </w:tc>
        <w:tc>
          <w:tcPr>
            <w:tcW w:type="dxa" w:w="554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 may see or do</w:t>
            </w:r>
          </w:p>
        </w:tc>
        <w:tc>
          <w:tcPr>
            <w:tcW w:type="dxa" w:w="5688"/>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 must not see or do</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Administrator</w:t>
              <w:br/>
              <w:t>dashboard</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System status, configuration requiring attention, integration failures, pending access requests and audit exceptions.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No business KPIs, customer names, Deal values, invoice amounts, receivable balances or payout queues.</w:t>
            </w:r>
          </w:p>
        </w:tc>
      </w:tr>
      <w:tr>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Administration</w:t>
            </w:r>
          </w:p>
        </w:tc>
        <w:tc>
          <w:tcPr>
            <w:tcW w:type="dxa" w:w="554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Users, invitations, roles, account status, teams, organization settings, controlled values, integration mappings and approved configuration modules.</w:t>
            </w:r>
          </w:p>
        </w:tc>
        <w:tc>
          <w:tcPr>
            <w:tcW w:type="dxa" w:w="568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No direct links into customer, Lead, inventory, Opportunity, receivable or commission-payment records.</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Operational impact checks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Counts and non-sensitive warnings needed before suspending a user or changing configuration.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No drill-down to the affected business records.</w:t>
            </w:r>
          </w:p>
        </w:tc>
      </w:tr>
      <w:tr>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Audit</w:t>
            </w:r>
          </w:p>
        </w:tc>
        <w:tc>
          <w:tcPr>
            <w:tcW w:type="dxa" w:w="554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Security and configuration audit events required to establish who changed what and when.</w:t>
            </w:r>
          </w:p>
        </w:tc>
        <w:tc>
          <w:tcPr>
            <w:tcW w:type="dxa" w:w="568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Business activity content is minimized unless required to identify the governed change.</w:t>
            </w:r>
          </w:p>
        </w:tc>
      </w:tr>
    </w:tbl>
    <w:p>
      <w:pPr>
        <w:spacing w:after="20"/>
      </w:pPr>
    </w:p>
    <w:p>
      <w:pPr>
        <w:pStyle w:val="Heading1"/>
        <w:keepNext/>
        <w:spacing w:before="240" w:after="100"/>
      </w:pPr>
      <w:r>
        <w:t>Technical enforcement conditions</w:t>
      </w:r>
    </w:p>
    <w:p>
      <w:pPr>
        <w:pStyle w:val="ListBullet"/>
        <w:keepLines/>
        <w:spacing w:after="40"/>
      </w:pPr>
      <w:r>
        <w:t>Navigation: prohibited workspaces are not rendered for the Administrator.</w:t>
      </w:r>
    </w:p>
    <w:p>
      <w:pPr>
        <w:pStyle w:val="ListBullet"/>
        <w:keepLines/>
        <w:spacing w:after="40"/>
      </w:pPr>
      <w:r>
        <w:t>Dashboard: an Administrator governance dashboard replaces the current Managing Director dashboard mapping.</w:t>
      </w:r>
    </w:p>
    <w:p>
      <w:pPr>
        <w:pStyle w:val="ListBullet"/>
        <w:keepLines/>
        <w:spacing w:after="40"/>
      </w:pPr>
      <w:r>
        <w:t>API: prohibited business reads and writes return HTTP 403 even when the URL is entered directly or called outside the user interface.</w:t>
      </w:r>
    </w:p>
    <w:p>
      <w:pPr>
        <w:pStyle w:val="ListBullet"/>
        <w:keepLines/>
        <w:spacing w:after="40"/>
      </w:pPr>
      <w:r>
        <w:t>Queries: Administrator status no longer grants company-wide customer, Lead, Opportunity, inventory or finance scope.</w:t>
      </w:r>
    </w:p>
    <w:p>
      <w:pPr>
        <w:pStyle w:val="ListBullet"/>
        <w:keepLines/>
        <w:spacing w:after="40"/>
      </w:pPr>
      <w:r>
        <w:t>Mixed modules: configuration endpoints remain available to the Administrator, while transaction and approval endpoints in the same module remain blocked.</w:t>
      </w:r>
    </w:p>
    <w:p>
      <w:pPr>
        <w:pStyle w:val="ListBullet"/>
        <w:keepLines/>
        <w:spacing w:after="40"/>
      </w:pPr>
      <w:r>
        <w:t>Auditability: consequential configuration and access changes continue to record actor, time, target, action and reason.</w:t>
      </w:r>
    </w:p>
    <w:p>
      <w:pPr>
        <w:pStyle w:val="ListBullet"/>
        <w:keepLines/>
        <w:spacing w:after="40"/>
      </w:pPr>
      <w:r>
        <w:t>Regression: Managing Director, Manager, Sales Agent, Listing Executive, Accountant and Admin Assistant behavior must remain unchanged except where this document expressly states otherwise.</w:t>
      </w:r>
    </w:p>
    <w:p>
      <w:r>
        <w:br w:type="page"/>
      </w:r>
    </w:p>
    <w:p>
      <w:pPr>
        <w:pStyle w:val="Heading1"/>
        <w:keepNext/>
        <w:spacing w:before="240" w:after="100"/>
      </w:pPr>
      <w:r>
        <w:t>Acceptance tests required before CRM Test deployment</w:t>
      </w:r>
    </w:p>
    <w:tbl>
      <w:tblPr>
        <w:tblW w:type="auto" w:w="0"/>
        <w:jc w:val="center"/>
        <w:tblLayout w:type="fixed"/>
        <w:tblLook w:firstColumn="1" w:firstRow="1" w:lastColumn="0" w:lastRow="0" w:noHBand="0" w:noVBand="1" w:val="04A0"/>
      </w:tblPr>
      <w:tblGrid>
        <w:gridCol w:w="7582"/>
        <w:gridCol w:w="7582"/>
      </w:tblGrid>
      <w:tr>
        <w:trPr>
          <w:tblHeader w:val="true"/>
        </w:trPr>
        <w:tc>
          <w:tcPr>
            <w:tcW w:type="dxa" w:w="446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Test</w:t>
            </w:r>
          </w:p>
        </w:tc>
        <w:tc>
          <w:tcPr>
            <w:tcW w:type="dxa" w:w="1008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Expected result</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Administrator navigation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Only governance and configuration workspaces are shown.</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Administrator dashboard</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No Managing Director label, business KPI or business queue is loaded.</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Direct API request</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Representative customer, Lead, inventory, Opportunity, receivable and payout endpoints return 403.</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Configuration access</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Organization legal VAT and bank settings, payout policy, controlled values and integration mappings remain maintainable.</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Managing Director regression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Company-wide business dashboard and assigned approvals remain available; Administration remains unavailable.</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Accountant regression</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Dashboard, read-only Opportunities, My Leave, Receivables and Commission Payments continue to work.</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Other role regression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Manager, Sales Agent, Listing Executive and Admin Assistant retain only the documented scope.</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Audit regression</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Access and configuration changes remain attributable and reasoned.</w:t>
            </w:r>
          </w:p>
        </w:tc>
      </w:tr>
    </w:tbl>
    <w:p>
      <w:pPr>
        <w:spacing w:after="20"/>
      </w:pPr>
    </w:p>
    <w:p>
      <w:r>
        <w:br w:type="page"/>
      </w:r>
    </w:p>
    <w:p>
      <w:pPr>
        <w:pStyle w:val="Heading1"/>
        <w:keepNext/>
        <w:spacing w:before="240" w:after="100"/>
      </w:pPr>
      <w:r>
        <w:t>Assumptions requiring confirmation</w:t>
      </w:r>
    </w:p>
    <w:tbl>
      <w:tblPr>
        <w:tblW w:type="auto" w:w="0"/>
        <w:jc w:val="center"/>
        <w:tblLayout w:type="fixed"/>
        <w:tblLook w:firstColumn="1" w:firstRow="1" w:lastColumn="0" w:lastRow="0" w:noHBand="0" w:noVBand="1" w:val="04A0"/>
      </w:tblPr>
      <w:tblGrid>
        <w:gridCol w:w="3791"/>
        <w:gridCol w:w="3791"/>
        <w:gridCol w:w="3791"/>
        <w:gridCol w:w="3791"/>
      </w:tblGrid>
      <w:tr>
        <w:trPr>
          <w:tblHeader w:val="true"/>
        </w:trPr>
        <w:tc>
          <w:tcPr>
            <w:tcW w:type="dxa" w:w="648"/>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No</w:t>
            </w:r>
          </w:p>
        </w:tc>
        <w:tc>
          <w:tcPr>
            <w:tcW w:type="dxa" w:w="979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Assumption</w:t>
            </w:r>
          </w:p>
        </w:tc>
        <w:tc>
          <w:tcPr>
            <w:tcW w:type="dxa" w:w="2376"/>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Basis</w:t>
            </w:r>
          </w:p>
        </w:tc>
        <w:tc>
          <w:tcPr>
            <w:tcW w:type="dxa" w:w="180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Required action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1</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 has no routine business-record access, including read-only access.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Confirmed decision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Implemented and regression tested</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2</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Managing Director remains a business role and does not receive system-administration authority.</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Confirmed decision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Implemented; user assignment requires UAT verification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3</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Admin Assistant is a dedicated leave-administration role and has no general system-configuration or business access.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Confirmed least-privilege decision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Implemented in the central role policy</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4</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 Assistant maintains leave policy and employment configuration, opens the leave register and decides leave. Administrator has no leave-administration access. No HR role is created at this stage.</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Confirmed decision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Implement in DEV205</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5</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 may see record counts needed for safe user suspension or configuration impact checks, but not names, values or record details.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Implemented security condition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Retain and verify in role UAT</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6</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There is no standing emergency or break-glass business access for Administrator in DEV205.</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Implemented security condition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Retain and verify in role UAT</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7</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One Administrator may currently create, approve and activate a configuration version. Dual control is not added unless separately approved.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Current behavior retained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Decision recommended</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8</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An individual who needs both administration and business authority should use separate named accounts or a separately governed temporary-role process, not a combined permanent role.</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Implemented security condition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rial" w:hAnsi="Arial"/>
                <w:sz w:val="17"/>
              </w:rPr>
              <w:t>Retain and verify in role UAT</w:t>
            </w:r>
          </w:p>
        </w:tc>
      </w:tr>
    </w:tbl>
    <w:p>
      <w:pPr>
        <w:spacing w:after="20"/>
      </w:pPr>
    </w:p>
    <w:p>
      <w:pPr>
        <w:pStyle w:val="Heading1"/>
        <w:keepNext/>
        <w:spacing w:before="240" w:after="100"/>
      </w:pPr>
      <w:r>
        <w:t>Implementation boundary</w:t>
      </w:r>
    </w:p>
    <w:p>
      <w:r>
        <w:t>DEV205 changed role checks, navigation, dashboard selection, query scope and API middleware together. DEV206 corrects configuration-reference access and terminology only. It does not change business calculations, ownership rules, payout formulas, invoice logic, data, schema or production configuration. No database migration is required. Any CRM Test deployment requires a dated source package, checksum, rollback package, focused authorization tests, a completed control-by-control comparison and explicit deployment confirmation.</w:t>
      </w:r>
    </w:p>
    <w:p>
      <w:pPr>
        <w:keepLines w:val="0"/>
        <w:spacing w:before="80" w:after="0"/>
      </w:pPr>
      <w:r>
        <w:t>Source basis  CRM Test currently serves 2.1.0-dev.205; local DEV206 correction candidate based on Git commit 1af87ba994599d8de1bab6d37b2005e609d449fe; existing working-tree changes preserved; production and R2 clone unchanged.</w:t>
      </w:r>
    </w:p>
    <w:p>
      <w:r>
        <w:br w:type="page"/>
      </w:r>
    </w:p>
    <w:p>
      <w:pPr>
        <w:pStyle w:val="Heading1"/>
        <w:keepNext/>
      </w:pPr>
      <w:r>
        <w:t>DEV206 control comparison and release gate</w:t>
      </w:r>
    </w:p>
    <w:p>
      <w:pPr>
        <w:spacing w:after="160"/>
      </w:pPr>
      <w:r>
        <w:t>This comparison is required before any deployment request. Each access condition must be classified as implemented, intentionally excluded by the confirmed model, or blocked pending a named decision. A package is not deployment-ready while any control is unclassified or any required test is failing.</w:t>
      </w:r>
    </w:p>
    <w:tbl>
      <w:tblPr>
        <w:tblStyle w:val="TableGrid"/>
        <w:tblW w:type="auto" w:w="0"/>
        <w:tblLook w:firstColumn="1" w:firstRow="1" w:lastColumn="0" w:lastRow="0" w:noHBand="0" w:noVBand="1" w:val="04A0"/>
      </w:tblPr>
      <w:tblGrid>
        <w:gridCol w:w="3791"/>
        <w:gridCol w:w="3791"/>
        <w:gridCol w:w="3791"/>
        <w:gridCol w:w="3791"/>
      </w:tblGrid>
      <w:tr>
        <w:tc>
          <w:tcPr>
            <w:tcW w:type="dxa" w:w="3791"/>
            <w:vAlign w:val="center"/>
            <w:shd w:fill="243447"/>
          </w:tcPr>
          <w:p>
            <w:pPr>
              <w:spacing w:after="0"/>
            </w:pPr>
            <w:r>
              <w:rPr>
                <w:rFonts w:ascii="Arial" w:hAnsi="Arial"/>
                <w:b/>
                <w:color w:val="FFFFFF"/>
                <w:sz w:val="17"/>
              </w:rPr>
              <w:t>Control</w:t>
            </w:r>
          </w:p>
        </w:tc>
        <w:tc>
          <w:tcPr>
            <w:tcW w:type="dxa" w:w="3791"/>
            <w:vAlign w:val="center"/>
            <w:shd w:fill="243447"/>
          </w:tcPr>
          <w:p>
            <w:pPr>
              <w:spacing w:after="0"/>
            </w:pPr>
            <w:r>
              <w:rPr>
                <w:rFonts w:ascii="Arial" w:hAnsi="Arial"/>
                <w:b/>
                <w:color w:val="FFFFFF"/>
                <w:sz w:val="17"/>
              </w:rPr>
              <w:t>Required condition</w:t>
            </w:r>
          </w:p>
        </w:tc>
        <w:tc>
          <w:tcPr>
            <w:tcW w:type="dxa" w:w="3791"/>
            <w:vAlign w:val="center"/>
            <w:shd w:fill="243447"/>
          </w:tcPr>
          <w:p>
            <w:pPr>
              <w:spacing w:after="0"/>
            </w:pPr>
            <w:r>
              <w:rPr>
                <w:rFonts w:ascii="Arial" w:hAnsi="Arial"/>
                <w:b/>
                <w:color w:val="FFFFFF"/>
                <w:sz w:val="17"/>
              </w:rPr>
              <w:t>Status</w:t>
            </w:r>
          </w:p>
        </w:tc>
        <w:tc>
          <w:tcPr>
            <w:tcW w:type="dxa" w:w="3791"/>
            <w:vAlign w:val="center"/>
            <w:shd w:fill="243447"/>
          </w:tcPr>
          <w:p>
            <w:pPr>
              <w:spacing w:after="0"/>
            </w:pPr>
            <w:r>
              <w:rPr>
                <w:rFonts w:ascii="Arial" w:hAnsi="Arial"/>
                <w:b/>
                <w:color w:val="FFFFFF"/>
                <w:sz w:val="17"/>
              </w:rPr>
              <w:t>Evidence or remaining action</w:t>
            </w:r>
          </w:p>
        </w:tc>
      </w:tr>
      <w:tr>
        <w:tc>
          <w:tcPr>
            <w:tcW w:type="dxa" w:w="3791"/>
            <w:vAlign w:val="center"/>
          </w:tcPr>
          <w:p>
            <w:pPr>
              <w:spacing w:after="0"/>
            </w:pPr>
            <w:r>
              <w:rPr>
                <w:rFonts w:ascii="Arial" w:hAnsi="Arial"/>
                <w:sz w:val="17"/>
              </w:rPr>
              <w:t>Administrator navigation</w:t>
            </w:r>
          </w:p>
        </w:tc>
        <w:tc>
          <w:tcPr>
            <w:tcW w:type="dxa" w:w="3791"/>
            <w:vAlign w:val="center"/>
          </w:tcPr>
          <w:p>
            <w:pPr>
              <w:spacing w:after="0"/>
            </w:pPr>
            <w:r>
              <w:rPr>
                <w:rFonts w:ascii="Arial" w:hAnsi="Arial"/>
                <w:sz w:val="17"/>
              </w:rPr>
              <w:t>Only Dashboard and Administration</w:t>
            </w:r>
          </w:p>
        </w:tc>
        <w:tc>
          <w:tcPr>
            <w:tcW w:type="dxa" w:w="3791"/>
            <w:vAlign w:val="center"/>
          </w:tcPr>
          <w:p>
            <w:pPr>
              <w:spacing w:after="0"/>
            </w:pPr>
            <w:r>
              <w:rPr>
                <w:rFonts w:ascii="Arial" w:hAnsi="Arial"/>
                <w:sz w:val="17"/>
              </w:rPr>
              <w:t>Implemented</w:t>
            </w:r>
          </w:p>
        </w:tc>
        <w:tc>
          <w:tcPr>
            <w:tcW w:type="dxa" w:w="3791"/>
            <w:vAlign w:val="center"/>
          </w:tcPr>
          <w:p>
            <w:pPr>
              <w:spacing w:after="0"/>
            </w:pPr>
            <w:r>
              <w:rPr>
                <w:rFonts w:ascii="Arial" w:hAnsi="Arial"/>
                <w:sz w:val="17"/>
              </w:rPr>
              <w:t>Server-provided workspace tabs; no business navigation</w:t>
            </w:r>
          </w:p>
        </w:tc>
      </w:tr>
      <w:tr>
        <w:tc>
          <w:tcPr>
            <w:tcW w:type="dxa" w:w="3791"/>
            <w:vAlign w:val="center"/>
            <w:shd w:fill="F3F5F7"/>
          </w:tcPr>
          <w:p>
            <w:pPr>
              <w:spacing w:after="0"/>
            </w:pPr>
            <w:r>
              <w:rPr>
                <w:rFonts w:ascii="Arial" w:hAnsi="Arial"/>
                <w:sz w:val="17"/>
              </w:rPr>
              <w:t>Administrator dashboard</w:t>
            </w:r>
          </w:p>
        </w:tc>
        <w:tc>
          <w:tcPr>
            <w:tcW w:type="dxa" w:w="3791"/>
            <w:vAlign w:val="center"/>
            <w:shd w:fill="F3F5F7"/>
          </w:tcPr>
          <w:p>
            <w:pPr>
              <w:spacing w:after="0"/>
            </w:pPr>
            <w:r>
              <w:rPr>
                <w:rFonts w:ascii="Arial" w:hAnsi="Arial"/>
                <w:sz w:val="17"/>
              </w:rPr>
              <w:t>Governance status only</w:t>
            </w:r>
          </w:p>
        </w:tc>
        <w:tc>
          <w:tcPr>
            <w:tcW w:type="dxa" w:w="3791"/>
            <w:vAlign w:val="center"/>
            <w:shd w:fill="F3F5F7"/>
          </w:tcPr>
          <w:p>
            <w:pPr>
              <w:spacing w:after="0"/>
            </w:pPr>
            <w:r>
              <w:rPr>
                <w:rFonts w:ascii="Arial" w:hAnsi="Arial"/>
                <w:sz w:val="17"/>
              </w:rPr>
              <w:t>Implemented</w:t>
            </w:r>
          </w:p>
        </w:tc>
        <w:tc>
          <w:tcPr>
            <w:tcW w:type="dxa" w:w="3791"/>
            <w:vAlign w:val="center"/>
            <w:shd w:fill="F3F5F7"/>
          </w:tcPr>
          <w:p>
            <w:pPr>
              <w:spacing w:after="0"/>
            </w:pPr>
            <w:r>
              <w:rPr>
                <w:rFonts w:ascii="Arial" w:hAnsi="Arial"/>
                <w:sz w:val="17"/>
              </w:rPr>
              <w:t>Dedicated Administrator dashboard; no MD mapping</w:t>
            </w:r>
          </w:p>
        </w:tc>
      </w:tr>
      <w:tr>
        <w:tc>
          <w:tcPr>
            <w:tcW w:type="dxa" w:w="3791"/>
            <w:vAlign w:val="center"/>
          </w:tcPr>
          <w:p>
            <w:pPr>
              <w:spacing w:after="0"/>
            </w:pPr>
            <w:r>
              <w:rPr>
                <w:rFonts w:ascii="Arial" w:hAnsi="Arial"/>
                <w:sz w:val="17"/>
              </w:rPr>
              <w:t>Administrator business APIs</w:t>
            </w:r>
          </w:p>
        </w:tc>
        <w:tc>
          <w:tcPr>
            <w:tcW w:type="dxa" w:w="3791"/>
            <w:vAlign w:val="center"/>
          </w:tcPr>
          <w:p>
            <w:pPr>
              <w:spacing w:after="0"/>
            </w:pPr>
            <w:r>
              <w:rPr>
                <w:rFonts w:ascii="Arial" w:hAnsi="Arial"/>
                <w:sz w:val="17"/>
              </w:rPr>
              <w:t>Customers, Leads, Inventory, Opportunities, finance and payouts return 403</w:t>
            </w:r>
          </w:p>
        </w:tc>
        <w:tc>
          <w:tcPr>
            <w:tcW w:type="dxa" w:w="3791"/>
            <w:vAlign w:val="center"/>
          </w:tcPr>
          <w:p>
            <w:pPr>
              <w:spacing w:after="0"/>
            </w:pPr>
            <w:r>
              <w:rPr>
                <w:rFonts w:ascii="Arial" w:hAnsi="Arial"/>
                <w:sz w:val="17"/>
              </w:rPr>
              <w:t>Implemented</w:t>
            </w:r>
          </w:p>
        </w:tc>
        <w:tc>
          <w:tcPr>
            <w:tcW w:type="dxa" w:w="3791"/>
            <w:vAlign w:val="center"/>
          </w:tcPr>
          <w:p>
            <w:pPr>
              <w:spacing w:after="0"/>
            </w:pPr>
            <w:r>
              <w:rPr>
                <w:rFonts w:ascii="Arial" w:hAnsi="Arial"/>
                <w:sz w:val="17"/>
              </w:rPr>
              <w:t>Central deny-by-default governed API policy</w:t>
            </w:r>
          </w:p>
        </w:tc>
      </w:tr>
      <w:tr>
        <w:tc>
          <w:tcPr>
            <w:tcW w:type="dxa" w:w="3791"/>
            <w:vAlign w:val="center"/>
            <w:shd w:fill="F3F5F7"/>
          </w:tcPr>
          <w:p>
            <w:pPr>
              <w:spacing w:after="0"/>
            </w:pPr>
            <w:r>
              <w:rPr>
                <w:rFonts w:ascii="Arial" w:hAnsi="Arial"/>
                <w:sz w:val="17"/>
              </w:rPr>
              <w:t>Administrator team configuration</w:t>
            </w:r>
          </w:p>
        </w:tc>
        <w:tc>
          <w:tcPr>
            <w:tcW w:type="dxa" w:w="3791"/>
            <w:vAlign w:val="center"/>
            <w:shd w:fill="F3F5F7"/>
          </w:tcPr>
          <w:p>
            <w:pPr>
              <w:spacing w:after="0"/>
            </w:pPr>
            <w:r>
              <w:rPr>
                <w:rFonts w:ascii="Arial" w:hAnsi="Arial"/>
                <w:sz w:val="17"/>
              </w:rPr>
              <w:t>Teams and staff references remain available without business-record access</w:t>
            </w:r>
          </w:p>
        </w:tc>
        <w:tc>
          <w:tcPr>
            <w:tcW w:type="dxa" w:w="3791"/>
            <w:vAlign w:val="center"/>
            <w:shd w:fill="F3F5F7"/>
          </w:tcPr>
          <w:p>
            <w:pPr>
              <w:spacing w:after="0"/>
            </w:pPr>
            <w:r>
              <w:rPr>
                <w:rFonts w:ascii="Arial" w:hAnsi="Arial"/>
                <w:sz w:val="17"/>
              </w:rPr>
              <w:t>Corrected in DEV206</w:t>
            </w:r>
          </w:p>
        </w:tc>
        <w:tc>
          <w:tcPr>
            <w:tcW w:type="dxa" w:w="3791"/>
            <w:vAlign w:val="center"/>
            <w:shd w:fill="F3F5F7"/>
          </w:tcPr>
          <w:p>
            <w:pPr>
              <w:spacing w:after="0"/>
            </w:pPr>
            <w:r>
              <w:rPr>
                <w:rFonts w:ascii="Arial" w:hAnsi="Arial"/>
                <w:sz w:val="17"/>
              </w:rPr>
              <w:t>Narrow team and staff configuration capabilities</w:t>
            </w:r>
          </w:p>
        </w:tc>
      </w:tr>
      <w:tr>
        <w:tc>
          <w:tcPr>
            <w:tcW w:type="dxa" w:w="3791"/>
            <w:vAlign w:val="center"/>
          </w:tcPr>
          <w:p>
            <w:pPr>
              <w:spacing w:after="0"/>
            </w:pPr>
            <w:r>
              <w:rPr>
                <w:rFonts w:ascii="Arial" w:hAnsi="Arial"/>
                <w:sz w:val="17"/>
              </w:rPr>
              <w:t>Administrator leave access</w:t>
            </w:r>
          </w:p>
        </w:tc>
        <w:tc>
          <w:tcPr>
            <w:tcW w:type="dxa" w:w="3791"/>
            <w:vAlign w:val="center"/>
          </w:tcPr>
          <w:p>
            <w:pPr>
              <w:spacing w:after="0"/>
            </w:pPr>
            <w:r>
              <w:rPr>
                <w:rFonts w:ascii="Arial" w:hAnsi="Arial"/>
                <w:sz w:val="17"/>
              </w:rPr>
              <w:t>No leave register, policy or decision access</w:t>
            </w:r>
          </w:p>
        </w:tc>
        <w:tc>
          <w:tcPr>
            <w:tcW w:type="dxa" w:w="3791"/>
            <w:vAlign w:val="center"/>
          </w:tcPr>
          <w:p>
            <w:pPr>
              <w:spacing w:after="0"/>
            </w:pPr>
            <w:r>
              <w:rPr>
                <w:rFonts w:ascii="Arial" w:hAnsi="Arial"/>
                <w:sz w:val="17"/>
              </w:rPr>
              <w:t>Implemented</w:t>
            </w:r>
          </w:p>
        </w:tc>
        <w:tc>
          <w:tcPr>
            <w:tcW w:type="dxa" w:w="3791"/>
            <w:vAlign w:val="center"/>
          </w:tcPr>
          <w:p>
            <w:pPr>
              <w:spacing w:after="0"/>
            </w:pPr>
            <w:r>
              <w:rPr>
                <w:rFonts w:ascii="Arial" w:hAnsi="Arial"/>
                <w:sz w:val="17"/>
              </w:rPr>
              <w:t>Leave routes require Admin Assistant capabilities</w:t>
            </w:r>
          </w:p>
        </w:tc>
      </w:tr>
      <w:tr>
        <w:tc>
          <w:tcPr>
            <w:tcW w:type="dxa" w:w="3791"/>
            <w:vAlign w:val="center"/>
            <w:shd w:fill="F3F5F7"/>
          </w:tcPr>
          <w:p>
            <w:pPr>
              <w:spacing w:after="0"/>
            </w:pPr>
            <w:r>
              <w:rPr>
                <w:rFonts w:ascii="Arial" w:hAnsi="Arial"/>
                <w:sz w:val="17"/>
              </w:rPr>
              <w:t>Admin Assistant workspace</w:t>
            </w:r>
          </w:p>
        </w:tc>
        <w:tc>
          <w:tcPr>
            <w:tcW w:type="dxa" w:w="3791"/>
            <w:vAlign w:val="center"/>
            <w:shd w:fill="F3F5F7"/>
          </w:tcPr>
          <w:p>
            <w:pPr>
              <w:spacing w:after="0"/>
            </w:pPr>
            <w:r>
              <w:rPr>
                <w:rFonts w:ascii="Arial" w:hAnsi="Arial"/>
                <w:sz w:val="17"/>
              </w:rPr>
              <w:t>My Leave and Leave Administration only</w:t>
            </w:r>
          </w:p>
        </w:tc>
        <w:tc>
          <w:tcPr>
            <w:tcW w:type="dxa" w:w="3791"/>
            <w:vAlign w:val="center"/>
            <w:shd w:fill="F3F5F7"/>
          </w:tcPr>
          <w:p>
            <w:pPr>
              <w:spacing w:after="0"/>
            </w:pPr>
            <w:r>
              <w:rPr>
                <w:rFonts w:ascii="Arial" w:hAnsi="Arial"/>
                <w:sz w:val="17"/>
              </w:rPr>
              <w:t>Implemented</w:t>
            </w:r>
          </w:p>
        </w:tc>
        <w:tc>
          <w:tcPr>
            <w:tcW w:type="dxa" w:w="3791"/>
            <w:vAlign w:val="center"/>
            <w:shd w:fill="F3F5F7"/>
          </w:tcPr>
          <w:p>
            <w:pPr>
              <w:spacing w:after="0"/>
            </w:pPr>
            <w:r>
              <w:rPr>
                <w:rFonts w:ascii="Arial" w:hAnsi="Arial"/>
                <w:sz w:val="17"/>
              </w:rPr>
              <w:t>Central tabs and deny-by-default API policy</w:t>
            </w:r>
          </w:p>
        </w:tc>
      </w:tr>
      <w:tr>
        <w:tc>
          <w:tcPr>
            <w:tcW w:type="dxa" w:w="3791"/>
            <w:vAlign w:val="center"/>
          </w:tcPr>
          <w:p>
            <w:pPr>
              <w:spacing w:after="0"/>
            </w:pPr>
            <w:r>
              <w:rPr>
                <w:rFonts w:ascii="Arial" w:hAnsi="Arial"/>
                <w:sz w:val="17"/>
              </w:rPr>
              <w:t>Admin Assistant leave ownership</w:t>
            </w:r>
          </w:p>
        </w:tc>
        <w:tc>
          <w:tcPr>
            <w:tcW w:type="dxa" w:w="3791"/>
            <w:vAlign w:val="center"/>
          </w:tcPr>
          <w:p>
            <w:pPr>
              <w:spacing w:after="0"/>
            </w:pPr>
            <w:r>
              <w:rPr>
                <w:rFonts w:ascii="Arial" w:hAnsi="Arial"/>
                <w:sz w:val="17"/>
              </w:rPr>
              <w:t>Policy, employment, register and decision</w:t>
            </w:r>
          </w:p>
        </w:tc>
        <w:tc>
          <w:tcPr>
            <w:tcW w:type="dxa" w:w="3791"/>
            <w:vAlign w:val="center"/>
          </w:tcPr>
          <w:p>
            <w:pPr>
              <w:spacing w:after="0"/>
            </w:pPr>
            <w:r>
              <w:rPr>
                <w:rFonts w:ascii="Arial" w:hAnsi="Arial"/>
                <w:sz w:val="17"/>
              </w:rPr>
              <w:t>Implemented</w:t>
            </w:r>
          </w:p>
        </w:tc>
        <w:tc>
          <w:tcPr>
            <w:tcW w:type="dxa" w:w="3791"/>
            <w:vAlign w:val="center"/>
          </w:tcPr>
          <w:p>
            <w:pPr>
              <w:spacing w:after="0"/>
            </w:pPr>
            <w:r>
              <w:rPr>
                <w:rFonts w:ascii="Arial" w:hAnsi="Arial"/>
                <w:sz w:val="17"/>
              </w:rPr>
              <w:t>Capability-based maintenance and decision checks</w:t>
            </w:r>
          </w:p>
        </w:tc>
      </w:tr>
      <w:tr>
        <w:tc>
          <w:tcPr>
            <w:tcW w:type="dxa" w:w="3791"/>
            <w:vAlign w:val="center"/>
            <w:shd w:fill="F3F5F7"/>
          </w:tcPr>
          <w:p>
            <w:pPr>
              <w:spacing w:after="0"/>
            </w:pPr>
            <w:r>
              <w:rPr>
                <w:rFonts w:ascii="Arial" w:hAnsi="Arial"/>
                <w:sz w:val="17"/>
              </w:rPr>
              <w:t>Managing Director</w:t>
            </w:r>
          </w:p>
        </w:tc>
        <w:tc>
          <w:tcPr>
            <w:tcW w:type="dxa" w:w="3791"/>
            <w:vAlign w:val="center"/>
            <w:shd w:fill="F3F5F7"/>
          </w:tcPr>
          <w:p>
            <w:pPr>
              <w:spacing w:after="0"/>
            </w:pPr>
            <w:r>
              <w:rPr>
                <w:rFonts w:ascii="Arial" w:hAnsi="Arial"/>
                <w:sz w:val="17"/>
              </w:rPr>
              <w:t>Company-wide business oversight; no Administration</w:t>
            </w:r>
          </w:p>
        </w:tc>
        <w:tc>
          <w:tcPr>
            <w:tcW w:type="dxa" w:w="3791"/>
            <w:vAlign w:val="center"/>
            <w:shd w:fill="F3F5F7"/>
          </w:tcPr>
          <w:p>
            <w:pPr>
              <w:spacing w:after="0"/>
            </w:pPr>
            <w:r>
              <w:rPr>
                <w:rFonts w:ascii="Arial" w:hAnsi="Arial"/>
                <w:sz w:val="17"/>
              </w:rPr>
              <w:t>Code implemented</w:t>
            </w:r>
          </w:p>
        </w:tc>
        <w:tc>
          <w:tcPr>
            <w:tcW w:type="dxa" w:w="3791"/>
            <w:vAlign w:val="center"/>
            <w:shd w:fill="F3F5F7"/>
          </w:tcPr>
          <w:p>
            <w:pPr>
              <w:spacing w:after="0"/>
            </w:pPr>
            <w:r>
              <w:rPr>
                <w:rFonts w:ascii="Arial" w:hAnsi="Arial"/>
                <w:sz w:val="17"/>
              </w:rPr>
              <w:t>Authenticated CRM Test UAT still required</w:t>
            </w:r>
          </w:p>
        </w:tc>
      </w:tr>
      <w:tr>
        <w:tc>
          <w:tcPr>
            <w:tcW w:type="dxa" w:w="3791"/>
            <w:vAlign w:val="center"/>
          </w:tcPr>
          <w:p>
            <w:pPr>
              <w:spacing w:after="0"/>
            </w:pPr>
            <w:r>
              <w:rPr>
                <w:rFonts w:ascii="Arial" w:hAnsi="Arial"/>
                <w:sz w:val="17"/>
              </w:rPr>
              <w:t>Accountant</w:t>
            </w:r>
          </w:p>
        </w:tc>
        <w:tc>
          <w:tcPr>
            <w:tcW w:type="dxa" w:w="3791"/>
            <w:vAlign w:val="center"/>
          </w:tcPr>
          <w:p>
            <w:pPr>
              <w:spacing w:after="0"/>
            </w:pPr>
            <w:r>
              <w:rPr>
                <w:rFonts w:ascii="Arial" w:hAnsi="Arial"/>
                <w:sz w:val="17"/>
              </w:rPr>
              <w:t>Dashboard, read-only Opportunities, My Leave, Receivables and Commission Payments</w:t>
            </w:r>
          </w:p>
        </w:tc>
        <w:tc>
          <w:tcPr>
            <w:tcW w:type="dxa" w:w="3791"/>
            <w:vAlign w:val="center"/>
          </w:tcPr>
          <w:p>
            <w:pPr>
              <w:spacing w:after="0"/>
            </w:pPr>
            <w:r>
              <w:rPr>
                <w:rFonts w:ascii="Arial" w:hAnsi="Arial"/>
                <w:sz w:val="17"/>
              </w:rPr>
              <w:t>Code implemented</w:t>
            </w:r>
          </w:p>
        </w:tc>
        <w:tc>
          <w:tcPr>
            <w:tcW w:type="dxa" w:w="3791"/>
            <w:vAlign w:val="center"/>
          </w:tcPr>
          <w:p>
            <w:pPr>
              <w:spacing w:after="0"/>
            </w:pPr>
            <w:r>
              <w:rPr>
                <w:rFonts w:ascii="Arial" w:hAnsi="Arial"/>
                <w:sz w:val="17"/>
              </w:rPr>
              <w:t>Authenticated CRM Test UAT still required</w:t>
            </w:r>
          </w:p>
        </w:tc>
      </w:tr>
      <w:tr>
        <w:tc>
          <w:tcPr>
            <w:tcW w:type="dxa" w:w="3791"/>
            <w:vAlign w:val="center"/>
            <w:shd w:fill="F3F5F7"/>
          </w:tcPr>
          <w:p>
            <w:pPr>
              <w:spacing w:after="0"/>
            </w:pPr>
            <w:r>
              <w:rPr>
                <w:rFonts w:ascii="Arial" w:hAnsi="Arial"/>
                <w:sz w:val="17"/>
              </w:rPr>
              <w:t>Manager and Agents</w:t>
            </w:r>
          </w:p>
        </w:tc>
        <w:tc>
          <w:tcPr>
            <w:tcW w:type="dxa" w:w="3791"/>
            <w:vAlign w:val="center"/>
            <w:shd w:fill="F3F5F7"/>
          </w:tcPr>
          <w:p>
            <w:pPr>
              <w:spacing w:after="0"/>
            </w:pPr>
            <w:r>
              <w:rPr>
                <w:rFonts w:ascii="Arial" w:hAnsi="Arial"/>
                <w:sz w:val="17"/>
              </w:rPr>
              <w:t>Documented scoped business access</w:t>
            </w:r>
          </w:p>
        </w:tc>
        <w:tc>
          <w:tcPr>
            <w:tcW w:type="dxa" w:w="3791"/>
            <w:vAlign w:val="center"/>
            <w:shd w:fill="F3F5F7"/>
          </w:tcPr>
          <w:p>
            <w:pPr>
              <w:spacing w:after="0"/>
            </w:pPr>
            <w:r>
              <w:rPr>
                <w:rFonts w:ascii="Arial" w:hAnsi="Arial"/>
                <w:sz w:val="17"/>
              </w:rPr>
              <w:t>No DEV206 code change</w:t>
            </w:r>
          </w:p>
        </w:tc>
        <w:tc>
          <w:tcPr>
            <w:tcW w:type="dxa" w:w="3791"/>
            <w:vAlign w:val="center"/>
            <w:shd w:fill="F3F5F7"/>
          </w:tcPr>
          <w:p>
            <w:pPr>
              <w:spacing w:after="0"/>
            </w:pPr>
            <w:r>
              <w:rPr>
                <w:rFonts w:ascii="Arial" w:hAnsi="Arial"/>
                <w:sz w:val="17"/>
              </w:rPr>
              <w:t>Focused regression required before deployment</w:t>
            </w:r>
          </w:p>
        </w:tc>
      </w:tr>
      <w:tr>
        <w:tc>
          <w:tcPr>
            <w:tcW w:type="dxa" w:w="3791"/>
            <w:vAlign w:val="center"/>
          </w:tcPr>
          <w:p>
            <w:pPr>
              <w:spacing w:after="0"/>
            </w:pPr>
            <w:r>
              <w:rPr>
                <w:rFonts w:ascii="Arial" w:hAnsi="Arial"/>
                <w:sz w:val="17"/>
              </w:rPr>
              <w:t>Auditability</w:t>
            </w:r>
          </w:p>
        </w:tc>
        <w:tc>
          <w:tcPr>
            <w:tcW w:type="dxa" w:w="3791"/>
            <w:vAlign w:val="center"/>
          </w:tcPr>
          <w:p>
            <w:pPr>
              <w:spacing w:after="0"/>
            </w:pPr>
            <w:r>
              <w:rPr>
                <w:rFonts w:ascii="Arial" w:hAnsi="Arial"/>
                <w:sz w:val="17"/>
              </w:rPr>
              <w:t>Consequential configuration and access changes retain actor and reason</w:t>
            </w:r>
          </w:p>
        </w:tc>
        <w:tc>
          <w:tcPr>
            <w:tcW w:type="dxa" w:w="3791"/>
            <w:vAlign w:val="center"/>
          </w:tcPr>
          <w:p>
            <w:pPr>
              <w:spacing w:after="0"/>
            </w:pPr>
            <w:r>
              <w:rPr>
                <w:rFonts w:ascii="Arial" w:hAnsi="Arial"/>
                <w:sz w:val="17"/>
              </w:rPr>
              <w:t>Code retained</w:t>
            </w:r>
          </w:p>
        </w:tc>
        <w:tc>
          <w:tcPr>
            <w:tcW w:type="dxa" w:w="3791"/>
            <w:vAlign w:val="center"/>
          </w:tcPr>
          <w:p>
            <w:pPr>
              <w:spacing w:after="0"/>
            </w:pPr>
            <w:r>
              <w:rPr>
                <w:rFonts w:ascii="Arial" w:hAnsi="Arial"/>
                <w:sz w:val="17"/>
              </w:rPr>
              <w:t>Authenticated mutation evidence required</w:t>
            </w:r>
          </w:p>
        </w:tc>
      </w:tr>
      <w:tr>
        <w:tc>
          <w:tcPr>
            <w:tcW w:type="dxa" w:w="3791"/>
            <w:vAlign w:val="center"/>
            <w:shd w:fill="F3F5F7"/>
          </w:tcPr>
          <w:p>
            <w:pPr>
              <w:spacing w:after="0"/>
            </w:pPr>
            <w:r>
              <w:rPr>
                <w:rFonts w:ascii="Arial" w:hAnsi="Arial"/>
                <w:sz w:val="17"/>
              </w:rPr>
              <w:t>Role assignments</w:t>
            </w:r>
          </w:p>
        </w:tc>
        <w:tc>
          <w:tcPr>
            <w:tcW w:type="dxa" w:w="3791"/>
            <w:vAlign w:val="center"/>
            <w:shd w:fill="F3F5F7"/>
          </w:tcPr>
          <w:p>
            <w:pPr>
              <w:spacing w:after="0"/>
            </w:pPr>
            <w:r>
              <w:rPr>
                <w:rFonts w:ascii="Arial" w:hAnsi="Arial"/>
                <w:sz w:val="17"/>
              </w:rPr>
              <w:t>No automatic reassignment</w:t>
            </w:r>
          </w:p>
        </w:tc>
        <w:tc>
          <w:tcPr>
            <w:tcW w:type="dxa" w:w="3791"/>
            <w:vAlign w:val="center"/>
            <w:shd w:fill="F3F5F7"/>
          </w:tcPr>
          <w:p>
            <w:pPr>
              <w:spacing w:after="0"/>
            </w:pPr>
            <w:r>
              <w:rPr>
                <w:rFonts w:ascii="Arial" w:hAnsi="Arial"/>
                <w:sz w:val="17"/>
              </w:rPr>
              <w:t>Intentional</w:t>
            </w:r>
          </w:p>
        </w:tc>
        <w:tc>
          <w:tcPr>
            <w:tcW w:type="dxa" w:w="3791"/>
            <w:vAlign w:val="center"/>
            <w:shd w:fill="F3F5F7"/>
          </w:tcPr>
          <w:p>
            <w:pPr>
              <w:spacing w:after="0"/>
            </w:pPr>
            <w:r>
              <w:rPr>
                <w:rFonts w:ascii="Arial" w:hAnsi="Arial"/>
                <w:sz w:val="17"/>
              </w:rPr>
              <w:t>Verify MD is Director and leave approver is Admin Assistant in CRM Test</w:t>
            </w:r>
          </w:p>
        </w:tc>
      </w:tr>
      <w:tr>
        <w:tc>
          <w:tcPr>
            <w:tcW w:type="dxa" w:w="3791"/>
            <w:vAlign w:val="center"/>
          </w:tcPr>
          <w:p>
            <w:pPr>
              <w:spacing w:after="0"/>
            </w:pPr>
            <w:r>
              <w:rPr>
                <w:rFonts w:ascii="Arial" w:hAnsi="Arial"/>
                <w:sz w:val="17"/>
              </w:rPr>
              <w:t>Schema and calculations</w:t>
            </w:r>
          </w:p>
        </w:tc>
        <w:tc>
          <w:tcPr>
            <w:tcW w:type="dxa" w:w="3791"/>
            <w:vAlign w:val="center"/>
          </w:tcPr>
          <w:p>
            <w:pPr>
              <w:spacing w:after="0"/>
            </w:pPr>
            <w:r>
              <w:rPr>
                <w:rFonts w:ascii="Arial" w:hAnsi="Arial"/>
                <w:sz w:val="17"/>
              </w:rPr>
              <w:t>No change</w:t>
            </w:r>
          </w:p>
        </w:tc>
        <w:tc>
          <w:tcPr>
            <w:tcW w:type="dxa" w:w="3791"/>
            <w:vAlign w:val="center"/>
          </w:tcPr>
          <w:p>
            <w:pPr>
              <w:spacing w:after="0"/>
            </w:pPr>
            <w:r>
              <w:rPr>
                <w:rFonts w:ascii="Arial" w:hAnsi="Arial"/>
                <w:sz w:val="17"/>
              </w:rPr>
              <w:t>Confirmed</w:t>
            </w:r>
          </w:p>
        </w:tc>
        <w:tc>
          <w:tcPr>
            <w:tcW w:type="dxa" w:w="3791"/>
            <w:vAlign w:val="center"/>
          </w:tcPr>
          <w:p>
            <w:pPr>
              <w:spacing w:after="0"/>
            </w:pPr>
            <w:r>
              <w:rPr>
                <w:rFonts w:ascii="Arial" w:hAnsi="Arial"/>
                <w:sz w:val="17"/>
              </w:rPr>
              <w:t>DEV206 contains no migration or financial-calculation change</w:t>
            </w:r>
          </w:p>
        </w:tc>
      </w:tr>
      <w:tr>
        <w:tc>
          <w:tcPr>
            <w:tcW w:type="dxa" w:w="3791"/>
            <w:vAlign w:val="center"/>
            <w:shd w:fill="F3F5F7"/>
          </w:tcPr>
          <w:p>
            <w:pPr>
              <w:spacing w:after="0"/>
            </w:pPr>
            <w:r>
              <w:rPr>
                <w:rFonts w:ascii="Arial" w:hAnsi="Arial"/>
                <w:sz w:val="17"/>
              </w:rPr>
              <w:t>Production</w:t>
            </w:r>
          </w:p>
        </w:tc>
        <w:tc>
          <w:tcPr>
            <w:tcW w:type="dxa" w:w="3791"/>
            <w:vAlign w:val="center"/>
            <w:shd w:fill="F3F5F7"/>
          </w:tcPr>
          <w:p>
            <w:pPr>
              <w:spacing w:after="0"/>
            </w:pPr>
            <w:r>
              <w:rPr>
                <w:rFonts w:ascii="Arial" w:hAnsi="Arial"/>
                <w:sz w:val="17"/>
              </w:rPr>
              <w:t>No change without exact approval</w:t>
            </w:r>
          </w:p>
        </w:tc>
        <w:tc>
          <w:tcPr>
            <w:tcW w:type="dxa" w:w="3791"/>
            <w:vAlign w:val="center"/>
            <w:shd w:fill="F3F5F7"/>
          </w:tcPr>
          <w:p>
            <w:pPr>
              <w:spacing w:after="0"/>
            </w:pPr>
            <w:r>
              <w:rPr>
                <w:rFonts w:ascii="Arial" w:hAnsi="Arial"/>
                <w:sz w:val="17"/>
              </w:rPr>
              <w:t>Confirmed</w:t>
            </w:r>
          </w:p>
        </w:tc>
        <w:tc>
          <w:tcPr>
            <w:tcW w:type="dxa" w:w="3791"/>
            <w:vAlign w:val="center"/>
            <w:shd w:fill="F3F5F7"/>
          </w:tcPr>
          <w:p>
            <w:pPr>
              <w:spacing w:after="0"/>
            </w:pPr>
            <w:r>
              <w:rPr>
                <w:rFonts w:ascii="Arial" w:hAnsi="Arial"/>
                <w:sz w:val="17"/>
              </w:rPr>
              <w:t>Production and R2 clone remain untouched</w:t>
            </w:r>
          </w:p>
        </w:tc>
      </w:tr>
    </w:tbl>
    <w:p>
      <w:pPr>
        <w:pStyle w:val="Heading2"/>
      </w:pPr>
      <w:r>
        <w:t>Mandatory pre deployment sequence</w:t>
      </w:r>
    </w:p>
    <w:p>
      <w:pPr>
        <w:pStyle w:val="ListNumber"/>
      </w:pPr>
      <w:r>
        <w:t>Freeze and checksum the exact candidate files.</w:t>
      </w:r>
    </w:p>
    <w:p>
      <w:pPr>
        <w:pStyle w:val="ListNumber"/>
      </w:pPr>
      <w:r>
        <w:t>Complete the control-by-control comparison above against the packaged files, not only the working tree.</w:t>
      </w:r>
    </w:p>
    <w:p>
      <w:pPr>
        <w:pStyle w:val="ListNumber"/>
      </w:pPr>
      <w:r>
        <w:t>Run focused authorization, navigation, leave, Administrator configuration and unchanged-role regression tests.</w:t>
      </w:r>
    </w:p>
    <w:p>
      <w:pPr>
        <w:pStyle w:val="ListNumber"/>
      </w:pPr>
      <w:r>
        <w:t>Perform authenticated CRM Test UAT for Administrator, Admin Assistant, Managing Director and Accountant.</w:t>
      </w:r>
    </w:p>
    <w:p>
      <w:pPr>
        <w:pStyle w:val="ListNumber"/>
      </w:pPr>
      <w:r>
        <w:t>Record test evidence, rollback package, migration status, security and privacy impact, and production state.</w:t>
      </w:r>
    </w:p>
    <w:p>
      <w:pPr>
        <w:pStyle w:val="ListNumber"/>
      </w:pPr>
      <w:r>
        <w:t>Only then present the exact version and change description for deployment confirmation.</w:t>
      </w:r>
    </w:p>
    <w:sectPr w:rsidR="00FC693F" w:rsidRPr="0006063C" w:rsidSect="00034616">
      <w:footerReference w:type="default" r:id="rId9"/>
      <w:pgSz w:w="16834" w:h="11909" w:orient="landscape"/>
      <w:pgMar w:top="835"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color w:val="666666"/>
        <w:sz w:val="16"/>
      </w:rPr>
      <w:t>NYSA CORE  |  Role Access Conditions  |  DEV205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NYSA CORE Role Access Conditions As Built</dc:title>
  <dc:subject>DEV205 deployed role separation and DEV206 correction release gate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