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Calibri" w:cs="Calibri" w:eastAsia="Calibri" w:hAnsi="Calibri"/>
          <w:b/>
          <w:bCs/>
          <w:color w:val="1E3A5F"/>
          <w:sz w:val="80"/>
          <w:szCs w:val="80"/>
        </w:rPr>
        <w:t xml:space="preserve">SpreadCharts</w:t>
      </w:r>
    </w:p>
    <w:p>
      <w:pPr>
        <w:spacing w:after="80"/>
        <w:jc w:val="center"/>
      </w:pPr>
      <w:r>
        <w:rPr>
          <w:rFonts w:ascii="Calibri" w:cs="Calibri" w:eastAsia="Calibri" w:hAnsi="Calibri"/>
          <w:color w:val="0D7377"/>
          <w:sz w:val="48"/>
          <w:szCs w:val="48"/>
        </w:rPr>
        <w:t xml:space="preserve">Technical Documentation</w:t>
      </w:r>
    </w:p>
    <w:p>
      <w:pPr>
        <w:spacing w:after="400"/>
        <w:jc w:val="center"/>
      </w:pPr>
      <w:r>
        <w:rPr>
          <w:rFonts w:ascii="Calibri" w:cs="Calibri" w:eastAsia="Calibri" w:hAnsi="Calibri"/>
          <w:i/>
          <w:iCs/>
          <w:color w:val="94A3B8"/>
          <w:sz w:val="28"/>
          <w:szCs w:val="28"/>
        </w:rPr>
        <w:t xml:space="preserve">Internal Trading Analytics Platform</w:t>
      </w:r>
    </w:p>
    <w:p>
      <w:pPr>
        <w:spacing w:after="80"/>
        <w:jc w:val="center"/>
      </w:pPr>
      <w:r>
        <w:rPr>
          <w:rFonts w:ascii="Calibri" w:cs="Calibri" w:eastAsia="Calibri" w:hAnsi="Calibri"/>
          <w:color w:val="334155"/>
          <w:sz w:val="22"/>
          <w:szCs w:val="22"/>
        </w:rPr>
        <w:t xml:space="preserve">Prepared by: Ajit Yadav</w:t>
      </w:r>
    </w:p>
    <w:p>
      <w:pPr>
        <w:spacing w:after="80"/>
        <w:jc w:val="center"/>
      </w:pPr>
      <w:r>
        <w:rPr>
          <w:rFonts w:ascii="Calibri" w:cs="Calibri" w:eastAsia="Calibri" w:hAnsi="Calibri"/>
          <w:color w:val="334155"/>
          <w:sz w:val="22"/>
          <w:szCs w:val="22"/>
        </w:rPr>
        <w:t xml:space="preserve">Date: 25 June 2026</w:t>
      </w:r>
    </w:p>
    <w:p>
      <w:r>
        <w:br w:type="page"/>
      </w:r>
    </w:p>
    <w:p>
      <w:pPr>
        <w:pStyle w:val="Heading1"/>
        <w:spacing w:after="160" w:before="400"/>
      </w:pPr>
      <w:r>
        <w:t xml:space="preserve">1. Project Overview</w:t>
      </w:r>
      <w:r>
        <w:rPr>
          <w:rFonts w:ascii="Calibri" w:cs="Calibri" w:eastAsia="Calibri" w:hAnsi="Calibri"/>
          <w:b/>
          <w:bCs/>
          <w:color w:val="1E3A5F"/>
          <w:sz w:val="52"/>
          <w:szCs w:val="52"/>
        </w:rPr>
        <w:t xml:space="preserve">1. Project Overview</w:t>
      </w:r>
    </w:p>
    <w:p>
      <w:pPr>
        <w:spacing w:after="100" w:before="40"/>
      </w:pPr>
      <w:r>
        <w:rPr>
          <w:b/>
          <w:bCs/>
          <w:color w:val="0F172A"/>
          <w:sz w:val="22"/>
          <w:szCs w:val="22"/>
        </w:rPr>
        <w:t xml:space="preserve">SpreadCharts</w:t>
      </w:r>
      <w:r>
        <w:rPr>
          <w:color w:val="0F172A"/>
          <w:sz w:val="20"/>
          <w:szCs w:val="20"/>
        </w:rPr>
        <w:t xml:space="preserve"> is a private, internal full-stack web application built exclusively for commodity traders at the firm. It aggregates multiple market data sources — CFTC, ICE, and proprietary warehouse feeds — into a single, dark-mode analytics interface that refreshes automatically, sends automated alerts to Microsoft Teams, and maintains a persistent PostgreSQL database of all ingested data.</w:t>
      </w:r>
    </w:p>
    <w:p>
      <w:pPr>
        <w:pStyle w:val="Heading3"/>
        <w:spacing w:after="80" w:before="240"/>
      </w:pPr>
      <w:r>
        <w:rPr>
          <w:rFonts w:ascii="Calibri" w:cs="Calibri" w:eastAsia="Calibri" w:hAnsi="Calibri"/>
          <w:b/>
          <w:bCs/>
          <w:color w:val="1E3A5F"/>
          <w:sz w:val="28"/>
          <w:szCs w:val="28"/>
        </w:rPr>
        <w:t xml:space="preserve">Core Business Problems Solved</w:t>
      </w:r>
    </w:p>
    <w:p>
      <w:pPr>
        <w:pStyle w:val="ListParagraph"/>
        <w:numPr>
          <w:ilvl w:val="0"/>
          <w:numId w:val="1"/>
        </w:numPr>
        <w:spacing w:after="60"/>
      </w:pPr>
      <w:r>
        <w:rPr>
          <w:color w:val="334155"/>
          <w:sz w:val="20"/>
          <w:szCs w:val="20"/>
        </w:rPr>
        <w:t xml:space="preserve">Traders previously had to download CFTC and ICE COT reports manually each week and paste data into Excel spreadsheets. SpreadCharts ingests these automatically at 08:00 AM every day.</w:t>
      </w:r>
    </w:p>
    <w:p>
      <w:pPr>
        <w:pStyle w:val="ListParagraph"/>
        <w:numPr>
          <w:ilvl w:val="0"/>
          <w:numId w:val="1"/>
        </w:numPr>
        <w:spacing w:after="60"/>
      </w:pPr>
      <w:r>
        <w:rPr>
          <w:color w:val="334155"/>
          <w:sz w:val="20"/>
          <w:szCs w:val="20"/>
        </w:rPr>
        <w:t xml:space="preserve">Cocoa warehouse stock levels were tracked from OneDrive Excel files with no automated synchronisation. SpreadCharts watches those files and syncs changes into a queryable database.</w:t>
      </w:r>
    </w:p>
    <w:p>
      <w:pPr>
        <w:pStyle w:val="ListParagraph"/>
        <w:numPr>
          <w:ilvl w:val="0"/>
          <w:numId w:val="1"/>
        </w:numPr>
        <w:spacing w:after="60"/>
      </w:pPr>
      <w:r>
        <w:rPr>
          <w:color w:val="334155"/>
          <w:sz w:val="20"/>
          <w:szCs w:val="20"/>
        </w:rPr>
        <w:t xml:space="preserve">Monitoring rolling correlations between outright contracts and calendar spreads was manual. SpreadCharts computes Pearson correlation automatically for 63 pairs and sends a Teams alert when a correlation breaks down.</w:t>
      </w:r>
    </w:p>
    <w:p>
      <w:pPr>
        <w:pStyle w:val="ListParagraph"/>
        <w:numPr>
          <w:ilvl w:val="0"/>
          <w:numId w:val="1"/>
        </w:numPr>
        <w:spacing w:after="60"/>
      </w:pPr>
      <w:r>
        <w:rPr>
          <w:color w:val="334155"/>
          <w:sz w:val="20"/>
          <w:szCs w:val="20"/>
        </w:rPr>
        <w:t xml:space="preserve">CFTC ATH/ATL (All-Time High / All-Time Low) position events had no alerting. SpreadCharts detects and notifies via Teams after every weekly update.</w:t>
      </w:r>
    </w:p>
    <w:p>
      <w:pPr>
        <w:pBdr>
          <w:bottom w:val="single" w:color="E2E8F0" w:sz="6"/>
        </w:pBdr>
        <w:spacing w:after="160"/>
      </w:pPr>
    </w:p>
    <w:p>
      <w:pPr>
        <w:pStyle w:val="Heading1"/>
        <w:spacing w:after="160" w:before="400"/>
      </w:pPr>
      <w:r>
        <w:t xml:space="preserve">2. Complete Technology Stack</w:t>
      </w:r>
      <w:r>
        <w:rPr>
          <w:rFonts w:ascii="Calibri" w:cs="Calibri" w:eastAsia="Calibri" w:hAnsi="Calibri"/>
          <w:b/>
          <w:bCs/>
          <w:color w:val="1E3A5F"/>
          <w:sz w:val="52"/>
          <w:szCs w:val="52"/>
        </w:rPr>
        <w:t xml:space="preserve">2. Complete Technology Stack</w:t>
      </w:r>
    </w:p>
    <w:p>
      <w:pPr>
        <w:pStyle w:val="Heading3"/>
        <w:spacing w:after="80" w:before="240"/>
      </w:pPr>
      <w:r>
        <w:rPr>
          <w:rFonts w:ascii="Calibri" w:cs="Calibri" w:eastAsia="Calibri" w:hAnsi="Calibri"/>
          <w:b/>
          <w:bCs/>
          <w:color w:val="1E3A5F"/>
          <w:sz w:val="28"/>
          <w:szCs w:val="28"/>
        </w:rPr>
        <w:t xml:space="preserve">Frontend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shd w:color="1E293B" w:val="solid"/>
            <w:tcMar>
              <w:top w:type="dxa" w:w="80"/>
              <w:left w:type="dxa" w:w="100"/>
              <w:bottom w:type="dxa" w:w="80"/>
              <w:right w:type="dxa" w:w="100"/>
            </w:tcMar>
          </w:tcPr>
          <w:p>
            <w:pPr>
              <w:jc w:val="left"/>
            </w:pPr>
            <w:r>
              <w:rPr>
                <w:rFonts w:ascii="Calibri" w:cs="Calibri" w:eastAsia="Calibri" w:hAnsi="Calibri"/>
                <w:b/>
                <w:bCs/>
                <w:color w:val="FFFFFF"/>
                <w:sz w:val="18"/>
                <w:szCs w:val="18"/>
              </w:rPr>
              <w:t xml:space="preserve">Technology</w:t>
            </w:r>
          </w:p>
        </w:tc>
        <w:tc>
          <w:tcPr>
            <w:shd w:color="1E293B" w:val="solid"/>
            <w:tcMar>
              <w:top w:type="dxa" w:w="80"/>
              <w:left w:type="dxa" w:w="100"/>
              <w:bottom w:type="dxa" w:w="80"/>
              <w:right w:type="dxa" w:w="100"/>
            </w:tcMar>
          </w:tcPr>
          <w:p>
            <w:pPr>
              <w:jc w:val="left"/>
            </w:pPr>
            <w:r>
              <w:rPr>
                <w:rFonts w:ascii="Calibri" w:cs="Calibri" w:eastAsia="Calibri" w:hAnsi="Calibri"/>
                <w:b/>
                <w:bCs/>
                <w:color w:val="FFFFFF"/>
                <w:sz w:val="18"/>
                <w:szCs w:val="18"/>
              </w:rPr>
              <w:t xml:space="preserve">Version</w:t>
            </w:r>
          </w:p>
        </w:tc>
        <w:tc>
          <w:tcPr>
            <w:shd w:color="1E293B" w:val="solid"/>
            <w:tcMar>
              <w:top w:type="dxa" w:w="80"/>
              <w:left w:type="dxa" w:w="100"/>
              <w:bottom w:type="dxa" w:w="80"/>
              <w:right w:type="dxa" w:w="100"/>
            </w:tcMar>
          </w:tcPr>
          <w:p>
            <w:pPr>
              <w:jc w:val="left"/>
            </w:pPr>
            <w:r>
              <w:rPr>
                <w:rFonts w:ascii="Calibri" w:cs="Calibri" w:eastAsia="Calibri" w:hAnsi="Calibri"/>
                <w:b/>
                <w:bCs/>
                <w:color w:val="FFFFFF"/>
                <w:sz w:val="18"/>
                <w:szCs w:val="18"/>
              </w:rPr>
              <w:t xml:space="preserve">Purpose / Role</w:t>
            </w:r>
          </w:p>
        </w:tc>
      </w:tr>
      <w:tr>
        <w:tc>
          <w:tcPr>
            <w:tcMar>
              <w:top w:type="dxa" w:w="60"/>
              <w:left w:type="dxa" w:w="100"/>
              <w:bottom w:type="dxa" w:w="60"/>
              <w:right w:type="dxa" w:w="100"/>
            </w:tcMar>
          </w:tcPr>
          <w:p>
            <w:r>
              <w:rPr>
                <w:color w:val="334155"/>
                <w:sz w:val="18"/>
                <w:szCs w:val="18"/>
              </w:rPr>
              <w:t xml:space="preserve">React</w:t>
            </w:r>
          </w:p>
        </w:tc>
        <w:tc>
          <w:tcPr>
            <w:tcMar>
              <w:top w:type="dxa" w:w="60"/>
              <w:left w:type="dxa" w:w="100"/>
              <w:bottom w:type="dxa" w:w="60"/>
              <w:right w:type="dxa" w:w="100"/>
            </w:tcMar>
          </w:tcPr>
          <w:p>
            <w:r>
              <w:rPr>
                <w:color w:val="334155"/>
                <w:sz w:val="18"/>
                <w:szCs w:val="18"/>
              </w:rPr>
              <w:t xml:space="preserve">19.2</w:t>
            </w:r>
          </w:p>
        </w:tc>
        <w:tc>
          <w:tcPr>
            <w:tcMar>
              <w:top w:type="dxa" w:w="60"/>
              <w:left w:type="dxa" w:w="100"/>
              <w:bottom w:type="dxa" w:w="60"/>
              <w:right w:type="dxa" w:w="100"/>
            </w:tcMar>
          </w:tcPr>
          <w:p>
            <w:r>
              <w:rPr>
                <w:color w:val="334155"/>
                <w:sz w:val="18"/>
                <w:szCs w:val="18"/>
              </w:rPr>
              <w:t xml:space="preserve">Core UI component framework. Uses function components and hooks throughout.</w:t>
            </w:r>
          </w:p>
        </w:tc>
      </w:tr>
      <w:tr>
        <w:tc>
          <w:tcPr>
            <w:shd w:color="EFF6FF" w:val="solid"/>
            <w:tcMar>
              <w:top w:type="dxa" w:w="60"/>
              <w:left w:type="dxa" w:w="100"/>
              <w:bottom w:type="dxa" w:w="60"/>
              <w:right w:type="dxa" w:w="100"/>
            </w:tcMar>
          </w:tcPr>
          <w:p>
            <w:r>
              <w:rPr>
                <w:color w:val="334155"/>
                <w:sz w:val="18"/>
                <w:szCs w:val="18"/>
              </w:rPr>
              <w:t xml:space="preserve">Redux Toolkit (RTK)</w:t>
            </w:r>
          </w:p>
        </w:tc>
        <w:tc>
          <w:tcPr>
            <w:shd w:color="EFF6FF" w:val="solid"/>
            <w:tcMar>
              <w:top w:type="dxa" w:w="60"/>
              <w:left w:type="dxa" w:w="100"/>
              <w:bottom w:type="dxa" w:w="60"/>
              <w:right w:type="dxa" w:w="100"/>
            </w:tcMar>
          </w:tcPr>
          <w:p>
            <w:r>
              <w:rPr>
                <w:color w:val="334155"/>
                <w:sz w:val="18"/>
                <w:szCs w:val="18"/>
              </w:rPr>
              <w:t xml:space="preserve">2.11</w:t>
            </w:r>
          </w:p>
        </w:tc>
        <w:tc>
          <w:tcPr>
            <w:shd w:color="EFF6FF" w:val="solid"/>
            <w:tcMar>
              <w:top w:type="dxa" w:w="60"/>
              <w:left w:type="dxa" w:w="100"/>
              <w:bottom w:type="dxa" w:w="60"/>
              <w:right w:type="dxa" w:w="100"/>
            </w:tcMar>
          </w:tcPr>
          <w:p>
            <w:r>
              <w:rPr>
                <w:color w:val="334155"/>
                <w:sz w:val="18"/>
                <w:szCs w:val="18"/>
              </w:rPr>
              <w:t xml:space="preserve">Global state management. 4 slices: auth, ui, chartData, ws. Uses Immer for immutable updates.</w:t>
            </w:r>
          </w:p>
        </w:tc>
      </w:tr>
      <w:tr>
        <w:tc>
          <w:tcPr>
            <w:tcMar>
              <w:top w:type="dxa" w:w="60"/>
              <w:left w:type="dxa" w:w="100"/>
              <w:bottom w:type="dxa" w:w="60"/>
              <w:right w:type="dxa" w:w="100"/>
            </w:tcMar>
          </w:tcPr>
          <w:p>
            <w:r>
              <w:rPr>
                <w:color w:val="334155"/>
                <w:sz w:val="18"/>
                <w:szCs w:val="18"/>
              </w:rPr>
              <w:t xml:space="preserve">React Router DOM</w:t>
            </w:r>
          </w:p>
        </w:tc>
        <w:tc>
          <w:tcPr>
            <w:tcMar>
              <w:top w:type="dxa" w:w="60"/>
              <w:left w:type="dxa" w:w="100"/>
              <w:bottom w:type="dxa" w:w="60"/>
              <w:right w:type="dxa" w:w="100"/>
            </w:tcMar>
          </w:tcPr>
          <w:p>
            <w:r>
              <w:rPr>
                <w:color w:val="334155"/>
                <w:sz w:val="18"/>
                <w:szCs w:val="18"/>
              </w:rPr>
              <w:t xml:space="preserve">7.13</w:t>
            </w:r>
          </w:p>
        </w:tc>
        <w:tc>
          <w:tcPr>
            <w:tcMar>
              <w:top w:type="dxa" w:w="60"/>
              <w:left w:type="dxa" w:w="100"/>
              <w:bottom w:type="dxa" w:w="60"/>
              <w:right w:type="dxa" w:w="100"/>
            </w:tcMar>
          </w:tcPr>
          <w:p>
            <w:r>
              <w:rPr>
                <w:color w:val="334155"/>
                <w:sz w:val="18"/>
                <w:szCs w:val="18"/>
              </w:rPr>
              <w:t xml:space="preserve">Client-side routing. Protected routes check JWT in Redux state before rendering.</w:t>
            </w:r>
          </w:p>
        </w:tc>
      </w:tr>
      <w:tr>
        <w:tc>
          <w:tcPr>
            <w:shd w:color="EFF6FF" w:val="solid"/>
            <w:tcMar>
              <w:top w:type="dxa" w:w="60"/>
              <w:left w:type="dxa" w:w="100"/>
              <w:bottom w:type="dxa" w:w="60"/>
              <w:right w:type="dxa" w:w="100"/>
            </w:tcMar>
          </w:tcPr>
          <w:p>
            <w:r>
              <w:rPr>
                <w:color w:val="334155"/>
                <w:sz w:val="18"/>
                <w:szCs w:val="18"/>
              </w:rPr>
              <w:t xml:space="preserve">Recharts</w:t>
            </w:r>
          </w:p>
        </w:tc>
        <w:tc>
          <w:tcPr>
            <w:shd w:color="EFF6FF" w:val="solid"/>
            <w:tcMar>
              <w:top w:type="dxa" w:w="60"/>
              <w:left w:type="dxa" w:w="100"/>
              <w:bottom w:type="dxa" w:w="60"/>
              <w:right w:type="dxa" w:w="100"/>
            </w:tcMar>
          </w:tcPr>
          <w:p>
            <w:r>
              <w:rPr>
                <w:color w:val="334155"/>
                <w:sz w:val="18"/>
                <w:szCs w:val="18"/>
              </w:rPr>
              <w:t xml:space="preserve">3.8</w:t>
            </w:r>
          </w:p>
        </w:tc>
        <w:tc>
          <w:tcPr>
            <w:shd w:color="EFF6FF" w:val="solid"/>
            <w:tcMar>
              <w:top w:type="dxa" w:w="60"/>
              <w:left w:type="dxa" w:w="100"/>
              <w:bottom w:type="dxa" w:w="60"/>
              <w:right w:type="dxa" w:w="100"/>
            </w:tcMar>
          </w:tcPr>
          <w:p>
            <w:r>
              <w:rPr>
                <w:color w:val="334155"/>
                <w:sz w:val="18"/>
                <w:szCs w:val="18"/>
              </w:rPr>
              <w:t xml:space="preserve">ComposedChart used for dual-axis CFTC/ICE charts — amber line (absolute OI) + green/red bars (weekly change).</w:t>
            </w:r>
          </w:p>
        </w:tc>
      </w:tr>
      <w:tr>
        <w:tc>
          <w:tcPr>
            <w:tcMar>
              <w:top w:type="dxa" w:w="60"/>
              <w:left w:type="dxa" w:w="100"/>
              <w:bottom w:type="dxa" w:w="60"/>
              <w:right w:type="dxa" w:w="100"/>
            </w:tcMar>
          </w:tcPr>
          <w:p>
            <w:r>
              <w:rPr>
                <w:color w:val="334155"/>
                <w:sz w:val="18"/>
                <w:szCs w:val="18"/>
              </w:rPr>
              <w:t xml:space="preserve">Lightweight Charts</w:t>
            </w:r>
          </w:p>
        </w:tc>
        <w:tc>
          <w:tcPr>
            <w:tcMar>
              <w:top w:type="dxa" w:w="60"/>
              <w:left w:type="dxa" w:w="100"/>
              <w:bottom w:type="dxa" w:w="60"/>
              <w:right w:type="dxa" w:w="100"/>
            </w:tcMar>
          </w:tcPr>
          <w:p>
            <w:r>
              <w:rPr>
                <w:color w:val="334155"/>
                <w:sz w:val="18"/>
                <w:szCs w:val="18"/>
              </w:rPr>
              <w:t xml:space="preserve">5.1</w:t>
            </w:r>
          </w:p>
        </w:tc>
        <w:tc>
          <w:tcPr>
            <w:tcMar>
              <w:top w:type="dxa" w:w="60"/>
              <w:left w:type="dxa" w:w="100"/>
              <w:bottom w:type="dxa" w:w="60"/>
              <w:right w:type="dxa" w:w="100"/>
            </w:tcMar>
          </w:tcPr>
          <w:p>
            <w:r>
              <w:rPr>
                <w:color w:val="334155"/>
                <w:sz w:val="18"/>
                <w:szCs w:val="18"/>
              </w:rPr>
              <w:t xml:space="preserve">TradingView-style OHLC candlestick charts for the CFTC and ICE Charting sections.</w:t>
            </w:r>
          </w:p>
        </w:tc>
      </w:tr>
      <w:tr>
        <w:tc>
          <w:tcPr>
            <w:shd w:color="EFF6FF" w:val="solid"/>
            <w:tcMar>
              <w:top w:type="dxa" w:w="60"/>
              <w:left w:type="dxa" w:w="100"/>
              <w:bottom w:type="dxa" w:w="60"/>
              <w:right w:type="dxa" w:w="100"/>
            </w:tcMar>
          </w:tcPr>
          <w:p>
            <w:r>
              <w:rPr>
                <w:color w:val="334155"/>
                <w:sz w:val="18"/>
                <w:szCs w:val="18"/>
              </w:rPr>
              <w:t xml:space="preserve">Vite</w:t>
            </w:r>
          </w:p>
        </w:tc>
        <w:tc>
          <w:tcPr>
            <w:shd w:color="EFF6FF" w:val="solid"/>
            <w:tcMar>
              <w:top w:type="dxa" w:w="60"/>
              <w:left w:type="dxa" w:w="100"/>
              <w:bottom w:type="dxa" w:w="60"/>
              <w:right w:type="dxa" w:w="100"/>
            </w:tcMar>
          </w:tcPr>
          <w:p>
            <w:r>
              <w:rPr>
                <w:color w:val="334155"/>
                <w:sz w:val="18"/>
                <w:szCs w:val="18"/>
              </w:rPr>
              <w:t xml:space="preserve">7.3</w:t>
            </w:r>
          </w:p>
        </w:tc>
        <w:tc>
          <w:tcPr>
            <w:shd w:color="EFF6FF" w:val="solid"/>
            <w:tcMar>
              <w:top w:type="dxa" w:w="60"/>
              <w:left w:type="dxa" w:w="100"/>
              <w:bottom w:type="dxa" w:w="60"/>
              <w:right w:type="dxa" w:w="100"/>
            </w:tcMar>
          </w:tcPr>
          <w:p>
            <w:r>
              <w:rPr>
                <w:color w:val="334155"/>
                <w:sz w:val="18"/>
                <w:szCs w:val="18"/>
              </w:rPr>
              <w:t xml:space="preserve">Build tool and development server. Produces optimised ES module bundle in dist/ for production.</w:t>
            </w:r>
          </w:p>
        </w:tc>
      </w:tr>
      <w:tr>
        <w:tc>
          <w:tcPr>
            <w:tcMar>
              <w:top w:type="dxa" w:w="60"/>
              <w:left w:type="dxa" w:w="100"/>
              <w:bottom w:type="dxa" w:w="60"/>
              <w:right w:type="dxa" w:w="100"/>
            </w:tcMar>
          </w:tcPr>
          <w:p>
            <w:r>
              <w:rPr>
                <w:color w:val="334155"/>
                <w:sz w:val="18"/>
                <w:szCs w:val="18"/>
              </w:rPr>
              <w:t xml:space="preserve">Vanilla CSS</w:t>
            </w:r>
          </w:p>
        </w:tc>
        <w:tc>
          <w:tcPr>
            <w:tcMar>
              <w:top w:type="dxa" w:w="60"/>
              <w:left w:type="dxa" w:w="100"/>
              <w:bottom w:type="dxa" w:w="60"/>
              <w:right w:type="dxa" w:w="100"/>
            </w:tcMar>
          </w:tcPr>
          <w:p>
            <w:r>
              <w:rPr>
                <w:color w:val="334155"/>
                <w:sz w:val="18"/>
                <w:szCs w:val="18"/>
              </w:rPr>
              <w:t xml:space="preserve">—</w:t>
            </w:r>
          </w:p>
        </w:tc>
        <w:tc>
          <w:tcPr>
            <w:tcMar>
              <w:top w:type="dxa" w:w="60"/>
              <w:left w:type="dxa" w:w="100"/>
              <w:bottom w:type="dxa" w:w="60"/>
              <w:right w:type="dxa" w:w="100"/>
            </w:tcMar>
          </w:tcPr>
          <w:p>
            <w:r>
              <w:rPr>
                <w:color w:val="334155"/>
                <w:sz w:val="18"/>
                <w:szCs w:val="18"/>
              </w:rPr>
              <w:t xml:space="preserve">All styles written in plain CSS. No Tailwind or Bootstrap — full control over dark-mode design.</w:t>
            </w:r>
          </w:p>
        </w:tc>
      </w:tr>
      <w:tr>
        <w:tc>
          <w:tcPr>
            <w:shd w:color="EFF6FF" w:val="solid"/>
            <w:tcMar>
              <w:top w:type="dxa" w:w="60"/>
              <w:left w:type="dxa" w:w="100"/>
              <w:bottom w:type="dxa" w:w="60"/>
              <w:right w:type="dxa" w:w="100"/>
            </w:tcMar>
          </w:tcPr>
          <w:p>
            <w:r>
              <w:rPr>
                <w:color w:val="334155"/>
                <w:sz w:val="18"/>
                <w:szCs w:val="18"/>
              </w:rPr>
              <w:t xml:space="preserve">Inter (Google Font)</w:t>
            </w:r>
          </w:p>
        </w:tc>
        <w:tc>
          <w:tcPr>
            <w:shd w:color="EFF6FF" w:val="solid"/>
            <w:tcMar>
              <w:top w:type="dxa" w:w="60"/>
              <w:left w:type="dxa" w:w="100"/>
              <w:bottom w:type="dxa" w:w="60"/>
              <w:right w:type="dxa" w:w="100"/>
            </w:tcMar>
          </w:tcPr>
          <w:p>
            <w:r>
              <w:rPr>
                <w:color w:val="334155"/>
                <w:sz w:val="18"/>
                <w:szCs w:val="18"/>
              </w:rPr>
              <w:t xml:space="preserve">—</w:t>
            </w:r>
          </w:p>
        </w:tc>
        <w:tc>
          <w:tcPr>
            <w:shd w:color="EFF6FF" w:val="solid"/>
            <w:tcMar>
              <w:top w:type="dxa" w:w="60"/>
              <w:left w:type="dxa" w:w="100"/>
              <w:bottom w:type="dxa" w:w="60"/>
              <w:right w:type="dxa" w:w="100"/>
            </w:tcMar>
          </w:tcPr>
          <w:p>
            <w:r>
              <w:rPr>
                <w:color w:val="334155"/>
                <w:sz w:val="18"/>
                <w:szCs w:val="18"/>
              </w:rPr>
              <w:t xml:space="preserve">Primary typeface for the dashboard UI.</w:t>
            </w:r>
          </w:p>
        </w:tc>
      </w:tr>
    </w:tbl>
    <w:p>
      <w:pPr>
        <w:spacing w:after="200"/>
      </w:pPr>
    </w:p>
    <w:p>
      <w:pPr>
        <w:pStyle w:val="Heading3"/>
        <w:spacing w:after="80" w:before="240"/>
      </w:pPr>
      <w:r>
        <w:rPr>
          <w:rFonts w:ascii="Calibri" w:cs="Calibri" w:eastAsia="Calibri" w:hAnsi="Calibri"/>
          <w:b/>
          <w:bCs/>
          <w:color w:val="1E3A5F"/>
          <w:sz w:val="28"/>
          <w:szCs w:val="28"/>
        </w:rPr>
        <w:t xml:space="preserve">Backend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shd w:color="1E293B" w:val="solid"/>
            <w:tcMar>
              <w:top w:type="dxa" w:w="80"/>
              <w:left w:type="dxa" w:w="100"/>
              <w:bottom w:type="dxa" w:w="80"/>
              <w:right w:type="dxa" w:w="100"/>
            </w:tcMar>
          </w:tcPr>
          <w:p>
            <w:pPr>
              <w:jc w:val="left"/>
            </w:pPr>
            <w:r>
              <w:rPr>
                <w:rFonts w:ascii="Calibri" w:cs="Calibri" w:eastAsia="Calibri" w:hAnsi="Calibri"/>
                <w:b/>
                <w:bCs/>
                <w:color w:val="FFFFFF"/>
                <w:sz w:val="18"/>
                <w:szCs w:val="18"/>
              </w:rPr>
              <w:t xml:space="preserve">Technology</w:t>
            </w:r>
          </w:p>
        </w:tc>
        <w:tc>
          <w:tcPr>
            <w:shd w:color="1E293B" w:val="solid"/>
            <w:tcMar>
              <w:top w:type="dxa" w:w="80"/>
              <w:left w:type="dxa" w:w="100"/>
              <w:bottom w:type="dxa" w:w="80"/>
              <w:right w:type="dxa" w:w="100"/>
            </w:tcMar>
          </w:tcPr>
          <w:p>
            <w:pPr>
              <w:jc w:val="left"/>
            </w:pPr>
            <w:r>
              <w:rPr>
                <w:rFonts w:ascii="Calibri" w:cs="Calibri" w:eastAsia="Calibri" w:hAnsi="Calibri"/>
                <w:b/>
                <w:bCs/>
                <w:color w:val="FFFFFF"/>
                <w:sz w:val="18"/>
                <w:szCs w:val="18"/>
              </w:rPr>
              <w:t xml:space="preserve">Version</w:t>
            </w:r>
          </w:p>
        </w:tc>
        <w:tc>
          <w:tcPr>
            <w:shd w:color="1E293B" w:val="solid"/>
            <w:tcMar>
              <w:top w:type="dxa" w:w="80"/>
              <w:left w:type="dxa" w:w="100"/>
              <w:bottom w:type="dxa" w:w="80"/>
              <w:right w:type="dxa" w:w="100"/>
            </w:tcMar>
          </w:tcPr>
          <w:p>
            <w:pPr>
              <w:jc w:val="left"/>
            </w:pPr>
            <w:r>
              <w:rPr>
                <w:rFonts w:ascii="Calibri" w:cs="Calibri" w:eastAsia="Calibri" w:hAnsi="Calibri"/>
                <w:b/>
                <w:bCs/>
                <w:color w:val="FFFFFF"/>
                <w:sz w:val="18"/>
                <w:szCs w:val="18"/>
              </w:rPr>
              <w:t xml:space="preserve">Purpose / Role</w:t>
            </w:r>
          </w:p>
        </w:tc>
      </w:tr>
      <w:tr>
        <w:tc>
          <w:tcPr>
            <w:tcMar>
              <w:top w:type="dxa" w:w="60"/>
              <w:left w:type="dxa" w:w="100"/>
              <w:bottom w:type="dxa" w:w="60"/>
              <w:right w:type="dxa" w:w="100"/>
            </w:tcMar>
          </w:tcPr>
          <w:p>
            <w:r>
              <w:rPr>
                <w:color w:val="334155"/>
                <w:sz w:val="18"/>
                <w:szCs w:val="18"/>
              </w:rPr>
              <w:t xml:space="preserve">Node.js</w:t>
            </w:r>
          </w:p>
        </w:tc>
        <w:tc>
          <w:tcPr>
            <w:tcMar>
              <w:top w:type="dxa" w:w="60"/>
              <w:left w:type="dxa" w:w="100"/>
              <w:bottom w:type="dxa" w:w="60"/>
              <w:right w:type="dxa" w:w="100"/>
            </w:tcMar>
          </w:tcPr>
          <w:p>
            <w:r>
              <w:rPr>
                <w:color w:val="334155"/>
                <w:sz w:val="18"/>
                <w:szCs w:val="18"/>
              </w:rPr>
              <w:t xml:space="preserve">LTS</w:t>
            </w:r>
          </w:p>
        </w:tc>
        <w:tc>
          <w:tcPr>
            <w:tcMar>
              <w:top w:type="dxa" w:w="60"/>
              <w:left w:type="dxa" w:w="100"/>
              <w:bottom w:type="dxa" w:w="60"/>
              <w:right w:type="dxa" w:w="100"/>
            </w:tcMar>
          </w:tcPr>
          <w:p>
            <w:r>
              <w:rPr>
                <w:color w:val="334155"/>
                <w:sz w:val="18"/>
                <w:szCs w:val="18"/>
              </w:rPr>
              <w:t xml:space="preserve">JavaScript runtime. Runs the Express server and all background services.</w:t>
            </w:r>
          </w:p>
        </w:tc>
      </w:tr>
      <w:tr>
        <w:tc>
          <w:tcPr>
            <w:shd w:color="EFF6FF" w:val="solid"/>
            <w:tcMar>
              <w:top w:type="dxa" w:w="60"/>
              <w:left w:type="dxa" w:w="100"/>
              <w:bottom w:type="dxa" w:w="60"/>
              <w:right w:type="dxa" w:w="100"/>
            </w:tcMar>
          </w:tcPr>
          <w:p>
            <w:r>
              <w:rPr>
                <w:color w:val="334155"/>
                <w:sz w:val="18"/>
                <w:szCs w:val="18"/>
              </w:rPr>
              <w:t xml:space="preserve">Express.js</w:t>
            </w:r>
          </w:p>
        </w:tc>
        <w:tc>
          <w:tcPr>
            <w:shd w:color="EFF6FF" w:val="solid"/>
            <w:tcMar>
              <w:top w:type="dxa" w:w="60"/>
              <w:left w:type="dxa" w:w="100"/>
              <w:bottom w:type="dxa" w:w="60"/>
              <w:right w:type="dxa" w:w="100"/>
            </w:tcMar>
          </w:tcPr>
          <w:p>
            <w:r>
              <w:rPr>
                <w:color w:val="334155"/>
                <w:sz w:val="18"/>
                <w:szCs w:val="18"/>
              </w:rPr>
              <w:t xml:space="preserve">5.2</w:t>
            </w:r>
          </w:p>
        </w:tc>
        <w:tc>
          <w:tcPr>
            <w:shd w:color="EFF6FF" w:val="solid"/>
            <w:tcMar>
              <w:top w:type="dxa" w:w="60"/>
              <w:left w:type="dxa" w:w="100"/>
              <w:bottom w:type="dxa" w:w="60"/>
              <w:right w:type="dxa" w:w="100"/>
            </w:tcMar>
          </w:tcPr>
          <w:p>
            <w:r>
              <w:rPr>
                <w:color w:val="334155"/>
                <w:sz w:val="18"/>
                <w:szCs w:val="18"/>
              </w:rPr>
              <w:t xml:space="preserve">HTTP server framework. Handles REST API routes, JWT middleware, and serves the React build as static files.</w:t>
            </w:r>
          </w:p>
        </w:tc>
      </w:tr>
      <w:tr>
        <w:tc>
          <w:tcPr>
            <w:tcMar>
              <w:top w:type="dxa" w:w="60"/>
              <w:left w:type="dxa" w:w="100"/>
              <w:bottom w:type="dxa" w:w="60"/>
              <w:right w:type="dxa" w:w="100"/>
            </w:tcMar>
          </w:tcPr>
          <w:p>
            <w:r>
              <w:rPr>
                <w:color w:val="334155"/>
                <w:sz w:val="18"/>
                <w:szCs w:val="18"/>
              </w:rPr>
              <w:t xml:space="preserve">node-cron</w:t>
            </w:r>
          </w:p>
        </w:tc>
        <w:tc>
          <w:tcPr>
            <w:tcMar>
              <w:top w:type="dxa" w:w="60"/>
              <w:left w:type="dxa" w:w="100"/>
              <w:bottom w:type="dxa" w:w="60"/>
              <w:right w:type="dxa" w:w="100"/>
            </w:tcMar>
          </w:tcPr>
          <w:p>
            <w:r>
              <w:rPr>
                <w:color w:val="334155"/>
                <w:sz w:val="18"/>
                <w:szCs w:val="18"/>
              </w:rPr>
              <w:t xml:space="preserve">4.2</w:t>
            </w:r>
          </w:p>
        </w:tc>
        <w:tc>
          <w:tcPr>
            <w:tcMar>
              <w:top w:type="dxa" w:w="60"/>
              <w:left w:type="dxa" w:w="100"/>
              <w:bottom w:type="dxa" w:w="60"/>
              <w:right w:type="dxa" w:w="100"/>
            </w:tcMar>
          </w:tcPr>
          <w:p>
            <w:r>
              <w:rPr>
                <w:color w:val="334155"/>
                <w:sz w:val="18"/>
                <w:szCs w:val="18"/>
              </w:rPr>
              <w:t xml:space="preserve">Cron-style task scheduler. Runs 4 scheduled jobs (CFTC, ICE, Warehouse, OI, Opening Variation) within the same Node.js process.</w:t>
            </w:r>
          </w:p>
        </w:tc>
      </w:tr>
      <w:tr>
        <w:tc>
          <w:tcPr>
            <w:shd w:color="EFF6FF" w:val="solid"/>
            <w:tcMar>
              <w:top w:type="dxa" w:w="60"/>
              <w:left w:type="dxa" w:w="100"/>
              <w:bottom w:type="dxa" w:w="60"/>
              <w:right w:type="dxa" w:w="100"/>
            </w:tcMar>
          </w:tcPr>
          <w:p>
            <w:r>
              <w:rPr>
                <w:color w:val="334155"/>
                <w:sz w:val="18"/>
                <w:szCs w:val="18"/>
              </w:rPr>
              <w:t xml:space="preserve">Axios</w:t>
            </w:r>
          </w:p>
        </w:tc>
        <w:tc>
          <w:tcPr>
            <w:shd w:color="EFF6FF" w:val="solid"/>
            <w:tcMar>
              <w:top w:type="dxa" w:w="60"/>
              <w:left w:type="dxa" w:w="100"/>
              <w:bottom w:type="dxa" w:w="60"/>
              <w:right w:type="dxa" w:w="100"/>
            </w:tcMar>
          </w:tcPr>
          <w:p>
            <w:r>
              <w:rPr>
                <w:color w:val="334155"/>
                <w:sz w:val="18"/>
                <w:szCs w:val="18"/>
              </w:rPr>
              <w:t xml:space="preserve">1.13</w:t>
            </w:r>
          </w:p>
        </w:tc>
        <w:tc>
          <w:tcPr>
            <w:shd w:color="EFF6FF" w:val="solid"/>
            <w:tcMar>
              <w:top w:type="dxa" w:w="60"/>
              <w:left w:type="dxa" w:w="100"/>
              <w:bottom w:type="dxa" w:w="60"/>
              <w:right w:type="dxa" w:w="100"/>
            </w:tcMar>
          </w:tcPr>
          <w:p>
            <w:r>
              <w:rPr>
                <w:color w:val="334155"/>
                <w:sz w:val="18"/>
                <w:szCs w:val="18"/>
              </w:rPr>
              <w:t xml:space="preserve">HTTP client. Used by all services to fetch data from CFTC.gov, ICE.com, and the internal QH market data API.</w:t>
            </w:r>
          </w:p>
        </w:tc>
      </w:tr>
      <w:tr>
        <w:tc>
          <w:tcPr>
            <w:tcMar>
              <w:top w:type="dxa" w:w="60"/>
              <w:left w:type="dxa" w:w="100"/>
              <w:bottom w:type="dxa" w:w="60"/>
              <w:right w:type="dxa" w:w="100"/>
            </w:tcMar>
          </w:tcPr>
          <w:p>
            <w:r>
              <w:rPr>
                <w:color w:val="334155"/>
                <w:sz w:val="18"/>
                <w:szCs w:val="18"/>
              </w:rPr>
              <w:t xml:space="preserve">csv-parse</w:t>
            </w:r>
          </w:p>
        </w:tc>
        <w:tc>
          <w:tcPr>
            <w:tcMar>
              <w:top w:type="dxa" w:w="60"/>
              <w:left w:type="dxa" w:w="100"/>
              <w:bottom w:type="dxa" w:w="60"/>
              <w:right w:type="dxa" w:w="100"/>
            </w:tcMar>
          </w:tcPr>
          <w:p>
            <w:r>
              <w:rPr>
                <w:color w:val="334155"/>
                <w:sz w:val="18"/>
                <w:szCs w:val="18"/>
              </w:rPr>
              <w:t xml:space="preserve">6.1</w:t>
            </w:r>
          </w:p>
        </w:tc>
        <w:tc>
          <w:tcPr>
            <w:tcMar>
              <w:top w:type="dxa" w:w="60"/>
              <w:left w:type="dxa" w:w="100"/>
              <w:bottom w:type="dxa" w:w="60"/>
              <w:right w:type="dxa" w:w="100"/>
            </w:tcMar>
          </w:tcPr>
          <w:p>
            <w:r>
              <w:rPr>
                <w:color w:val="334155"/>
                <w:sz w:val="18"/>
                <w:szCs w:val="18"/>
              </w:rPr>
              <w:t xml:space="preserve">Parses CFTC and ICE raw CSV files. CFTC file has no header row — columns mapped positionally.</w:t>
            </w:r>
          </w:p>
        </w:tc>
      </w:tr>
      <w:tr>
        <w:tc>
          <w:tcPr>
            <w:shd w:color="EFF6FF" w:val="solid"/>
            <w:tcMar>
              <w:top w:type="dxa" w:w="60"/>
              <w:left w:type="dxa" w:w="100"/>
              <w:bottom w:type="dxa" w:w="60"/>
              <w:right w:type="dxa" w:w="100"/>
            </w:tcMar>
          </w:tcPr>
          <w:p>
            <w:r>
              <w:rPr>
                <w:color w:val="334155"/>
                <w:sz w:val="18"/>
                <w:szCs w:val="18"/>
              </w:rPr>
              <w:t xml:space="preserve">xlsx</w:t>
            </w:r>
          </w:p>
        </w:tc>
        <w:tc>
          <w:tcPr>
            <w:shd w:color="EFF6FF" w:val="solid"/>
            <w:tcMar>
              <w:top w:type="dxa" w:w="60"/>
              <w:left w:type="dxa" w:w="100"/>
              <w:bottom w:type="dxa" w:w="60"/>
              <w:right w:type="dxa" w:w="100"/>
            </w:tcMar>
          </w:tcPr>
          <w:p>
            <w:r>
              <w:rPr>
                <w:color w:val="334155"/>
                <w:sz w:val="18"/>
                <w:szCs w:val="18"/>
              </w:rPr>
              <w:t xml:space="preserve">0.18</w:t>
            </w:r>
          </w:p>
        </w:tc>
        <w:tc>
          <w:tcPr>
            <w:shd w:color="EFF6FF" w:val="solid"/>
            <w:tcMar>
              <w:top w:type="dxa" w:w="60"/>
              <w:left w:type="dxa" w:w="100"/>
              <w:bottom w:type="dxa" w:w="60"/>
              <w:right w:type="dxa" w:w="100"/>
            </w:tcMar>
          </w:tcPr>
          <w:p>
            <w:r>
              <w:rPr>
                <w:color w:val="334155"/>
                <w:sz w:val="18"/>
                <w:szCs w:val="18"/>
              </w:rPr>
              <w:t xml:space="preserve">Reads Excel (.xlsx) files from OneDrive shares for all Cocoa warehouse sync services.</w:t>
            </w:r>
          </w:p>
        </w:tc>
      </w:tr>
      <w:tr>
        <w:tc>
          <w:tcPr>
            <w:tcMar>
              <w:top w:type="dxa" w:w="60"/>
              <w:left w:type="dxa" w:w="100"/>
              <w:bottom w:type="dxa" w:w="60"/>
              <w:right w:type="dxa" w:w="100"/>
            </w:tcMar>
          </w:tcPr>
          <w:p>
            <w:r>
              <w:rPr>
                <w:color w:val="334155"/>
                <w:sz w:val="18"/>
                <w:szCs w:val="18"/>
              </w:rPr>
              <w:t xml:space="preserve">Chokidar</w:t>
            </w:r>
          </w:p>
        </w:tc>
        <w:tc>
          <w:tcPr>
            <w:tcMar>
              <w:top w:type="dxa" w:w="60"/>
              <w:left w:type="dxa" w:w="100"/>
              <w:bottom w:type="dxa" w:w="60"/>
              <w:right w:type="dxa" w:w="100"/>
            </w:tcMar>
          </w:tcPr>
          <w:p>
            <w:r>
              <w:rPr>
                <w:color w:val="334155"/>
                <w:sz w:val="18"/>
                <w:szCs w:val="18"/>
              </w:rPr>
              <w:t xml:space="preserve">5.0</w:t>
            </w:r>
          </w:p>
        </w:tc>
        <w:tc>
          <w:tcPr>
            <w:tcMar>
              <w:top w:type="dxa" w:w="60"/>
              <w:left w:type="dxa" w:w="100"/>
              <w:bottom w:type="dxa" w:w="60"/>
              <w:right w:type="dxa" w:w="100"/>
            </w:tcMar>
          </w:tcPr>
          <w:p>
            <w:r>
              <w:rPr>
                <w:color w:val="334155"/>
                <w:sz w:val="18"/>
                <w:szCs w:val="18"/>
              </w:rPr>
              <w:t xml:space="preserve">File system watcher. Monitors OneDrive-mapped paths and triggers warehouse sync when Excel files change.</w:t>
            </w:r>
          </w:p>
        </w:tc>
      </w:tr>
      <w:tr>
        <w:tc>
          <w:tcPr>
            <w:shd w:color="EFF6FF" w:val="solid"/>
            <w:tcMar>
              <w:top w:type="dxa" w:w="60"/>
              <w:left w:type="dxa" w:w="100"/>
              <w:bottom w:type="dxa" w:w="60"/>
              <w:right w:type="dxa" w:w="100"/>
            </w:tcMar>
          </w:tcPr>
          <w:p>
            <w:r>
              <w:rPr>
                <w:color w:val="334155"/>
                <w:sz w:val="18"/>
                <w:szCs w:val="18"/>
              </w:rPr>
              <w:t xml:space="preserve">dotenv</w:t>
            </w:r>
          </w:p>
        </w:tc>
        <w:tc>
          <w:tcPr>
            <w:shd w:color="EFF6FF" w:val="solid"/>
            <w:tcMar>
              <w:top w:type="dxa" w:w="60"/>
              <w:left w:type="dxa" w:w="100"/>
              <w:bottom w:type="dxa" w:w="60"/>
              <w:right w:type="dxa" w:w="100"/>
            </w:tcMar>
          </w:tcPr>
          <w:p>
            <w:r>
              <w:rPr>
                <w:color w:val="334155"/>
                <w:sz w:val="18"/>
                <w:szCs w:val="18"/>
              </w:rPr>
              <w:t xml:space="preserve">17.3</w:t>
            </w:r>
          </w:p>
        </w:tc>
        <w:tc>
          <w:tcPr>
            <w:shd w:color="EFF6FF" w:val="solid"/>
            <w:tcMar>
              <w:top w:type="dxa" w:w="60"/>
              <w:left w:type="dxa" w:w="100"/>
              <w:bottom w:type="dxa" w:w="60"/>
              <w:right w:type="dxa" w:w="100"/>
            </w:tcMar>
          </w:tcPr>
          <w:p>
            <w:r>
              <w:rPr>
                <w:color w:val="334155"/>
                <w:sz w:val="18"/>
                <w:szCs w:val="18"/>
              </w:rPr>
              <w:t xml:space="preserve">Loads environment variables from server/.env at startup.</w:t>
            </w:r>
          </w:p>
        </w:tc>
      </w:tr>
      <w:tr>
        <w:tc>
          <w:tcPr>
            <w:tcMar>
              <w:top w:type="dxa" w:w="60"/>
              <w:left w:type="dxa" w:w="100"/>
              <w:bottom w:type="dxa" w:w="60"/>
              <w:right w:type="dxa" w:w="100"/>
            </w:tcMar>
          </w:tcPr>
          <w:p>
            <w:r>
              <w:rPr>
                <w:color w:val="334155"/>
                <w:sz w:val="18"/>
                <w:szCs w:val="18"/>
              </w:rPr>
              <w:t xml:space="preserve">Tesseract.js</w:t>
            </w:r>
          </w:p>
        </w:tc>
        <w:tc>
          <w:tcPr>
            <w:tcMar>
              <w:top w:type="dxa" w:w="60"/>
              <w:left w:type="dxa" w:w="100"/>
              <w:bottom w:type="dxa" w:w="60"/>
              <w:right w:type="dxa" w:w="100"/>
            </w:tcMar>
          </w:tcPr>
          <w:p>
            <w:r>
              <w:rPr>
                <w:color w:val="334155"/>
                <w:sz w:val="18"/>
                <w:szCs w:val="18"/>
              </w:rPr>
              <w:t xml:space="preserve">7.0</w:t>
            </w:r>
          </w:p>
        </w:tc>
        <w:tc>
          <w:tcPr>
            <w:tcMar>
              <w:top w:type="dxa" w:w="60"/>
              <w:left w:type="dxa" w:w="100"/>
              <w:bottom w:type="dxa" w:w="60"/>
              <w:right w:type="dxa" w:w="100"/>
            </w:tcMar>
          </w:tcPr>
          <w:p>
            <w:r>
              <w:rPr>
                <w:color w:val="334155"/>
                <w:sz w:val="18"/>
                <w:szCs w:val="18"/>
              </w:rPr>
              <w:t xml:space="preserve">OCR engine. Used in cocoaRatiosOcrSync.js to extract numeric data from product ratio screenshots.</w:t>
            </w:r>
          </w:p>
        </w:tc>
      </w:tr>
    </w:tbl>
    <w:p>
      <w:pPr>
        <w:spacing w:after="200"/>
      </w:pPr>
    </w:p>
    <w:p>
      <w:pPr>
        <w:pStyle w:val="Heading3"/>
        <w:spacing w:after="80" w:before="240"/>
      </w:pPr>
      <w:r>
        <w:rPr>
          <w:rFonts w:ascii="Calibri" w:cs="Calibri" w:eastAsia="Calibri" w:hAnsi="Calibri"/>
          <w:b/>
          <w:bCs/>
          <w:color w:val="1E3A5F"/>
          <w:sz w:val="28"/>
          <w:szCs w:val="28"/>
        </w:rPr>
        <w:t xml:space="preserve">Authentication &amp; Security</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shd w:color="1E293B" w:val="solid"/>
            <w:tcMar>
              <w:top w:type="dxa" w:w="80"/>
              <w:left w:type="dxa" w:w="100"/>
              <w:bottom w:type="dxa" w:w="80"/>
              <w:right w:type="dxa" w:w="100"/>
            </w:tcMar>
          </w:tcPr>
          <w:p>
            <w:pPr>
              <w:jc w:val="left"/>
            </w:pPr>
            <w:r>
              <w:rPr>
                <w:rFonts w:ascii="Calibri" w:cs="Calibri" w:eastAsia="Calibri" w:hAnsi="Calibri"/>
                <w:b/>
                <w:bCs/>
                <w:color w:val="FFFFFF"/>
                <w:sz w:val="18"/>
                <w:szCs w:val="18"/>
              </w:rPr>
              <w:t xml:space="preserve">Technology</w:t>
            </w:r>
          </w:p>
        </w:tc>
        <w:tc>
          <w:tcPr>
            <w:shd w:color="1E293B" w:val="solid"/>
            <w:tcMar>
              <w:top w:type="dxa" w:w="80"/>
              <w:left w:type="dxa" w:w="100"/>
              <w:bottom w:type="dxa" w:w="80"/>
              <w:right w:type="dxa" w:w="100"/>
            </w:tcMar>
          </w:tcPr>
          <w:p>
            <w:pPr>
              <w:jc w:val="left"/>
            </w:pPr>
            <w:r>
              <w:rPr>
                <w:rFonts w:ascii="Calibri" w:cs="Calibri" w:eastAsia="Calibri" w:hAnsi="Calibri"/>
                <w:b/>
                <w:bCs/>
                <w:color w:val="FFFFFF"/>
                <w:sz w:val="18"/>
                <w:szCs w:val="18"/>
              </w:rPr>
              <w:t xml:space="preserve">Version</w:t>
            </w:r>
          </w:p>
        </w:tc>
        <w:tc>
          <w:tcPr>
            <w:shd w:color="1E293B" w:val="solid"/>
            <w:tcMar>
              <w:top w:type="dxa" w:w="80"/>
              <w:left w:type="dxa" w:w="100"/>
              <w:bottom w:type="dxa" w:w="80"/>
              <w:right w:type="dxa" w:w="100"/>
            </w:tcMar>
          </w:tcPr>
          <w:p>
            <w:pPr>
              <w:jc w:val="left"/>
            </w:pPr>
            <w:r>
              <w:rPr>
                <w:rFonts w:ascii="Calibri" w:cs="Calibri" w:eastAsia="Calibri" w:hAnsi="Calibri"/>
                <w:b/>
                <w:bCs/>
                <w:color w:val="FFFFFF"/>
                <w:sz w:val="18"/>
                <w:szCs w:val="18"/>
              </w:rPr>
              <w:t xml:space="preserve">Purpose / Role</w:t>
            </w:r>
          </w:p>
        </w:tc>
      </w:tr>
      <w:tr>
        <w:tc>
          <w:tcPr>
            <w:tcMar>
              <w:top w:type="dxa" w:w="60"/>
              <w:left w:type="dxa" w:w="100"/>
              <w:bottom w:type="dxa" w:w="60"/>
              <w:right w:type="dxa" w:w="100"/>
            </w:tcMar>
          </w:tcPr>
          <w:p>
            <w:r>
              <w:rPr>
                <w:color w:val="334155"/>
                <w:sz w:val="18"/>
                <w:szCs w:val="18"/>
              </w:rPr>
              <w:t xml:space="preserve">jsonwebtoken (JWT)</w:t>
            </w:r>
          </w:p>
        </w:tc>
        <w:tc>
          <w:tcPr>
            <w:tcMar>
              <w:top w:type="dxa" w:w="60"/>
              <w:left w:type="dxa" w:w="100"/>
              <w:bottom w:type="dxa" w:w="60"/>
              <w:right w:type="dxa" w:w="100"/>
            </w:tcMar>
          </w:tcPr>
          <w:p>
            <w:r>
              <w:rPr>
                <w:color w:val="334155"/>
                <w:sz w:val="18"/>
                <w:szCs w:val="18"/>
              </w:rPr>
              <w:t xml:space="preserve">9.0</w:t>
            </w:r>
          </w:p>
        </w:tc>
        <w:tc>
          <w:tcPr>
            <w:tcMar>
              <w:top w:type="dxa" w:w="60"/>
              <w:left w:type="dxa" w:w="100"/>
              <w:bottom w:type="dxa" w:w="60"/>
              <w:right w:type="dxa" w:w="100"/>
            </w:tcMar>
          </w:tcPr>
          <w:p>
            <w:r>
              <w:rPr>
                <w:color w:val="334155"/>
                <w:sz w:val="18"/>
                <w:szCs w:val="18"/>
              </w:rPr>
              <w:t xml:space="preserve">Creates and verifies signed tokens (HS256 algorithm). Token payload: { id, username, iat, exp }.</w:t>
            </w:r>
          </w:p>
        </w:tc>
      </w:tr>
      <w:tr>
        <w:tc>
          <w:tcPr>
            <w:shd w:color="EFF6FF" w:val="solid"/>
            <w:tcMar>
              <w:top w:type="dxa" w:w="60"/>
              <w:left w:type="dxa" w:w="100"/>
              <w:bottom w:type="dxa" w:w="60"/>
              <w:right w:type="dxa" w:w="100"/>
            </w:tcMar>
          </w:tcPr>
          <w:p>
            <w:r>
              <w:rPr>
                <w:color w:val="334155"/>
                <w:sz w:val="18"/>
                <w:szCs w:val="18"/>
              </w:rPr>
              <w:t xml:space="preserve">bcryptjs</w:t>
            </w:r>
          </w:p>
        </w:tc>
        <w:tc>
          <w:tcPr>
            <w:shd w:color="EFF6FF" w:val="solid"/>
            <w:tcMar>
              <w:top w:type="dxa" w:w="60"/>
              <w:left w:type="dxa" w:w="100"/>
              <w:bottom w:type="dxa" w:w="60"/>
              <w:right w:type="dxa" w:w="100"/>
            </w:tcMar>
          </w:tcPr>
          <w:p>
            <w:r>
              <w:rPr>
                <w:color w:val="334155"/>
                <w:sz w:val="18"/>
                <w:szCs w:val="18"/>
              </w:rPr>
              <w:t xml:space="preserve">3.0</w:t>
            </w:r>
          </w:p>
        </w:tc>
        <w:tc>
          <w:tcPr>
            <w:shd w:color="EFF6FF" w:val="solid"/>
            <w:tcMar>
              <w:top w:type="dxa" w:w="60"/>
              <w:left w:type="dxa" w:w="100"/>
              <w:bottom w:type="dxa" w:w="60"/>
              <w:right w:type="dxa" w:w="100"/>
            </w:tcMar>
          </w:tcPr>
          <w:p>
            <w:r>
              <w:rPr>
                <w:color w:val="334155"/>
                <w:sz w:val="18"/>
                <w:szCs w:val="18"/>
              </w:rPr>
              <w:t xml:space="preserve">One-way adaptive password hashing. 10 salt rounds used. Prevents rainbow-table and brute-force attacks.</w:t>
            </w:r>
          </w:p>
        </w:tc>
      </w:tr>
    </w:tbl>
    <w:p>
      <w:pPr>
        <w:spacing w:after="200"/>
      </w:pPr>
    </w:p>
    <w:p>
      <w:pPr>
        <w:pStyle w:val="Heading3"/>
        <w:spacing w:after="80" w:before="240"/>
      </w:pPr>
      <w:r>
        <w:rPr>
          <w:rFonts w:ascii="Calibri" w:cs="Calibri" w:eastAsia="Calibri" w:hAnsi="Calibri"/>
          <w:b/>
          <w:bCs/>
          <w:color w:val="1E3A5F"/>
          <w:sz w:val="28"/>
          <w:szCs w:val="28"/>
        </w:rPr>
        <w:t xml:space="preserve">Database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shd w:color="1E293B" w:val="solid"/>
            <w:tcMar>
              <w:top w:type="dxa" w:w="80"/>
              <w:left w:type="dxa" w:w="100"/>
              <w:bottom w:type="dxa" w:w="80"/>
              <w:right w:type="dxa" w:w="100"/>
            </w:tcMar>
          </w:tcPr>
          <w:p>
            <w:pPr>
              <w:jc w:val="left"/>
            </w:pPr>
            <w:r>
              <w:rPr>
                <w:rFonts w:ascii="Calibri" w:cs="Calibri" w:eastAsia="Calibri" w:hAnsi="Calibri"/>
                <w:b/>
                <w:bCs/>
                <w:color w:val="FFFFFF"/>
                <w:sz w:val="18"/>
                <w:szCs w:val="18"/>
              </w:rPr>
              <w:t xml:space="preserve">Technology</w:t>
            </w:r>
          </w:p>
        </w:tc>
        <w:tc>
          <w:tcPr>
            <w:shd w:color="1E293B" w:val="solid"/>
            <w:tcMar>
              <w:top w:type="dxa" w:w="80"/>
              <w:left w:type="dxa" w:w="100"/>
              <w:bottom w:type="dxa" w:w="80"/>
              <w:right w:type="dxa" w:w="100"/>
            </w:tcMar>
          </w:tcPr>
          <w:p>
            <w:pPr>
              <w:jc w:val="left"/>
            </w:pPr>
            <w:r>
              <w:rPr>
                <w:rFonts w:ascii="Calibri" w:cs="Calibri" w:eastAsia="Calibri" w:hAnsi="Calibri"/>
                <w:b/>
                <w:bCs/>
                <w:color w:val="FFFFFF"/>
                <w:sz w:val="18"/>
                <w:szCs w:val="18"/>
              </w:rPr>
              <w:t xml:space="preserve">Version</w:t>
            </w:r>
          </w:p>
        </w:tc>
        <w:tc>
          <w:tcPr>
            <w:shd w:color="1E293B" w:val="solid"/>
            <w:tcMar>
              <w:top w:type="dxa" w:w="80"/>
              <w:left w:type="dxa" w:w="100"/>
              <w:bottom w:type="dxa" w:w="80"/>
              <w:right w:type="dxa" w:w="100"/>
            </w:tcMar>
          </w:tcPr>
          <w:p>
            <w:pPr>
              <w:jc w:val="left"/>
            </w:pPr>
            <w:r>
              <w:rPr>
                <w:rFonts w:ascii="Calibri" w:cs="Calibri" w:eastAsia="Calibri" w:hAnsi="Calibri"/>
                <w:b/>
                <w:bCs/>
                <w:color w:val="FFFFFF"/>
                <w:sz w:val="18"/>
                <w:szCs w:val="18"/>
              </w:rPr>
              <w:t xml:space="preserve">Purpose / Role</w:t>
            </w:r>
          </w:p>
        </w:tc>
      </w:tr>
      <w:tr>
        <w:tc>
          <w:tcPr>
            <w:tcMar>
              <w:top w:type="dxa" w:w="60"/>
              <w:left w:type="dxa" w:w="100"/>
              <w:bottom w:type="dxa" w:w="60"/>
              <w:right w:type="dxa" w:w="100"/>
            </w:tcMar>
          </w:tcPr>
          <w:p>
            <w:r>
              <w:rPr>
                <w:color w:val="334155"/>
                <w:sz w:val="18"/>
                <w:szCs w:val="18"/>
              </w:rPr>
              <w:t xml:space="preserve">PostgreSQL</w:t>
            </w:r>
          </w:p>
        </w:tc>
        <w:tc>
          <w:tcPr>
            <w:tcMar>
              <w:top w:type="dxa" w:w="60"/>
              <w:left w:type="dxa" w:w="100"/>
              <w:bottom w:type="dxa" w:w="60"/>
              <w:right w:type="dxa" w:w="100"/>
            </w:tcMar>
          </w:tcPr>
          <w:p>
            <w:r>
              <w:rPr>
                <w:color w:val="334155"/>
                <w:sz w:val="18"/>
                <w:szCs w:val="18"/>
              </w:rPr>
              <w:t xml:space="preserve">(Neon serverless)</w:t>
            </w:r>
          </w:p>
        </w:tc>
        <w:tc>
          <w:tcPr>
            <w:tcMar>
              <w:top w:type="dxa" w:w="60"/>
              <w:left w:type="dxa" w:w="100"/>
              <w:bottom w:type="dxa" w:w="60"/>
              <w:right w:type="dxa" w:w="100"/>
            </w:tcMar>
          </w:tcPr>
          <w:p>
            <w:r>
              <w:rPr>
                <w:color w:val="334155"/>
                <w:sz w:val="18"/>
                <w:szCs w:val="18"/>
              </w:rPr>
              <w:t xml:space="preserve">Primary database. Stores all market data, warehouse data, user accounts, and alert logs.</w:t>
            </w:r>
          </w:p>
        </w:tc>
      </w:tr>
      <w:tr>
        <w:tc>
          <w:tcPr>
            <w:shd w:color="EFF6FF" w:val="solid"/>
            <w:tcMar>
              <w:top w:type="dxa" w:w="60"/>
              <w:left w:type="dxa" w:w="100"/>
              <w:bottom w:type="dxa" w:w="60"/>
              <w:right w:type="dxa" w:w="100"/>
            </w:tcMar>
          </w:tcPr>
          <w:p>
            <w:r>
              <w:rPr>
                <w:color w:val="334155"/>
                <w:sz w:val="18"/>
                <w:szCs w:val="18"/>
              </w:rPr>
              <w:t xml:space="preserve">pg (node-postgres)</w:t>
            </w:r>
          </w:p>
        </w:tc>
        <w:tc>
          <w:tcPr>
            <w:shd w:color="EFF6FF" w:val="solid"/>
            <w:tcMar>
              <w:top w:type="dxa" w:w="60"/>
              <w:left w:type="dxa" w:w="100"/>
              <w:bottom w:type="dxa" w:w="60"/>
              <w:right w:type="dxa" w:w="100"/>
            </w:tcMar>
          </w:tcPr>
          <w:p>
            <w:r>
              <w:rPr>
                <w:color w:val="334155"/>
                <w:sz w:val="18"/>
                <w:szCs w:val="18"/>
              </w:rPr>
              <w:t xml:space="preserve">8.18</w:t>
            </w:r>
          </w:p>
        </w:tc>
        <w:tc>
          <w:tcPr>
            <w:shd w:color="EFF6FF" w:val="solid"/>
            <w:tcMar>
              <w:top w:type="dxa" w:w="60"/>
              <w:left w:type="dxa" w:w="100"/>
              <w:bottom w:type="dxa" w:w="60"/>
              <w:right w:type="dxa" w:w="100"/>
            </w:tcMar>
          </w:tcPr>
          <w:p>
            <w:r>
              <w:rPr>
                <w:color w:val="334155"/>
                <w:sz w:val="18"/>
                <w:szCs w:val="18"/>
              </w:rPr>
              <w:t xml:space="preserve">PostgreSQL driver. Provides a connection Pool singleton used across all services.</w:t>
            </w:r>
          </w:p>
        </w:tc>
      </w:tr>
    </w:tbl>
    <w:p>
      <w:pPr>
        <w:spacing w:after="200"/>
      </w:pPr>
    </w:p>
    <w:p>
      <w:pPr>
        <w:pStyle w:val="Heading3"/>
        <w:spacing w:after="80" w:before="240"/>
      </w:pPr>
      <w:r>
        <w:rPr>
          <w:rFonts w:ascii="Calibri" w:cs="Calibri" w:eastAsia="Calibri" w:hAnsi="Calibri"/>
          <w:b/>
          <w:bCs/>
          <w:color w:val="1E3A5F"/>
          <w:sz w:val="28"/>
          <w:szCs w:val="28"/>
        </w:rPr>
        <w:t xml:space="preserve">Infrastructure &amp; DevOps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shd w:color="1E293B" w:val="solid"/>
            <w:tcMar>
              <w:top w:type="dxa" w:w="80"/>
              <w:left w:type="dxa" w:w="100"/>
              <w:bottom w:type="dxa" w:w="80"/>
              <w:right w:type="dxa" w:w="100"/>
            </w:tcMar>
          </w:tcPr>
          <w:p>
            <w:pPr>
              <w:jc w:val="left"/>
            </w:pPr>
            <w:r>
              <w:rPr>
                <w:rFonts w:ascii="Calibri" w:cs="Calibri" w:eastAsia="Calibri" w:hAnsi="Calibri"/>
                <w:b/>
                <w:bCs/>
                <w:color w:val="FFFFFF"/>
                <w:sz w:val="18"/>
                <w:szCs w:val="18"/>
              </w:rPr>
              <w:t xml:space="preserve">Technology</w:t>
            </w:r>
          </w:p>
        </w:tc>
        <w:tc>
          <w:tcPr>
            <w:shd w:color="1E293B" w:val="solid"/>
            <w:tcMar>
              <w:top w:type="dxa" w:w="80"/>
              <w:left w:type="dxa" w:w="100"/>
              <w:bottom w:type="dxa" w:w="80"/>
              <w:right w:type="dxa" w:w="100"/>
            </w:tcMar>
          </w:tcPr>
          <w:p>
            <w:pPr>
              <w:jc w:val="left"/>
            </w:pPr>
            <w:r>
              <w:rPr>
                <w:rFonts w:ascii="Calibri" w:cs="Calibri" w:eastAsia="Calibri" w:hAnsi="Calibri"/>
                <w:b/>
                <w:bCs/>
                <w:color w:val="FFFFFF"/>
                <w:sz w:val="18"/>
                <w:szCs w:val="18"/>
              </w:rPr>
              <w:t xml:space="preserve">Purpose</w:t>
            </w:r>
          </w:p>
        </w:tc>
      </w:tr>
      <w:tr>
        <w:tc>
          <w:tcPr>
            <w:tcMar>
              <w:top w:type="dxa" w:w="60"/>
              <w:left w:type="dxa" w:w="100"/>
              <w:bottom w:type="dxa" w:w="60"/>
              <w:right w:type="dxa" w:w="100"/>
            </w:tcMar>
          </w:tcPr>
          <w:p>
            <w:r>
              <w:rPr>
                <w:color w:val="334155"/>
                <w:sz w:val="18"/>
                <w:szCs w:val="18"/>
              </w:rPr>
              <w:t xml:space="preserve">PM2</w:t>
            </w:r>
          </w:p>
        </w:tc>
        <w:tc>
          <w:tcPr>
            <w:tcMar>
              <w:top w:type="dxa" w:w="60"/>
              <w:left w:type="dxa" w:w="100"/>
              <w:bottom w:type="dxa" w:w="60"/>
              <w:right w:type="dxa" w:w="100"/>
            </w:tcMar>
          </w:tcPr>
          <w:p>
            <w:r>
              <w:rPr>
                <w:color w:val="334155"/>
                <w:sz w:val="18"/>
                <w:szCs w:val="18"/>
              </w:rPr>
              <w:t xml:space="preserve">Node.js process manager. Keeps backend and frontend processes alive, auto-restarts on crash, and persists process list across reboots via pm2 resurrect.</w:t>
            </w:r>
          </w:p>
        </w:tc>
      </w:tr>
      <w:tr>
        <w:tc>
          <w:tcPr>
            <w:shd w:color="EFF6FF" w:val="solid"/>
            <w:tcMar>
              <w:top w:type="dxa" w:w="60"/>
              <w:left w:type="dxa" w:w="100"/>
              <w:bottom w:type="dxa" w:w="60"/>
              <w:right w:type="dxa" w:w="100"/>
            </w:tcMar>
          </w:tcPr>
          <w:p>
            <w:r>
              <w:rPr>
                <w:color w:val="334155"/>
                <w:sz w:val="18"/>
                <w:szCs w:val="18"/>
              </w:rPr>
              <w:t xml:space="preserve">Cloudflare Tunnel (cloudflared)</w:t>
            </w:r>
          </w:p>
        </w:tc>
        <w:tc>
          <w:tcPr>
            <w:shd w:color="EFF6FF" w:val="solid"/>
            <w:tcMar>
              <w:top w:type="dxa" w:w="60"/>
              <w:left w:type="dxa" w:w="100"/>
              <w:bottom w:type="dxa" w:w="60"/>
              <w:right w:type="dxa" w:w="100"/>
            </w:tcMar>
          </w:tcPr>
          <w:p>
            <w:r>
              <w:rPr>
                <w:color w:val="334155"/>
                <w:sz w:val="18"/>
                <w:szCs w:val="18"/>
              </w:rPr>
              <w:t xml:space="preserve">Exposes the local Express server (port 3002) to the internet via a *.trycloudflare.com URL without opening firewall ports or configuring port forwarding.</w:t>
            </w:r>
          </w:p>
        </w:tc>
      </w:tr>
      <w:tr>
        <w:tc>
          <w:tcPr>
            <w:tcMar>
              <w:top w:type="dxa" w:w="60"/>
              <w:left w:type="dxa" w:w="100"/>
              <w:bottom w:type="dxa" w:w="60"/>
              <w:right w:type="dxa" w:w="100"/>
            </w:tcMar>
          </w:tcPr>
          <w:p>
            <w:r>
              <w:rPr>
                <w:color w:val="334155"/>
                <w:sz w:val="18"/>
                <w:szCs w:val="18"/>
              </w:rPr>
              <w:t xml:space="preserve">OneDrive</w:t>
            </w:r>
          </w:p>
        </w:tc>
        <w:tc>
          <w:tcPr>
            <w:tcMar>
              <w:top w:type="dxa" w:w="60"/>
              <w:left w:type="dxa" w:w="100"/>
              <w:bottom w:type="dxa" w:w="60"/>
              <w:right w:type="dxa" w:w="100"/>
            </w:tcMar>
          </w:tcPr>
          <w:p>
            <w:r>
              <w:rPr>
                <w:color w:val="334155"/>
                <w:sz w:val="18"/>
                <w:szCs w:val="18"/>
              </w:rPr>
              <w:t xml:space="preserve">Network-mapped file share that holds the Cocoa warehouse Excel files. Acts as the data source for all warehouse sync services.</w:t>
            </w:r>
          </w:p>
        </w:tc>
      </w:tr>
      <w:tr>
        <w:tc>
          <w:tcPr>
            <w:shd w:color="EFF6FF" w:val="solid"/>
            <w:tcMar>
              <w:top w:type="dxa" w:w="60"/>
              <w:left w:type="dxa" w:w="100"/>
              <w:bottom w:type="dxa" w:w="60"/>
              <w:right w:type="dxa" w:w="100"/>
            </w:tcMar>
          </w:tcPr>
          <w:p>
            <w:r>
              <w:rPr>
                <w:color w:val="334155"/>
                <w:sz w:val="18"/>
                <w:szCs w:val="18"/>
              </w:rPr>
              <w:t xml:space="preserve">Windows Task Scheduler / Startup</w:t>
            </w:r>
          </w:p>
        </w:tc>
        <w:tc>
          <w:tcPr>
            <w:shd w:color="EFF6FF" w:val="solid"/>
            <w:tcMar>
              <w:top w:type="dxa" w:w="60"/>
              <w:left w:type="dxa" w:w="100"/>
              <w:bottom w:type="dxa" w:w="60"/>
              <w:right w:type="dxa" w:w="100"/>
            </w:tcMar>
          </w:tcPr>
          <w:p>
            <w:r>
              <w:rPr>
                <w:color w:val="334155"/>
                <w:sz w:val="18"/>
                <w:szCs w:val="18"/>
              </w:rPr>
              <w:t xml:space="preserve">PM2 saves process list to ~/.pm2/dump.pm2. A StartPM2.bat in the Windows Startup folder calls pm2 resurrect on login to restore all services.</w:t>
            </w:r>
          </w:p>
        </w:tc>
      </w:tr>
    </w:tbl>
    <w:p>
      <w:pPr>
        <w:spacing w:after="200"/>
      </w:pPr>
    </w:p>
    <w:p>
      <w:pPr>
        <w:pStyle w:val="Heading3"/>
        <w:spacing w:after="80" w:before="240"/>
      </w:pPr>
      <w:r>
        <w:rPr>
          <w:rFonts w:ascii="Calibri" w:cs="Calibri" w:eastAsia="Calibri" w:hAnsi="Calibri"/>
          <w:b/>
          <w:bCs/>
          <w:color w:val="1E3A5F"/>
          <w:sz w:val="28"/>
          <w:szCs w:val="28"/>
        </w:rPr>
        <w:t xml:space="preserve">External APIs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shd w:color="1E293B" w:val="solid"/>
            <w:tcMar>
              <w:top w:type="dxa" w:w="80"/>
              <w:left w:type="dxa" w:w="100"/>
              <w:bottom w:type="dxa" w:w="80"/>
              <w:right w:type="dxa" w:w="100"/>
            </w:tcMar>
          </w:tcPr>
          <w:p>
            <w:pPr>
              <w:jc w:val="left"/>
            </w:pPr>
            <w:r>
              <w:rPr>
                <w:rFonts w:ascii="Calibri" w:cs="Calibri" w:eastAsia="Calibri" w:hAnsi="Calibri"/>
                <w:b/>
                <w:bCs/>
                <w:color w:val="FFFFFF"/>
                <w:sz w:val="18"/>
                <w:szCs w:val="18"/>
              </w:rPr>
              <w:t xml:space="preserve">API / Source</w:t>
            </w:r>
          </w:p>
        </w:tc>
        <w:tc>
          <w:tcPr>
            <w:shd w:color="1E293B" w:val="solid"/>
            <w:tcMar>
              <w:top w:type="dxa" w:w="80"/>
              <w:left w:type="dxa" w:w="100"/>
              <w:bottom w:type="dxa" w:w="80"/>
              <w:right w:type="dxa" w:w="100"/>
            </w:tcMar>
          </w:tcPr>
          <w:p>
            <w:pPr>
              <w:jc w:val="left"/>
            </w:pPr>
            <w:r>
              <w:rPr>
                <w:rFonts w:ascii="Calibri" w:cs="Calibri" w:eastAsia="Calibri" w:hAnsi="Calibri"/>
                <w:b/>
                <w:bCs/>
                <w:color w:val="FFFFFF"/>
                <w:sz w:val="18"/>
                <w:szCs w:val="18"/>
              </w:rPr>
              <w:t xml:space="preserve">URL / Endpoint</w:t>
            </w:r>
          </w:p>
        </w:tc>
        <w:tc>
          <w:tcPr>
            <w:shd w:color="1E293B" w:val="solid"/>
            <w:tcMar>
              <w:top w:type="dxa" w:w="80"/>
              <w:left w:type="dxa" w:w="100"/>
              <w:bottom w:type="dxa" w:w="80"/>
              <w:right w:type="dxa" w:w="100"/>
            </w:tcMar>
          </w:tcPr>
          <w:p>
            <w:pPr>
              <w:jc w:val="left"/>
            </w:pPr>
            <w:r>
              <w:rPr>
                <w:rFonts w:ascii="Calibri" w:cs="Calibri" w:eastAsia="Calibri" w:hAnsi="Calibri"/>
                <w:b/>
                <w:bCs/>
                <w:color w:val="FFFFFF"/>
                <w:sz w:val="18"/>
                <w:szCs w:val="18"/>
              </w:rPr>
              <w:t xml:space="preserve">Used For</w:t>
            </w:r>
          </w:p>
        </w:tc>
      </w:tr>
      <w:tr>
        <w:tc>
          <w:tcPr>
            <w:tcMar>
              <w:top w:type="dxa" w:w="60"/>
              <w:left w:type="dxa" w:w="100"/>
              <w:bottom w:type="dxa" w:w="60"/>
              <w:right w:type="dxa" w:w="100"/>
            </w:tcMar>
          </w:tcPr>
          <w:p>
            <w:r>
              <w:rPr>
                <w:color w:val="334155"/>
                <w:sz w:val="18"/>
                <w:szCs w:val="18"/>
              </w:rPr>
              <w:t xml:space="preserve">CFTC Disaggregated COT</w:t>
            </w:r>
          </w:p>
        </w:tc>
        <w:tc>
          <w:tcPr>
            <w:tcMar>
              <w:top w:type="dxa" w:w="60"/>
              <w:left w:type="dxa" w:w="100"/>
              <w:bottom w:type="dxa" w:w="60"/>
              <w:right w:type="dxa" w:w="100"/>
            </w:tcMar>
          </w:tcPr>
          <w:p>
            <w:r>
              <w:rPr>
                <w:color w:val="334155"/>
                <w:sz w:val="18"/>
                <w:szCs w:val="18"/>
              </w:rPr>
              <w:t xml:space="preserve">cftc.gov/dea/newcot/f_disagg.txt</w:t>
            </w:r>
          </w:p>
        </w:tc>
        <w:tc>
          <w:tcPr>
            <w:tcMar>
              <w:top w:type="dxa" w:w="60"/>
              <w:left w:type="dxa" w:w="100"/>
              <w:bottom w:type="dxa" w:w="60"/>
              <w:right w:type="dxa" w:w="100"/>
            </w:tcMar>
          </w:tcPr>
          <w:p>
            <w:r>
              <w:rPr>
                <w:color w:val="334155"/>
                <w:sz w:val="18"/>
                <w:szCs w:val="18"/>
              </w:rPr>
              <w:t xml:space="preserve">Weekly 188-column CSV with positions for all tracked markets. Downloaded and parsed every weekday at 08:00.</w:t>
            </w:r>
          </w:p>
        </w:tc>
      </w:tr>
      <w:tr>
        <w:tc>
          <w:tcPr>
            <w:shd w:color="EFF6FF" w:val="solid"/>
            <w:tcMar>
              <w:top w:type="dxa" w:w="60"/>
              <w:left w:type="dxa" w:w="100"/>
              <w:bottom w:type="dxa" w:w="60"/>
              <w:right w:type="dxa" w:w="100"/>
            </w:tcMar>
          </w:tcPr>
          <w:p>
            <w:r>
              <w:rPr>
                <w:color w:val="334155"/>
                <w:sz w:val="18"/>
                <w:szCs w:val="18"/>
              </w:rPr>
              <w:t xml:space="preserve">ICE COT Historical</w:t>
            </w:r>
          </w:p>
        </w:tc>
        <w:tc>
          <w:tcPr>
            <w:shd w:color="EFF6FF" w:val="solid"/>
            <w:tcMar>
              <w:top w:type="dxa" w:w="60"/>
              <w:left w:type="dxa" w:w="100"/>
              <w:bottom w:type="dxa" w:w="60"/>
              <w:right w:type="dxa" w:w="100"/>
            </w:tcMar>
          </w:tcPr>
          <w:p>
            <w:r>
              <w:rPr>
                <w:color w:val="334155"/>
                <w:sz w:val="18"/>
                <w:szCs w:val="18"/>
              </w:rPr>
              <w:t xml:space="preserve">ice.com/publicdocs/futures/COTHist{YEAR}.csv</w:t>
            </w:r>
          </w:p>
        </w:tc>
        <w:tc>
          <w:tcPr>
            <w:shd w:color="EFF6FF" w:val="solid"/>
            <w:tcMar>
              <w:top w:type="dxa" w:w="60"/>
              <w:left w:type="dxa" w:w="100"/>
              <w:bottom w:type="dxa" w:w="60"/>
              <w:right w:type="dxa" w:w="100"/>
            </w:tcMar>
          </w:tcPr>
          <w:p>
            <w:r>
              <w:rPr>
                <w:color w:val="334155"/>
                <w:sz w:val="18"/>
                <w:szCs w:val="18"/>
              </w:rPr>
              <w:t xml:space="preserve">ICE Europe COT report for London Cocoa, White Sugar, Robusta Coffee. Updated weekly (Fridays).</w:t>
            </w:r>
          </w:p>
        </w:tc>
      </w:tr>
      <w:tr>
        <w:tc>
          <w:tcPr>
            <w:tcMar>
              <w:top w:type="dxa" w:w="60"/>
              <w:left w:type="dxa" w:w="100"/>
              <w:bottom w:type="dxa" w:w="60"/>
              <w:right w:type="dxa" w:w="100"/>
            </w:tcMar>
          </w:tcPr>
          <w:p>
            <w:r>
              <w:rPr>
                <w:color w:val="334155"/>
                <w:sz w:val="18"/>
                <w:szCs w:val="18"/>
              </w:rPr>
              <w:t xml:space="preserve">Internal QH API</w:t>
            </w:r>
          </w:p>
        </w:tc>
        <w:tc>
          <w:tcPr>
            <w:tcMar>
              <w:top w:type="dxa" w:w="60"/>
              <w:left w:type="dxa" w:w="100"/>
              <w:bottom w:type="dxa" w:w="60"/>
              <w:right w:type="dxa" w:w="100"/>
            </w:tcMar>
          </w:tcPr>
          <w:p>
            <w:r>
              <w:rPr>
                <w:color w:val="334155"/>
                <w:sz w:val="18"/>
                <w:szCs w:val="18"/>
              </w:rPr>
              <w:t xml:space="preserve">qh-api.corp.hertshtengroup.com/api/v2/ohlc/</w:t>
            </w:r>
          </w:p>
        </w:tc>
        <w:tc>
          <w:tcPr>
            <w:tcMar>
              <w:top w:type="dxa" w:w="60"/>
              <w:left w:type="dxa" w:w="100"/>
              <w:bottom w:type="dxa" w:w="60"/>
              <w:right w:type="dxa" w:w="100"/>
            </w:tcMar>
          </w:tcPr>
          <w:p>
            <w:r>
              <w:rPr>
                <w:color w:val="334155"/>
                <w:sz w:val="18"/>
                <w:szCs w:val="18"/>
              </w:rPr>
              <w:t xml:space="preserve">OHLC price data for outright contracts and calendar spreads. Used by Rho Monitor and Historic OI services.</w:t>
            </w:r>
          </w:p>
        </w:tc>
      </w:tr>
      <w:tr>
        <w:tc>
          <w:tcPr>
            <w:shd w:color="EFF6FF" w:val="solid"/>
            <w:tcMar>
              <w:top w:type="dxa" w:w="60"/>
              <w:left w:type="dxa" w:w="100"/>
              <w:bottom w:type="dxa" w:w="60"/>
              <w:right w:type="dxa" w:w="100"/>
            </w:tcMar>
          </w:tcPr>
          <w:p>
            <w:r>
              <w:rPr>
                <w:color w:val="334155"/>
                <w:sz w:val="18"/>
                <w:szCs w:val="18"/>
              </w:rPr>
              <w:t xml:space="preserve">Microsoft Teams Webhook</w:t>
            </w:r>
          </w:p>
        </w:tc>
        <w:tc>
          <w:tcPr>
            <w:shd w:color="EFF6FF" w:val="solid"/>
            <w:tcMar>
              <w:top w:type="dxa" w:w="60"/>
              <w:left w:type="dxa" w:w="100"/>
              <w:bottom w:type="dxa" w:w="60"/>
              <w:right w:type="dxa" w:w="100"/>
            </w:tcMar>
          </w:tcPr>
          <w:p>
            <w:r>
              <w:rPr>
                <w:color w:val="334155"/>
                <w:sz w:val="18"/>
                <w:szCs w:val="18"/>
              </w:rPr>
              <w:t xml:space="preserve">Incoming webhook URL in .env</w:t>
            </w:r>
          </w:p>
        </w:tc>
        <w:tc>
          <w:tcPr>
            <w:shd w:color="EFF6FF" w:val="solid"/>
            <w:tcMar>
              <w:top w:type="dxa" w:w="60"/>
              <w:left w:type="dxa" w:w="100"/>
              <w:bottom w:type="dxa" w:w="60"/>
              <w:right w:type="dxa" w:w="100"/>
            </w:tcMar>
          </w:tcPr>
          <w:p>
            <w:r>
              <w:rPr>
                <w:color w:val="334155"/>
                <w:sz w:val="18"/>
                <w:szCs w:val="18"/>
              </w:rPr>
              <w:t xml:space="preserve">Receives JSON Adaptive Card payloads for CFTC ATH/ATL alerts and Rho correlation break alerts.</w:t>
            </w:r>
          </w:p>
        </w:tc>
      </w:tr>
    </w:tbl>
    <w:p>
      <w:pPr>
        <w:pBdr>
          <w:bottom w:val="single" w:color="E2E8F0" w:sz="6"/>
        </w:pBdr>
        <w:spacing w:after="160"/>
      </w:pPr>
    </w:p>
    <w:p>
      <w:pPr>
        <w:pStyle w:val="Heading1"/>
        <w:spacing w:after="160" w:before="400"/>
      </w:pPr>
      <w:r>
        <w:t xml:space="preserve">3. System Architecture</w:t>
      </w:r>
      <w:r>
        <w:rPr>
          <w:rFonts w:ascii="Calibri" w:cs="Calibri" w:eastAsia="Calibri" w:hAnsi="Calibri"/>
          <w:b/>
          <w:bCs/>
          <w:color w:val="1E3A5F"/>
          <w:sz w:val="52"/>
          <w:szCs w:val="52"/>
        </w:rPr>
        <w:t xml:space="preserve">3. System Architecture</w:t>
      </w:r>
    </w:p>
    <w:p>
      <w:pPr>
        <w:pStyle w:val="Heading3"/>
        <w:spacing w:after="80" w:before="240"/>
      </w:pPr>
      <w:r>
        <w:rPr>
          <w:rFonts w:ascii="Calibri" w:cs="Calibri" w:eastAsia="Calibri" w:hAnsi="Calibri"/>
          <w:b/>
          <w:bCs/>
          <w:color w:val="1E3A5F"/>
          <w:sz w:val="28"/>
          <w:szCs w:val="28"/>
        </w:rPr>
        <w:t xml:space="preserve">High-Level Request Flow</w:t>
      </w:r>
    </w:p>
    <w:p>
      <w:pPr>
        <w:shd w:color="F1F5F9" w:val="solid"/>
        <w:spacing w:after="40"/>
        <w:ind w:left="576"/>
      </w:pPr>
      <w:r>
        <w:rPr>
          <w:rFonts w:ascii="Courier New" w:cs="Courier New" w:eastAsia="Courier New" w:hAnsi="Courier New"/>
          <w:b/>
          <w:bCs/>
          <w:color w:val="0A5C60"/>
          <w:sz w:val="18"/>
          <w:szCs w:val="18"/>
        </w:rPr>
        <w:t xml:space="preserve">Browser → HTTPS → Cloudflare Tunnel → localhost:3002 (Express)</w:t>
      </w:r>
    </w:p>
    <w:p>
      <w:pPr>
        <w:shd w:color="F1F5F9" w:val="solid"/>
        <w:spacing w:after="40"/>
        <w:ind w:left="576"/>
      </w:pPr>
      <w:r>
        <w:rPr>
          <w:rFonts w:ascii="Courier New" w:cs="Courier New" w:eastAsia="Courier New" w:hAnsi="Courier New"/>
          <w:b/>
          <w:bCs/>
          <w:color w:val="0A5C60"/>
          <w:sz w:val="18"/>
          <w:szCs w:val="18"/>
        </w:rPr>
        <w:t xml:space="preserve">Express:</w:t>
      </w:r>
    </w:p>
    <w:p>
      <w:pPr>
        <w:shd w:color="F1F5F9" w:val="solid"/>
        <w:spacing w:after="40"/>
        <w:ind w:left="576"/>
      </w:pPr>
      <w:r>
        <w:rPr>
          <w:rFonts w:ascii="Courier New" w:cs="Courier New" w:eastAsia="Courier New" w:hAnsi="Courier New"/>
          <w:b/>
          <w:bCs/>
          <w:color w:val="0A5C60"/>
          <w:sz w:val="18"/>
          <w:szCs w:val="18"/>
        </w:rPr>
        <w:t xml:space="preserve">  /api/auth/*         → Public routes (login, register)</w:t>
      </w:r>
    </w:p>
    <w:p>
      <w:pPr>
        <w:shd w:color="F1F5F9" w:val="solid"/>
        <w:spacing w:after="40"/>
        <w:ind w:left="576"/>
      </w:pPr>
      <w:r>
        <w:rPr>
          <w:rFonts w:ascii="Courier New" w:cs="Courier New" w:eastAsia="Courier New" w:hAnsi="Courier New"/>
          <w:b/>
          <w:bCs/>
          <w:color w:val="0A5C60"/>
          <w:sz w:val="18"/>
          <w:szCs w:val="18"/>
        </w:rPr>
        <w:t xml:space="preserve">  /api/*              → JWT middleware → route handlers → PostgreSQL</w:t>
      </w:r>
    </w:p>
    <w:p>
      <w:pPr>
        <w:shd w:color="F1F5F9" w:val="solid"/>
        <w:spacing w:after="40"/>
        <w:ind w:left="576"/>
      </w:pPr>
      <w:r>
        <w:rPr>
          <w:rFonts w:ascii="Courier New" w:cs="Courier New" w:eastAsia="Courier New" w:hAnsi="Courier New"/>
          <w:b/>
          <w:bCs/>
          <w:color w:val="0A5C60"/>
          <w:sz w:val="18"/>
          <w:szCs w:val="18"/>
        </w:rPr>
        <w:t xml:space="preserve">  /* (catch-all)      → Serve React dist/index.html</w:t>
      </w:r>
    </w:p>
    <w:p>
      <w:pPr>
        <w:spacing w:after="160"/>
      </w:pPr>
    </w:p>
    <w:p>
      <w:pPr>
        <w:pStyle w:val="Heading3"/>
        <w:spacing w:after="80" w:before="240"/>
      </w:pPr>
      <w:r>
        <w:rPr>
          <w:rFonts w:ascii="Calibri" w:cs="Calibri" w:eastAsia="Calibri" w:hAnsi="Calibri"/>
          <w:b/>
          <w:bCs/>
          <w:color w:val="1E3A5F"/>
          <w:sz w:val="28"/>
          <w:szCs w:val="28"/>
        </w:rPr>
        <w:t xml:space="preserve">Backend Internal Architecture</w:t>
      </w:r>
    </w:p>
    <w:p>
      <w:pPr>
        <w:spacing w:after="100" w:before="40"/>
      </w:pPr>
      <w:r>
        <w:rPr>
          <w:color w:val="0F172A"/>
          <w:sz w:val="20"/>
          <w:szCs w:val="20"/>
        </w:rPr>
        <w:t xml:space="preserve">The backend is a single Node.js process that does three things simultaneously:</w:t>
      </w:r>
    </w:p>
    <w:p>
      <w:pPr>
        <w:pStyle w:val="ListParagraph"/>
        <w:numPr>
          <w:ilvl w:val="0"/>
          <w:numId w:val="1"/>
        </w:numPr>
        <w:spacing w:after="60"/>
      </w:pPr>
      <w:r>
        <w:rPr>
          <w:color w:val="334155"/>
          <w:sz w:val="20"/>
          <w:szCs w:val="20"/>
        </w:rPr>
        <w:t xml:space="preserve">Serves HTTP requests (Express routes)</w:t>
      </w:r>
    </w:p>
    <w:p>
      <w:pPr>
        <w:pStyle w:val="ListParagraph"/>
        <w:numPr>
          <w:ilvl w:val="0"/>
          <w:numId w:val="1"/>
        </w:numPr>
        <w:spacing w:after="60"/>
      </w:pPr>
      <w:r>
        <w:rPr>
          <w:color w:val="334155"/>
          <w:sz w:val="20"/>
          <w:szCs w:val="20"/>
        </w:rPr>
        <w:t xml:space="preserve">Runs background cron jobs (node-cron schedulers inside the same process)</w:t>
      </w:r>
    </w:p>
    <w:p>
      <w:pPr>
        <w:pStyle w:val="ListParagraph"/>
        <w:numPr>
          <w:ilvl w:val="0"/>
          <w:numId w:val="1"/>
        </w:numPr>
        <w:spacing w:after="60"/>
      </w:pPr>
      <w:r>
        <w:rPr>
          <w:color w:val="334155"/>
          <w:sz w:val="20"/>
          <w:szCs w:val="20"/>
        </w:rPr>
        <w:t xml:space="preserve">Monitors file system changes (Chokidar watchers)</w:t>
      </w:r>
    </w:p>
    <w:p>
      <w:pPr>
        <w:spacing w:after="80"/>
      </w:pPr>
    </w:p>
    <w:p>
      <w:pPr>
        <w:pStyle w:val="Heading3"/>
        <w:spacing w:after="80" w:before="240"/>
      </w:pPr>
      <w:r>
        <w:rPr>
          <w:rFonts w:ascii="Calibri" w:cs="Calibri" w:eastAsia="Calibri" w:hAnsi="Calibri"/>
          <w:b/>
          <w:bCs/>
          <w:color w:val="1E3A5F"/>
          <w:sz w:val="28"/>
          <w:szCs w:val="28"/>
        </w:rPr>
        <w:t xml:space="preserve">Data Flow Diagram</w:t>
      </w:r>
    </w:p>
    <w:p>
      <w:pPr>
        <w:shd w:color="F1F5F9" w:val="solid"/>
        <w:spacing w:after="40"/>
        <w:ind w:left="576"/>
      </w:pPr>
      <w:r>
        <w:rPr>
          <w:rFonts w:ascii="Courier New" w:cs="Courier New" w:eastAsia="Courier New" w:hAnsi="Courier New"/>
          <w:b/>
          <w:bCs/>
          <w:color w:val="0A5C60"/>
          <w:sz w:val="18"/>
          <w:szCs w:val="18"/>
        </w:rPr>
        <w:t xml:space="preserve">External Sources                  Express Server (Port 3002)</w:t>
      </w:r>
    </w:p>
    <w:p>
      <w:pPr>
        <w:shd w:color="F1F5F9" w:val="solid"/>
        <w:spacing w:after="40"/>
        <w:ind w:left="576"/>
      </w:pPr>
      <w:r>
        <w:rPr>
          <w:rFonts w:ascii="Courier New" w:cs="Courier New" w:eastAsia="Courier New" w:hAnsi="Courier New"/>
          <w:b/>
          <w:bCs/>
          <w:color w:val="0A5C60"/>
          <w:sz w:val="18"/>
          <w:szCs w:val="18"/>
        </w:rPr>
        <w:t xml:space="preserve">─────────────────                 ──────────────────────────</w:t>
      </w:r>
    </w:p>
    <w:p>
      <w:pPr>
        <w:shd w:color="F1F5F9" w:val="solid"/>
        <w:spacing w:after="40"/>
        <w:ind w:left="576"/>
      </w:pPr>
      <w:r>
        <w:rPr>
          <w:rFonts w:ascii="Courier New" w:cs="Courier New" w:eastAsia="Courier New" w:hAnsi="Courier New"/>
          <w:b/>
          <w:bCs/>
          <w:color w:val="0A5C60"/>
          <w:sz w:val="18"/>
          <w:szCs w:val="18"/>
        </w:rPr>
        <w:t xml:space="preserve">CFTC.gov  ──── axios GET ────────► cftcUpdater.js</w:t>
      </w:r>
    </w:p>
    <w:p>
      <w:pPr>
        <w:shd w:color="F1F5F9" w:val="solid"/>
        <w:spacing w:after="40"/>
        <w:ind w:left="576"/>
      </w:pPr>
      <w:r>
        <w:rPr>
          <w:rFonts w:ascii="Courier New" w:cs="Courier New" w:eastAsia="Courier New" w:hAnsi="Courier New"/>
          <w:b/>
          <w:bCs/>
          <w:color w:val="0A5C60"/>
          <w:sz w:val="18"/>
          <w:szCs w:val="18"/>
        </w:rPr>
        <w:t xml:space="preserve">ICE.com   ──── axios GET ────────► iceUpdater.js</w:t>
      </w:r>
    </w:p>
    <w:p>
      <w:pPr>
        <w:shd w:color="F1F5F9" w:val="solid"/>
        <w:spacing w:after="40"/>
        <w:ind w:left="576"/>
      </w:pPr>
      <w:r>
        <w:rPr>
          <w:rFonts w:ascii="Courier New" w:cs="Courier New" w:eastAsia="Courier New" w:hAnsi="Courier New"/>
          <w:b/>
          <w:bCs/>
          <w:color w:val="0A5C60"/>
          <w:sz w:val="18"/>
          <w:szCs w:val="18"/>
        </w:rPr>
        <w:t xml:space="preserve">QH API    ──── axios GET ────────► historicOiUpdater.js</w:t>
      </w:r>
    </w:p>
    <w:p>
      <w:pPr>
        <w:shd w:color="F1F5F9" w:val="solid"/>
        <w:spacing w:after="40"/>
        <w:ind w:left="576"/>
      </w:pPr>
      <w:r>
        <w:rPr>
          <w:rFonts w:ascii="Courier New" w:cs="Courier New" w:eastAsia="Courier New" w:hAnsi="Courier New"/>
          <w:b/>
          <w:bCs/>
          <w:color w:val="0A5C60"/>
          <w:sz w:val="18"/>
          <w:szCs w:val="18"/>
        </w:rPr>
        <w:t xml:space="preserve">                                   rhoAlertService.js</w:t>
      </w:r>
    </w:p>
    <w:p>
      <w:pPr>
        <w:shd w:color="F1F5F9" w:val="solid"/>
        <w:spacing w:after="40"/>
        <w:ind w:left="576"/>
      </w:pPr>
      <w:r>
        <w:rPr>
          <w:rFonts w:ascii="Courier New" w:cs="Courier New" w:eastAsia="Courier New" w:hAnsi="Courier New"/>
          <w:b/>
          <w:bCs/>
          <w:color w:val="0A5C60"/>
          <w:sz w:val="18"/>
          <w:szCs w:val="18"/>
        </w:rPr>
        <w:t xml:space="preserve">                                   openingVariationService.js</w:t>
      </w:r>
    </w:p>
    <w:p>
      <w:pPr>
        <w:shd w:color="F1F5F9" w:val="solid"/>
        <w:spacing w:after="40"/>
        <w:ind w:left="576"/>
      </w:pPr>
      <w:r>
        <w:rPr>
          <w:rFonts w:ascii="Courier New" w:cs="Courier New" w:eastAsia="Courier New" w:hAnsi="Courier New"/>
          <w:b/>
          <w:bCs/>
          <w:color w:val="0A5C60"/>
          <w:sz w:val="18"/>
          <w:szCs w:val="18"/>
        </w:rPr>
        <w:t xml:space="preserve">OneDrive Excel Files              ► cocoaBagsSync.js</w:t>
      </w:r>
    </w:p>
    <w:p>
      <w:pPr>
        <w:shd w:color="F1F5F9" w:val="solid"/>
        <w:spacing w:after="40"/>
        <w:ind w:left="576"/>
      </w:pPr>
      <w:r>
        <w:rPr>
          <w:rFonts w:ascii="Courier New" w:cs="Courier New" w:eastAsia="Courier New" w:hAnsi="Courier New"/>
          <w:b/>
          <w:bCs/>
          <w:color w:val="0A5C60"/>
          <w:sz w:val="18"/>
          <w:szCs w:val="18"/>
        </w:rPr>
        <w:t xml:space="preserve">  (chokidar watch)  ─────────────► cocoaLondonSync.js</w:t>
      </w:r>
    </w:p>
    <w:p>
      <w:pPr>
        <w:shd w:color="F1F5F9" w:val="solid"/>
        <w:spacing w:after="40"/>
        <w:ind w:left="576"/>
      </w:pPr>
      <w:r>
        <w:rPr>
          <w:rFonts w:ascii="Courier New" w:cs="Courier New" w:eastAsia="Courier New" w:hAnsi="Courier New"/>
          <w:b/>
          <w:bCs/>
          <w:color w:val="0A5C60"/>
          <w:sz w:val="18"/>
          <w:szCs w:val="18"/>
        </w:rPr>
        <w:t xml:space="preserve">  (08:30 cron)      ─────────────► cocoaArrivalsSync.js</w:t>
      </w:r>
    </w:p>
    <w:p>
      <w:pPr>
        <w:shd w:color="F1F5F9" w:val="solid"/>
        <w:spacing w:after="40"/>
        <w:ind w:left="576"/>
      </w:pPr>
      <w:r>
        <w:rPr>
          <w:rFonts w:ascii="Courier New" w:cs="Courier New" w:eastAsia="Courier New" w:hAnsi="Courier New"/>
          <w:b/>
          <w:bCs/>
          <w:color w:val="0A5C60"/>
          <w:sz w:val="18"/>
          <w:szCs w:val="18"/>
        </w:rPr>
        <w:t xml:space="preserve">                                   cocoaLondonOriginSync.js</w:t>
      </w:r>
    </w:p>
    <w:p>
      <w:pPr>
        <w:shd w:color="F1F5F9" w:val="solid"/>
        <w:spacing w:after="40"/>
        <w:ind w:left="576"/>
      </w:pPr>
      <w:r>
        <w:rPr>
          <w:rFonts w:ascii="Courier New" w:cs="Courier New" w:eastAsia="Courier New" w:hAnsi="Courier New"/>
          <w:b/>
          <w:bCs/>
          <w:color w:val="0A5C60"/>
          <w:sz w:val="18"/>
          <w:szCs w:val="18"/>
        </w:rPr>
        <w:t xml:space="preserve">                                            │</w:t>
      </w:r>
    </w:p>
    <w:p>
      <w:pPr>
        <w:shd w:color="F1F5F9" w:val="solid"/>
        <w:spacing w:after="40"/>
        <w:ind w:left="576"/>
      </w:pPr>
      <w:r>
        <w:rPr>
          <w:rFonts w:ascii="Courier New" w:cs="Courier New" w:eastAsia="Courier New" w:hAnsi="Courier New"/>
          <w:b/>
          <w:bCs/>
          <w:color w:val="0A5C60"/>
          <w:sz w:val="18"/>
          <w:szCs w:val="18"/>
        </w:rPr>
        <w:t xml:space="preserve">                                            ▼</w:t>
      </w:r>
    </w:p>
    <w:p>
      <w:pPr>
        <w:shd w:color="F1F5F9" w:val="solid"/>
        <w:spacing w:after="40"/>
        <w:ind w:left="576"/>
      </w:pPr>
      <w:r>
        <w:rPr>
          <w:rFonts w:ascii="Courier New" w:cs="Courier New" w:eastAsia="Courier New" w:hAnsi="Courier New"/>
          <w:b/>
          <w:bCs/>
          <w:color w:val="0A5C60"/>
          <w:sz w:val="18"/>
          <w:szCs w:val="18"/>
        </w:rPr>
        <w:t xml:space="preserve">                                     PostgreSQL (Neon)</w:t>
      </w:r>
    </w:p>
    <w:p>
      <w:pPr>
        <w:shd w:color="F1F5F9" w:val="solid"/>
        <w:spacing w:after="40"/>
        <w:ind w:left="576"/>
      </w:pPr>
      <w:r>
        <w:rPr>
          <w:rFonts w:ascii="Courier New" w:cs="Courier New" w:eastAsia="Courier New" w:hAnsi="Courier New"/>
          <w:b/>
          <w:bCs/>
          <w:color w:val="0A5C60"/>
          <w:sz w:val="18"/>
          <w:szCs w:val="18"/>
        </w:rPr>
        <w:t xml:space="preserve">                                            │</w:t>
      </w:r>
    </w:p>
    <w:p>
      <w:pPr>
        <w:shd w:color="F1F5F9" w:val="solid"/>
        <w:spacing w:after="40"/>
        <w:ind w:left="576"/>
      </w:pPr>
      <w:r>
        <w:rPr>
          <w:rFonts w:ascii="Courier New" w:cs="Courier New" w:eastAsia="Courier New" w:hAnsi="Courier New"/>
          <w:b/>
          <w:bCs/>
          <w:color w:val="0A5C60"/>
          <w:sz w:val="18"/>
          <w:szCs w:val="18"/>
        </w:rPr>
        <w:t xml:space="preserve">                                            ▼</w:t>
      </w:r>
    </w:p>
    <w:p>
      <w:pPr>
        <w:shd w:color="F1F5F9" w:val="solid"/>
        <w:spacing w:after="40"/>
        <w:ind w:left="576"/>
      </w:pPr>
      <w:r>
        <w:rPr>
          <w:rFonts w:ascii="Courier New" w:cs="Courier New" w:eastAsia="Courier New" w:hAnsi="Courier New"/>
          <w:b/>
          <w:bCs/>
          <w:color w:val="0A5C60"/>
          <w:sz w:val="18"/>
          <w:szCs w:val="18"/>
        </w:rPr>
        <w:t xml:space="preserve">Teams Webhook ◄───────────────── cftcAlertService.js</w:t>
      </w:r>
    </w:p>
    <w:p>
      <w:pPr>
        <w:shd w:color="F1F5F9" w:val="solid"/>
        <w:spacing w:after="40"/>
        <w:ind w:left="576"/>
      </w:pPr>
      <w:r>
        <w:rPr>
          <w:rFonts w:ascii="Courier New" w:cs="Courier New" w:eastAsia="Courier New" w:hAnsi="Courier New"/>
          <w:b/>
          <w:bCs/>
          <w:color w:val="0A5C60"/>
          <w:sz w:val="18"/>
          <w:szCs w:val="18"/>
        </w:rPr>
        <w:t xml:space="preserve">                                 rhoAlertService.js</w:t>
      </w:r>
    </w:p>
    <w:p>
      <w:pPr>
        <w:pBdr>
          <w:bottom w:val="single" w:color="E2E8F0" w:sz="6"/>
        </w:pBdr>
        <w:spacing w:after="160"/>
      </w:pPr>
    </w:p>
    <w:p>
      <w:pPr>
        <w:pStyle w:val="Heading1"/>
        <w:spacing w:after="160" w:before="400"/>
      </w:pPr>
      <w:r>
        <w:t xml:space="preserve">4. Project Directory Structure</w:t>
      </w:r>
      <w:r>
        <w:rPr>
          <w:rFonts w:ascii="Calibri" w:cs="Calibri" w:eastAsia="Calibri" w:hAnsi="Calibri"/>
          <w:b/>
          <w:bCs/>
          <w:color w:val="1E3A5F"/>
          <w:sz w:val="52"/>
          <w:szCs w:val="52"/>
        </w:rPr>
        <w:t xml:space="preserve">4. Project Directory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shd w:color="1E293B" w:val="solid"/>
            <w:tcMar>
              <w:top w:type="dxa" w:w="80"/>
              <w:left w:type="dxa" w:w="100"/>
              <w:bottom w:type="dxa" w:w="80"/>
              <w:right w:type="dxa" w:w="100"/>
            </w:tcMar>
          </w:tcPr>
          <w:p>
            <w:pPr>
              <w:jc w:val="left"/>
            </w:pPr>
            <w:r>
              <w:rPr>
                <w:rFonts w:ascii="Calibri" w:cs="Calibri" w:eastAsia="Calibri" w:hAnsi="Calibri"/>
                <w:b/>
                <w:bCs/>
                <w:color w:val="FFFFFF"/>
                <w:sz w:val="18"/>
                <w:szCs w:val="18"/>
              </w:rPr>
              <w:t xml:space="preserve">Path</w:t>
            </w:r>
          </w:p>
        </w:tc>
        <w:tc>
          <w:tcPr>
            <w:shd w:color="1E293B" w:val="solid"/>
            <w:tcMar>
              <w:top w:type="dxa" w:w="80"/>
              <w:left w:type="dxa" w:w="100"/>
              <w:bottom w:type="dxa" w:w="80"/>
              <w:right w:type="dxa" w:w="100"/>
            </w:tcMar>
          </w:tcPr>
          <w:p>
            <w:pPr>
              <w:jc w:val="left"/>
            </w:pPr>
            <w:r>
              <w:rPr>
                <w:rFonts w:ascii="Calibri" w:cs="Calibri" w:eastAsia="Calibri" w:hAnsi="Calibri"/>
                <w:b/>
                <w:bCs/>
                <w:color w:val="FFFFFF"/>
                <w:sz w:val="18"/>
                <w:szCs w:val="18"/>
              </w:rPr>
              <w:t xml:space="preserve">Description</w:t>
            </w:r>
          </w:p>
        </w:tc>
      </w:tr>
      <w:tr>
        <w:tc>
          <w:tcPr>
            <w:tcMar>
              <w:top w:type="dxa" w:w="60"/>
              <w:left w:type="dxa" w:w="100"/>
              <w:bottom w:type="dxa" w:w="60"/>
              <w:right w:type="dxa" w:w="100"/>
            </w:tcMar>
          </w:tcPr>
          <w:p>
            <w:r>
              <w:rPr>
                <w:color w:val="334155"/>
                <w:sz w:val="18"/>
                <w:szCs w:val="18"/>
              </w:rPr>
              <w:t xml:space="preserve">src/</w:t>
            </w:r>
          </w:p>
        </w:tc>
        <w:tc>
          <w:tcPr>
            <w:tcMar>
              <w:top w:type="dxa" w:w="60"/>
              <w:left w:type="dxa" w:w="100"/>
              <w:bottom w:type="dxa" w:w="60"/>
              <w:right w:type="dxa" w:w="100"/>
            </w:tcMar>
          </w:tcPr>
          <w:p>
            <w:r>
              <w:rPr>
                <w:color w:val="334155"/>
                <w:sz w:val="18"/>
                <w:szCs w:val="18"/>
              </w:rPr>
              <w:t xml:space="preserve">React frontend source code</w:t>
            </w:r>
          </w:p>
        </w:tc>
      </w:tr>
      <w:tr>
        <w:tc>
          <w:tcPr>
            <w:shd w:color="EFF6FF" w:val="solid"/>
            <w:tcMar>
              <w:top w:type="dxa" w:w="60"/>
              <w:left w:type="dxa" w:w="100"/>
              <w:bottom w:type="dxa" w:w="60"/>
              <w:right w:type="dxa" w:w="100"/>
            </w:tcMar>
          </w:tcPr>
          <w:p>
            <w:r>
              <w:rPr>
                <w:color w:val="334155"/>
                <w:sz w:val="18"/>
                <w:szCs w:val="18"/>
              </w:rPr>
              <w:t xml:space="preserve">src/app/store.js</w:t>
            </w:r>
          </w:p>
        </w:tc>
        <w:tc>
          <w:tcPr>
            <w:shd w:color="EFF6FF" w:val="solid"/>
            <w:tcMar>
              <w:top w:type="dxa" w:w="60"/>
              <w:left w:type="dxa" w:w="100"/>
              <w:bottom w:type="dxa" w:w="60"/>
              <w:right w:type="dxa" w:w="100"/>
            </w:tcMar>
          </w:tcPr>
          <w:p>
            <w:r>
              <w:rPr>
                <w:color w:val="334155"/>
                <w:sz w:val="18"/>
                <w:szCs w:val="18"/>
              </w:rPr>
              <w:t xml:space="preserve">Redux store — configures 4 reducers (auth, chartData, ui, ws)</w:t>
            </w:r>
          </w:p>
        </w:tc>
      </w:tr>
      <w:tr>
        <w:tc>
          <w:tcPr>
            <w:tcMar>
              <w:top w:type="dxa" w:w="60"/>
              <w:left w:type="dxa" w:w="100"/>
              <w:bottom w:type="dxa" w:w="60"/>
              <w:right w:type="dxa" w:w="100"/>
            </w:tcMar>
          </w:tcPr>
          <w:p>
            <w:r>
              <w:rPr>
                <w:color w:val="334155"/>
                <w:sz w:val="18"/>
                <w:szCs w:val="18"/>
              </w:rPr>
              <w:t xml:space="preserve">src/features/auth/authSlice.js</w:t>
            </w:r>
          </w:p>
        </w:tc>
        <w:tc>
          <w:tcPr>
            <w:tcMar>
              <w:top w:type="dxa" w:w="60"/>
              <w:left w:type="dxa" w:w="100"/>
              <w:bottom w:type="dxa" w:w="60"/>
              <w:right w:type="dxa" w:w="100"/>
            </w:tcMar>
          </w:tcPr>
          <w:p>
            <w:r>
              <w:rPr>
                <w:color w:val="334155"/>
                <w:sz w:val="18"/>
                <w:szCs w:val="18"/>
              </w:rPr>
              <w:t xml:space="preserve">Redux slice for JWT token, user object, and login state</w:t>
            </w:r>
          </w:p>
        </w:tc>
      </w:tr>
      <w:tr>
        <w:tc>
          <w:tcPr>
            <w:shd w:color="EFF6FF" w:val="solid"/>
            <w:tcMar>
              <w:top w:type="dxa" w:w="60"/>
              <w:left w:type="dxa" w:w="100"/>
              <w:bottom w:type="dxa" w:w="60"/>
              <w:right w:type="dxa" w:w="100"/>
            </w:tcMar>
          </w:tcPr>
          <w:p>
            <w:r>
              <w:rPr>
                <w:color w:val="334155"/>
                <w:sz w:val="18"/>
                <w:szCs w:val="18"/>
              </w:rPr>
              <w:t xml:space="preserve">src/features/ui/uiSlice.js</w:t>
            </w:r>
          </w:p>
        </w:tc>
        <w:tc>
          <w:tcPr>
            <w:shd w:color="EFF6FF" w:val="solid"/>
            <w:tcMar>
              <w:top w:type="dxa" w:w="60"/>
              <w:left w:type="dxa" w:w="100"/>
              <w:bottom w:type="dxa" w:w="60"/>
              <w:right w:type="dxa" w:w="100"/>
            </w:tcMar>
          </w:tcPr>
          <w:p>
            <w:r>
              <w:rPr>
                <w:color w:val="334155"/>
                <w:sz w:val="18"/>
                <w:szCs w:val="18"/>
              </w:rPr>
              <w:t xml:space="preserve">Redux slice for active dashboard section, sidebar state, modals</w:t>
            </w:r>
          </w:p>
        </w:tc>
      </w:tr>
      <w:tr>
        <w:tc>
          <w:tcPr>
            <w:tcMar>
              <w:top w:type="dxa" w:w="60"/>
              <w:left w:type="dxa" w:w="100"/>
              <w:bottom w:type="dxa" w:w="60"/>
              <w:right w:type="dxa" w:w="100"/>
            </w:tcMar>
          </w:tcPr>
          <w:p>
            <w:r>
              <w:rPr>
                <w:color w:val="334155"/>
                <w:sz w:val="18"/>
                <w:szCs w:val="18"/>
              </w:rPr>
              <w:t xml:space="preserve">src/features/chartData/</w:t>
            </w:r>
          </w:p>
        </w:tc>
        <w:tc>
          <w:tcPr>
            <w:tcMar>
              <w:top w:type="dxa" w:w="60"/>
              <w:left w:type="dxa" w:w="100"/>
              <w:bottom w:type="dxa" w:w="60"/>
              <w:right w:type="dxa" w:w="100"/>
            </w:tcMar>
          </w:tcPr>
          <w:p>
            <w:r>
              <w:rPr>
                <w:color w:val="334155"/>
                <w:sz w:val="18"/>
                <w:szCs w:val="18"/>
              </w:rPr>
              <w:t xml:space="preserve">OHLC data and active instrument for Lightweight Charts</w:t>
            </w:r>
          </w:p>
        </w:tc>
      </w:tr>
      <w:tr>
        <w:tc>
          <w:tcPr>
            <w:shd w:color="EFF6FF" w:val="solid"/>
            <w:tcMar>
              <w:top w:type="dxa" w:w="60"/>
              <w:left w:type="dxa" w:w="100"/>
              <w:bottom w:type="dxa" w:w="60"/>
              <w:right w:type="dxa" w:w="100"/>
            </w:tcMar>
          </w:tcPr>
          <w:p>
            <w:r>
              <w:rPr>
                <w:color w:val="334155"/>
                <w:sz w:val="18"/>
                <w:szCs w:val="18"/>
              </w:rPr>
              <w:t xml:space="preserve">src/components/Layout/AppShell.jsx</w:t>
            </w:r>
          </w:p>
        </w:tc>
        <w:tc>
          <w:tcPr>
            <w:shd w:color="EFF6FF" w:val="solid"/>
            <w:tcMar>
              <w:top w:type="dxa" w:w="60"/>
              <w:left w:type="dxa" w:w="100"/>
              <w:bottom w:type="dxa" w:w="60"/>
              <w:right w:type="dxa" w:w="100"/>
            </w:tcMar>
          </w:tcPr>
          <w:p>
            <w:r>
              <w:rPr>
                <w:color w:val="334155"/>
                <w:sz w:val="18"/>
                <w:szCs w:val="18"/>
              </w:rPr>
              <w:t xml:space="preserve">Main layout — sidebar + content area — routes section IDs to dashboard components</w:t>
            </w:r>
          </w:p>
        </w:tc>
      </w:tr>
      <w:tr>
        <w:tc>
          <w:tcPr>
            <w:tcMar>
              <w:top w:type="dxa" w:w="60"/>
              <w:left w:type="dxa" w:w="100"/>
              <w:bottom w:type="dxa" w:w="60"/>
              <w:right w:type="dxa" w:w="100"/>
            </w:tcMar>
          </w:tcPr>
          <w:p>
            <w:r>
              <w:rPr>
                <w:color w:val="334155"/>
                <w:sz w:val="18"/>
                <w:szCs w:val="18"/>
              </w:rPr>
              <w:t xml:space="preserve">src/components/Layout/Sidebar.jsx</w:t>
            </w:r>
          </w:p>
        </w:tc>
        <w:tc>
          <w:tcPr>
            <w:tcMar>
              <w:top w:type="dxa" w:w="60"/>
              <w:left w:type="dxa" w:w="100"/>
              <w:bottom w:type="dxa" w:w="60"/>
              <w:right w:type="dxa" w:w="100"/>
            </w:tcMar>
          </w:tcPr>
          <w:p>
            <w:r>
              <w:rPr>
                <w:color w:val="334155"/>
                <w:sz w:val="18"/>
                <w:szCs w:val="18"/>
              </w:rPr>
              <w:t xml:space="preserve">Left navigation — all dashboard section links including ICE and Change in ICE</w:t>
            </w:r>
          </w:p>
        </w:tc>
      </w:tr>
      <w:tr>
        <w:tc>
          <w:tcPr>
            <w:shd w:color="EFF6FF" w:val="solid"/>
            <w:tcMar>
              <w:top w:type="dxa" w:w="60"/>
              <w:left w:type="dxa" w:w="100"/>
              <w:bottom w:type="dxa" w:w="60"/>
              <w:right w:type="dxa" w:w="100"/>
            </w:tcMar>
          </w:tcPr>
          <w:p>
            <w:r>
              <w:rPr>
                <w:color w:val="334155"/>
                <w:sz w:val="18"/>
                <w:szCs w:val="18"/>
              </w:rPr>
              <w:t xml:space="preserve">src/components/Tabs/</w:t>
            </w:r>
          </w:p>
        </w:tc>
        <w:tc>
          <w:tcPr>
            <w:shd w:color="EFF6FF" w:val="solid"/>
            <w:tcMar>
              <w:top w:type="dxa" w:w="60"/>
              <w:left w:type="dxa" w:w="100"/>
              <w:bottom w:type="dxa" w:w="60"/>
              <w:right w:type="dxa" w:w="100"/>
            </w:tcMar>
          </w:tcPr>
          <w:p>
            <w:r>
              <w:rPr>
                <w:color w:val="334155"/>
                <w:sz w:val="18"/>
                <w:szCs w:val="18"/>
              </w:rPr>
              <w:t xml:space="preserve">All dashboard section components (11 total)</w:t>
            </w:r>
          </w:p>
        </w:tc>
      </w:tr>
      <w:tr>
        <w:tc>
          <w:tcPr>
            <w:tcMar>
              <w:top w:type="dxa" w:w="60"/>
              <w:left w:type="dxa" w:w="100"/>
              <w:bottom w:type="dxa" w:w="60"/>
              <w:right w:type="dxa" w:w="100"/>
            </w:tcMar>
          </w:tcPr>
          <w:p>
            <w:r>
              <w:rPr>
                <w:color w:val="334155"/>
                <w:sz w:val="18"/>
                <w:szCs w:val="18"/>
              </w:rPr>
              <w:t xml:space="preserve">src/components/Chart/</w:t>
            </w:r>
          </w:p>
        </w:tc>
        <w:tc>
          <w:tcPr>
            <w:tcMar>
              <w:top w:type="dxa" w:w="60"/>
              <w:left w:type="dxa" w:w="100"/>
              <w:bottom w:type="dxa" w:w="60"/>
              <w:right w:type="dxa" w:w="100"/>
            </w:tcMar>
          </w:tcPr>
          <w:p>
            <w:r>
              <w:rPr>
                <w:color w:val="334155"/>
                <w:sz w:val="18"/>
                <w:szCs w:val="18"/>
              </w:rPr>
              <w:t xml:space="preserve">Chart modals and combo chart components for CFTC and ICE</w:t>
            </w:r>
          </w:p>
        </w:tc>
      </w:tr>
      <w:tr>
        <w:tc>
          <w:tcPr>
            <w:shd w:color="EFF6FF" w:val="solid"/>
            <w:tcMar>
              <w:top w:type="dxa" w:w="60"/>
              <w:left w:type="dxa" w:w="100"/>
              <w:bottom w:type="dxa" w:w="60"/>
              <w:right w:type="dxa" w:w="100"/>
            </w:tcMar>
          </w:tcPr>
          <w:p>
            <w:r>
              <w:rPr>
                <w:color w:val="334155"/>
                <w:sz w:val="18"/>
                <w:szCs w:val="18"/>
              </w:rPr>
              <w:t xml:space="preserve">src/data/columnHierarchy.js</w:t>
            </w:r>
          </w:p>
        </w:tc>
        <w:tc>
          <w:tcPr>
            <w:shd w:color="EFF6FF" w:val="solid"/>
            <w:tcMar>
              <w:top w:type="dxa" w:w="60"/>
              <w:left w:type="dxa" w:w="100"/>
              <w:bottom w:type="dxa" w:w="60"/>
              <w:right w:type="dxa" w:w="100"/>
            </w:tcMar>
          </w:tcPr>
          <w:p>
            <w:r>
              <w:rPr>
                <w:color w:val="334155"/>
                <w:sz w:val="18"/>
                <w:szCs w:val="18"/>
              </w:rPr>
              <w:t xml:space="preserve">Full 3-level metric hierarchy (Section → Subsection → Group → Item). 188 CFTC columns + computed metrics</w:t>
            </w:r>
          </w:p>
        </w:tc>
      </w:tr>
      <w:tr>
        <w:tc>
          <w:tcPr>
            <w:tcMar>
              <w:top w:type="dxa" w:w="60"/>
              <w:left w:type="dxa" w:w="100"/>
              <w:bottom w:type="dxa" w:w="60"/>
              <w:right w:type="dxa" w:w="100"/>
            </w:tcMar>
          </w:tcPr>
          <w:p>
            <w:r>
              <w:rPr>
                <w:color w:val="334155"/>
                <w:sz w:val="18"/>
                <w:szCs w:val="18"/>
              </w:rPr>
              <w:t xml:space="preserve">src/services/api.js</w:t>
            </w:r>
          </w:p>
        </w:tc>
        <w:tc>
          <w:tcPr>
            <w:tcMar>
              <w:top w:type="dxa" w:w="60"/>
              <w:left w:type="dxa" w:w="100"/>
              <w:bottom w:type="dxa" w:w="60"/>
              <w:right w:type="dxa" w:w="100"/>
            </w:tcMar>
          </w:tcPr>
          <w:p>
            <w:r>
              <w:rPr>
                <w:color w:val="334155"/>
                <w:sz w:val="18"/>
                <w:szCs w:val="18"/>
              </w:rPr>
              <w:t xml:space="preserve">All frontend API call functions. Injects Bearer token into every request.</w:t>
            </w:r>
          </w:p>
        </w:tc>
      </w:tr>
      <w:tr>
        <w:tc>
          <w:tcPr>
            <w:shd w:color="EFF6FF" w:val="solid"/>
            <w:tcMar>
              <w:top w:type="dxa" w:w="60"/>
              <w:left w:type="dxa" w:w="100"/>
              <w:bottom w:type="dxa" w:w="60"/>
              <w:right w:type="dxa" w:w="100"/>
            </w:tcMar>
          </w:tcPr>
          <w:p>
            <w:r>
              <w:rPr>
                <w:color w:val="334155"/>
                <w:sz w:val="18"/>
                <w:szCs w:val="18"/>
              </w:rPr>
              <w:t xml:space="preserve">src/pages/Login.jsx</w:t>
            </w:r>
          </w:p>
        </w:tc>
        <w:tc>
          <w:tcPr>
            <w:shd w:color="EFF6FF" w:val="solid"/>
            <w:tcMar>
              <w:top w:type="dxa" w:w="60"/>
              <w:left w:type="dxa" w:w="100"/>
              <w:bottom w:type="dxa" w:w="60"/>
              <w:right w:type="dxa" w:w="100"/>
            </w:tcMar>
          </w:tcPr>
          <w:p>
            <w:r>
              <w:rPr>
                <w:color w:val="334155"/>
                <w:sz w:val="18"/>
                <w:szCs w:val="18"/>
              </w:rPr>
              <w:t xml:space="preserve">Login page — posts to /api/auth/login and stores JWT in Redux + localStorage</w:t>
            </w:r>
          </w:p>
        </w:tc>
      </w:tr>
      <w:tr>
        <w:tc>
          <w:tcPr>
            <w:tcMar>
              <w:top w:type="dxa" w:w="60"/>
              <w:left w:type="dxa" w:w="100"/>
              <w:bottom w:type="dxa" w:w="60"/>
              <w:right w:type="dxa" w:w="100"/>
            </w:tcMar>
          </w:tcPr>
          <w:p>
            <w:r>
              <w:rPr>
                <w:color w:val="334155"/>
                <w:sz w:val="18"/>
                <w:szCs w:val="18"/>
              </w:rPr>
              <w:t xml:space="preserve">server/index.js</w:t>
            </w:r>
          </w:p>
        </w:tc>
        <w:tc>
          <w:tcPr>
            <w:tcMar>
              <w:top w:type="dxa" w:w="60"/>
              <w:left w:type="dxa" w:w="100"/>
              <w:bottom w:type="dxa" w:w="60"/>
              <w:right w:type="dxa" w:w="100"/>
            </w:tcMar>
          </w:tcPr>
          <w:p>
            <w:r>
              <w:rPr>
                <w:color w:val="334155"/>
                <w:sz w:val="18"/>
                <w:szCs w:val="18"/>
              </w:rPr>
              <w:t xml:space="preserve">Server entry point — Express setup, all cron job registrations, static file serving</w:t>
            </w:r>
          </w:p>
        </w:tc>
      </w:tr>
      <w:tr>
        <w:tc>
          <w:tcPr>
            <w:shd w:color="EFF6FF" w:val="solid"/>
            <w:tcMar>
              <w:top w:type="dxa" w:w="60"/>
              <w:left w:type="dxa" w:w="100"/>
              <w:bottom w:type="dxa" w:w="60"/>
              <w:right w:type="dxa" w:w="100"/>
            </w:tcMar>
          </w:tcPr>
          <w:p>
            <w:r>
              <w:rPr>
                <w:color w:val="334155"/>
                <w:sz w:val="18"/>
                <w:szCs w:val="18"/>
              </w:rPr>
              <w:t xml:space="preserve">server/routes.js</w:t>
            </w:r>
          </w:p>
        </w:tc>
        <w:tc>
          <w:tcPr>
            <w:shd w:color="EFF6FF" w:val="solid"/>
            <w:tcMar>
              <w:top w:type="dxa" w:w="60"/>
              <w:left w:type="dxa" w:w="100"/>
              <w:bottom w:type="dxa" w:w="60"/>
              <w:right w:type="dxa" w:w="100"/>
            </w:tcMar>
          </w:tcPr>
          <w:p>
            <w:r>
              <w:rPr>
                <w:color w:val="334155"/>
                <w:sz w:val="18"/>
                <w:szCs w:val="18"/>
              </w:rPr>
              <w:t xml:space="preserve">All REST API route handlers (~700 lines). Handles CFTC, ICE, Cocoa, OI, and OV endpoints.</w:t>
            </w:r>
          </w:p>
        </w:tc>
      </w:tr>
      <w:tr>
        <w:tc>
          <w:tcPr>
            <w:tcMar>
              <w:top w:type="dxa" w:w="60"/>
              <w:left w:type="dxa" w:w="100"/>
              <w:bottom w:type="dxa" w:w="60"/>
              <w:right w:type="dxa" w:w="100"/>
            </w:tcMar>
          </w:tcPr>
          <w:p>
            <w:r>
              <w:rPr>
                <w:color w:val="334155"/>
                <w:sz w:val="18"/>
                <w:szCs w:val="18"/>
              </w:rPr>
              <w:t xml:space="preserve">server/authRoutes.js</w:t>
            </w:r>
          </w:p>
        </w:tc>
        <w:tc>
          <w:tcPr>
            <w:tcMar>
              <w:top w:type="dxa" w:w="60"/>
              <w:left w:type="dxa" w:w="100"/>
              <w:bottom w:type="dxa" w:w="60"/>
              <w:right w:type="dxa" w:w="100"/>
            </w:tcMar>
          </w:tcPr>
          <w:p>
            <w:r>
              <w:rPr>
                <w:color w:val="334155"/>
                <w:sz w:val="18"/>
                <w:szCs w:val="18"/>
              </w:rPr>
              <w:t xml:space="preserve">Login, register endpoints + authenticateToken middleware</w:t>
            </w:r>
          </w:p>
        </w:tc>
      </w:tr>
      <w:tr>
        <w:tc>
          <w:tcPr>
            <w:shd w:color="EFF6FF" w:val="solid"/>
            <w:tcMar>
              <w:top w:type="dxa" w:w="60"/>
              <w:left w:type="dxa" w:w="100"/>
              <w:bottom w:type="dxa" w:w="60"/>
              <w:right w:type="dxa" w:w="100"/>
            </w:tcMar>
          </w:tcPr>
          <w:p>
            <w:r>
              <w:rPr>
                <w:color w:val="334155"/>
                <w:sz w:val="18"/>
                <w:szCs w:val="18"/>
              </w:rPr>
              <w:t xml:space="preserve">server/db.js</w:t>
            </w:r>
          </w:p>
        </w:tc>
        <w:tc>
          <w:tcPr>
            <w:shd w:color="EFF6FF" w:val="solid"/>
            <w:tcMar>
              <w:top w:type="dxa" w:w="60"/>
              <w:left w:type="dxa" w:w="100"/>
              <w:bottom w:type="dxa" w:w="60"/>
              <w:right w:type="dxa" w:w="100"/>
            </w:tcMar>
          </w:tcPr>
          <w:p>
            <w:r>
              <w:rPr>
                <w:color w:val="334155"/>
                <w:sz w:val="18"/>
                <w:szCs w:val="18"/>
              </w:rPr>
              <w:t xml:space="preserve">PostgreSQL connection pool singleton with timezone-safe DATE type parser</w:t>
            </w:r>
          </w:p>
        </w:tc>
      </w:tr>
      <w:tr>
        <w:tc>
          <w:tcPr>
            <w:tcMar>
              <w:top w:type="dxa" w:w="60"/>
              <w:left w:type="dxa" w:w="100"/>
              <w:bottom w:type="dxa" w:w="60"/>
              <w:right w:type="dxa" w:w="100"/>
            </w:tcMar>
          </w:tcPr>
          <w:p>
            <w:r>
              <w:rPr>
                <w:color w:val="334155"/>
                <w:sz w:val="18"/>
                <w:szCs w:val="18"/>
              </w:rPr>
              <w:t xml:space="preserve">server/services/ (12 files)</w:t>
            </w:r>
          </w:p>
        </w:tc>
        <w:tc>
          <w:tcPr>
            <w:tcMar>
              <w:top w:type="dxa" w:w="60"/>
              <w:left w:type="dxa" w:w="100"/>
              <w:bottom w:type="dxa" w:w="60"/>
              <w:right w:type="dxa" w:w="100"/>
            </w:tcMar>
          </w:tcPr>
          <w:p>
            <w:r>
              <w:rPr>
                <w:color w:val="334155"/>
                <w:sz w:val="18"/>
                <w:szCs w:val="18"/>
              </w:rPr>
              <w:t xml:space="preserve">All background service modules — data fetching, OCR, file watching, alert sending</w:t>
            </w:r>
          </w:p>
        </w:tc>
      </w:tr>
      <w:tr>
        <w:tc>
          <w:tcPr>
            <w:shd w:color="EFF6FF" w:val="solid"/>
            <w:tcMar>
              <w:top w:type="dxa" w:w="60"/>
              <w:left w:type="dxa" w:w="100"/>
              <w:bottom w:type="dxa" w:w="60"/>
              <w:right w:type="dxa" w:w="100"/>
            </w:tcMar>
          </w:tcPr>
          <w:p>
            <w:r>
              <w:rPr>
                <w:color w:val="334155"/>
                <w:sz w:val="18"/>
                <w:szCs w:val="18"/>
              </w:rPr>
              <w:t xml:space="preserve">server/migrations/ (3 files)</w:t>
            </w:r>
          </w:p>
        </w:tc>
        <w:tc>
          <w:tcPr>
            <w:shd w:color="EFF6FF" w:val="solid"/>
            <w:tcMar>
              <w:top w:type="dxa" w:w="60"/>
              <w:left w:type="dxa" w:w="100"/>
              <w:bottom w:type="dxa" w:w="60"/>
              <w:right w:type="dxa" w:w="100"/>
            </w:tcMar>
          </w:tcPr>
          <w:p>
            <w:r>
              <w:rPr>
                <w:color w:val="334155"/>
                <w:sz w:val="18"/>
                <w:szCs w:val="18"/>
              </w:rPr>
              <w:t xml:space="preserve">Database table creation scripts run automatically at server startup</w:t>
            </w:r>
          </w:p>
        </w:tc>
      </w:tr>
      <w:tr>
        <w:tc>
          <w:tcPr>
            <w:tcMar>
              <w:top w:type="dxa" w:w="60"/>
              <w:left w:type="dxa" w:w="100"/>
              <w:bottom w:type="dxa" w:w="60"/>
              <w:right w:type="dxa" w:w="100"/>
            </w:tcMar>
          </w:tcPr>
          <w:p>
            <w:r>
              <w:rPr>
                <w:color w:val="334155"/>
                <w:sz w:val="18"/>
                <w:szCs w:val="18"/>
              </w:rPr>
              <w:t xml:space="preserve">dist/</w:t>
            </w:r>
          </w:p>
        </w:tc>
        <w:tc>
          <w:tcPr>
            <w:tcMar>
              <w:top w:type="dxa" w:w="60"/>
              <w:left w:type="dxa" w:w="100"/>
              <w:bottom w:type="dxa" w:w="60"/>
              <w:right w:type="dxa" w:w="100"/>
            </w:tcMar>
          </w:tcPr>
          <w:p>
            <w:r>
              <w:rPr>
                <w:color w:val="334155"/>
                <w:sz w:val="18"/>
                <w:szCs w:val="18"/>
              </w:rPr>
              <w:t xml:space="preserve">Vite production build output — served by Express as static files</w:t>
            </w:r>
          </w:p>
        </w:tc>
      </w:tr>
    </w:tbl>
    <w:p>
      <w:pPr>
        <w:pBdr>
          <w:bottom w:val="single" w:color="E2E8F0" w:sz="6"/>
        </w:pBdr>
        <w:spacing w:after="160"/>
      </w:pPr>
    </w:p>
    <w:p>
      <w:pPr>
        <w:pStyle w:val="Heading1"/>
        <w:spacing w:after="160" w:before="400"/>
      </w:pPr>
      <w:r>
        <w:t xml:space="preserve">5. Authentication System (JWT + bcrypt)</w:t>
      </w:r>
      <w:r>
        <w:rPr>
          <w:rFonts w:ascii="Calibri" w:cs="Calibri" w:eastAsia="Calibri" w:hAnsi="Calibri"/>
          <w:b/>
          <w:bCs/>
          <w:color w:val="1E3A5F"/>
          <w:sz w:val="52"/>
          <w:szCs w:val="52"/>
        </w:rPr>
        <w:t xml:space="preserve">5. Authentication System (JWT + bcrypt)</w:t>
      </w:r>
    </w:p>
    <w:p>
      <w:pPr>
        <w:pStyle w:val="Heading3"/>
        <w:spacing w:after="80" w:before="240"/>
      </w:pPr>
      <w:r>
        <w:rPr>
          <w:rFonts w:ascii="Calibri" w:cs="Calibri" w:eastAsia="Calibri" w:hAnsi="Calibri"/>
          <w:b/>
          <w:bCs/>
          <w:color w:val="1E3A5F"/>
          <w:sz w:val="28"/>
          <w:szCs w:val="28"/>
        </w:rPr>
        <w:t xml:space="preserve">Why JWT?</w:t>
      </w:r>
    </w:p>
    <w:p>
      <w:pPr>
        <w:spacing w:after="100" w:before="40"/>
      </w:pPr>
      <w:r>
        <w:rPr>
          <w:color w:val="0F172A"/>
          <w:sz w:val="20"/>
          <w:szCs w:val="20"/>
        </w:rPr>
        <w:t xml:space="preserve">JWT (JSON Web Tokens) are used for stateless authentication. The server does not store session state. The token itself contains all identity information and is cryptographically signed, so any server instance can verify it without a database lookup.</w:t>
      </w:r>
    </w:p>
    <w:p>
      <w:pPr>
        <w:pStyle w:val="Heading3"/>
        <w:spacing w:after="80" w:before="240"/>
      </w:pPr>
      <w:r>
        <w:rPr>
          <w:rFonts w:ascii="Calibri" w:cs="Calibri" w:eastAsia="Calibri" w:hAnsi="Calibri"/>
          <w:b/>
          <w:bCs/>
          <w:color w:val="1E3A5F"/>
          <w:sz w:val="28"/>
          <w:szCs w:val="28"/>
        </w:rPr>
        <w:t xml:space="preserve">Login Flow — Step by Step</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shd w:color="1E293B" w:val="solid"/>
            <w:tcMar>
              <w:top w:type="dxa" w:w="80"/>
              <w:left w:type="dxa" w:w="100"/>
              <w:bottom w:type="dxa" w:w="80"/>
              <w:right w:type="dxa" w:w="100"/>
            </w:tcMar>
          </w:tcPr>
          <w:p>
            <w:pPr>
              <w:jc w:val="left"/>
            </w:pPr>
            <w:r>
              <w:rPr>
                <w:rFonts w:ascii="Calibri" w:cs="Calibri" w:eastAsia="Calibri" w:hAnsi="Calibri"/>
                <w:b/>
                <w:bCs/>
                <w:color w:val="FFFFFF"/>
                <w:sz w:val="18"/>
                <w:szCs w:val="18"/>
              </w:rPr>
              <w:t xml:space="preserve">Step</w:t>
            </w:r>
          </w:p>
        </w:tc>
        <w:tc>
          <w:tcPr>
            <w:shd w:color="1E293B" w:val="solid"/>
            <w:tcMar>
              <w:top w:type="dxa" w:w="80"/>
              <w:left w:type="dxa" w:w="100"/>
              <w:bottom w:type="dxa" w:w="80"/>
              <w:right w:type="dxa" w:w="100"/>
            </w:tcMar>
          </w:tcPr>
          <w:p>
            <w:pPr>
              <w:jc w:val="left"/>
            </w:pPr>
            <w:r>
              <w:rPr>
                <w:rFonts w:ascii="Calibri" w:cs="Calibri" w:eastAsia="Calibri" w:hAnsi="Calibri"/>
                <w:b/>
                <w:bCs/>
                <w:color w:val="FFFFFF"/>
                <w:sz w:val="18"/>
                <w:szCs w:val="18"/>
              </w:rPr>
              <w:t xml:space="preserve">What Happens</w:t>
            </w:r>
          </w:p>
        </w:tc>
        <w:tc>
          <w:tcPr>
            <w:shd w:color="1E293B" w:val="solid"/>
            <w:tcMar>
              <w:top w:type="dxa" w:w="80"/>
              <w:left w:type="dxa" w:w="100"/>
              <w:bottom w:type="dxa" w:w="80"/>
              <w:right w:type="dxa" w:w="100"/>
            </w:tcMar>
          </w:tcPr>
          <w:p>
            <w:pPr>
              <w:jc w:val="left"/>
            </w:pPr>
            <w:r>
              <w:rPr>
                <w:rFonts w:ascii="Calibri" w:cs="Calibri" w:eastAsia="Calibri" w:hAnsi="Calibri"/>
                <w:b/>
                <w:bCs/>
                <w:color w:val="FFFFFF"/>
                <w:sz w:val="18"/>
                <w:szCs w:val="18"/>
              </w:rPr>
              <w:t xml:space="preserve">Code Location</w:t>
            </w:r>
          </w:p>
        </w:tc>
      </w:tr>
      <w:tr>
        <w:tc>
          <w:tcPr>
            <w:tcMar>
              <w:top w:type="dxa" w:w="60"/>
              <w:left w:type="dxa" w:w="100"/>
              <w:bottom w:type="dxa" w:w="60"/>
              <w:right w:type="dxa" w:w="100"/>
            </w:tcMar>
          </w:tcPr>
          <w:p>
            <w:r>
              <w:rPr>
                <w:color w:val="334155"/>
                <w:sz w:val="18"/>
                <w:szCs w:val="18"/>
              </w:rPr>
              <w:t xml:space="preserve">1</w:t>
            </w:r>
          </w:p>
        </w:tc>
        <w:tc>
          <w:tcPr>
            <w:tcMar>
              <w:top w:type="dxa" w:w="60"/>
              <w:left w:type="dxa" w:w="100"/>
              <w:bottom w:type="dxa" w:w="60"/>
              <w:right w:type="dxa" w:w="100"/>
            </w:tcMar>
          </w:tcPr>
          <w:p>
            <w:r>
              <w:rPr>
                <w:color w:val="334155"/>
                <w:sz w:val="18"/>
                <w:szCs w:val="18"/>
              </w:rPr>
              <w:t xml:space="preserve">User submits username + password on the login page</w:t>
            </w:r>
          </w:p>
        </w:tc>
        <w:tc>
          <w:tcPr>
            <w:tcMar>
              <w:top w:type="dxa" w:w="60"/>
              <w:left w:type="dxa" w:w="100"/>
              <w:bottom w:type="dxa" w:w="60"/>
              <w:right w:type="dxa" w:w="100"/>
            </w:tcMar>
          </w:tcPr>
          <w:p>
            <w:r>
              <w:rPr>
                <w:color w:val="334155"/>
                <w:sz w:val="18"/>
                <w:szCs w:val="18"/>
              </w:rPr>
              <w:t xml:space="preserve">src/pages/Login.jsx</w:t>
            </w:r>
          </w:p>
        </w:tc>
      </w:tr>
      <w:tr>
        <w:tc>
          <w:tcPr>
            <w:shd w:color="EFF6FF" w:val="solid"/>
            <w:tcMar>
              <w:top w:type="dxa" w:w="60"/>
              <w:left w:type="dxa" w:w="100"/>
              <w:bottom w:type="dxa" w:w="60"/>
              <w:right w:type="dxa" w:w="100"/>
            </w:tcMar>
          </w:tcPr>
          <w:p>
            <w:r>
              <w:rPr>
                <w:color w:val="334155"/>
                <w:sz w:val="18"/>
                <w:szCs w:val="18"/>
              </w:rPr>
              <w:t xml:space="preserve">2</w:t>
            </w:r>
          </w:p>
        </w:tc>
        <w:tc>
          <w:tcPr>
            <w:shd w:color="EFF6FF" w:val="solid"/>
            <w:tcMar>
              <w:top w:type="dxa" w:w="60"/>
              <w:left w:type="dxa" w:w="100"/>
              <w:bottom w:type="dxa" w:w="60"/>
              <w:right w:type="dxa" w:w="100"/>
            </w:tcMar>
          </w:tcPr>
          <w:p>
            <w:r>
              <w:rPr>
                <w:color w:val="334155"/>
                <w:sz w:val="18"/>
                <w:szCs w:val="18"/>
              </w:rPr>
              <w:t xml:space="preserve">POST /api/auth/login is called</w:t>
            </w:r>
          </w:p>
        </w:tc>
        <w:tc>
          <w:tcPr>
            <w:shd w:color="EFF6FF" w:val="solid"/>
            <w:tcMar>
              <w:top w:type="dxa" w:w="60"/>
              <w:left w:type="dxa" w:w="100"/>
              <w:bottom w:type="dxa" w:w="60"/>
              <w:right w:type="dxa" w:w="100"/>
            </w:tcMar>
          </w:tcPr>
          <w:p>
            <w:r>
              <w:rPr>
                <w:color w:val="334155"/>
                <w:sz w:val="18"/>
                <w:szCs w:val="18"/>
              </w:rPr>
              <w:t xml:space="preserve">src/services/api.js</w:t>
            </w:r>
          </w:p>
        </w:tc>
      </w:tr>
      <w:tr>
        <w:tc>
          <w:tcPr>
            <w:tcMar>
              <w:top w:type="dxa" w:w="60"/>
              <w:left w:type="dxa" w:w="100"/>
              <w:bottom w:type="dxa" w:w="60"/>
              <w:right w:type="dxa" w:w="100"/>
            </w:tcMar>
          </w:tcPr>
          <w:p>
            <w:r>
              <w:rPr>
                <w:color w:val="334155"/>
                <w:sz w:val="18"/>
                <w:szCs w:val="18"/>
              </w:rPr>
              <w:t xml:space="preserve">3</w:t>
            </w:r>
          </w:p>
        </w:tc>
        <w:tc>
          <w:tcPr>
            <w:tcMar>
              <w:top w:type="dxa" w:w="60"/>
              <w:left w:type="dxa" w:w="100"/>
              <w:bottom w:type="dxa" w:w="60"/>
              <w:right w:type="dxa" w:w="100"/>
            </w:tcMar>
          </w:tcPr>
          <w:p>
            <w:r>
              <w:rPr>
                <w:color w:val="334155"/>
                <w:sz w:val="18"/>
                <w:szCs w:val="18"/>
              </w:rPr>
              <w:t xml:space="preserve">Server queries users table: SELECT * FROM users WHERE username = $1</w:t>
            </w:r>
          </w:p>
        </w:tc>
        <w:tc>
          <w:tcPr>
            <w:tcMar>
              <w:top w:type="dxa" w:w="60"/>
              <w:left w:type="dxa" w:w="100"/>
              <w:bottom w:type="dxa" w:w="60"/>
              <w:right w:type="dxa" w:w="100"/>
            </w:tcMar>
          </w:tcPr>
          <w:p>
            <w:r>
              <w:rPr>
                <w:color w:val="334155"/>
                <w:sz w:val="18"/>
                <w:szCs w:val="18"/>
              </w:rPr>
              <w:t xml:space="preserve">server/authRoutes.js:30</w:t>
            </w:r>
          </w:p>
        </w:tc>
      </w:tr>
      <w:tr>
        <w:tc>
          <w:tcPr>
            <w:shd w:color="EFF6FF" w:val="solid"/>
            <w:tcMar>
              <w:top w:type="dxa" w:w="60"/>
              <w:left w:type="dxa" w:w="100"/>
              <w:bottom w:type="dxa" w:w="60"/>
              <w:right w:type="dxa" w:w="100"/>
            </w:tcMar>
          </w:tcPr>
          <w:p>
            <w:r>
              <w:rPr>
                <w:color w:val="334155"/>
                <w:sz w:val="18"/>
                <w:szCs w:val="18"/>
              </w:rPr>
              <w:t xml:space="preserve">4</w:t>
            </w:r>
          </w:p>
        </w:tc>
        <w:tc>
          <w:tcPr>
            <w:shd w:color="EFF6FF" w:val="solid"/>
            <w:tcMar>
              <w:top w:type="dxa" w:w="60"/>
              <w:left w:type="dxa" w:w="100"/>
              <w:bottom w:type="dxa" w:w="60"/>
              <w:right w:type="dxa" w:w="100"/>
            </w:tcMar>
          </w:tcPr>
          <w:p>
            <w:r>
              <w:rPr>
                <w:color w:val="334155"/>
                <w:sz w:val="18"/>
                <w:szCs w:val="18"/>
              </w:rPr>
              <w:t xml:space="preserve">bcrypt.compare() checks the submitted password against stored hash</w:t>
            </w:r>
          </w:p>
        </w:tc>
        <w:tc>
          <w:tcPr>
            <w:shd w:color="EFF6FF" w:val="solid"/>
            <w:tcMar>
              <w:top w:type="dxa" w:w="60"/>
              <w:left w:type="dxa" w:w="100"/>
              <w:bottom w:type="dxa" w:w="60"/>
              <w:right w:type="dxa" w:w="100"/>
            </w:tcMar>
          </w:tcPr>
          <w:p>
            <w:r>
              <w:rPr>
                <w:color w:val="334155"/>
                <w:sz w:val="18"/>
                <w:szCs w:val="18"/>
              </w:rPr>
              <w:t xml:space="preserve">server/authRoutes.js:38</w:t>
            </w:r>
          </w:p>
        </w:tc>
      </w:tr>
      <w:tr>
        <w:tc>
          <w:tcPr>
            <w:tcMar>
              <w:top w:type="dxa" w:w="60"/>
              <w:left w:type="dxa" w:w="100"/>
              <w:bottom w:type="dxa" w:w="60"/>
              <w:right w:type="dxa" w:w="100"/>
            </w:tcMar>
          </w:tcPr>
          <w:p>
            <w:r>
              <w:rPr>
                <w:color w:val="334155"/>
                <w:sz w:val="18"/>
                <w:szCs w:val="18"/>
              </w:rPr>
              <w:t xml:space="preserve">5</w:t>
            </w:r>
          </w:p>
        </w:tc>
        <w:tc>
          <w:tcPr>
            <w:tcMar>
              <w:top w:type="dxa" w:w="60"/>
              <w:left w:type="dxa" w:w="100"/>
              <w:bottom w:type="dxa" w:w="60"/>
              <w:right w:type="dxa" w:w="100"/>
            </w:tcMar>
          </w:tcPr>
          <w:p>
            <w:r>
              <w:rPr>
                <w:color w:val="334155"/>
                <w:sz w:val="18"/>
                <w:szCs w:val="18"/>
              </w:rPr>
              <w:t xml:space="preserve">jwt.sign({ id, username }, SECRET_KEY, { expiresIn: "24h" }) creates token</w:t>
            </w:r>
          </w:p>
        </w:tc>
        <w:tc>
          <w:tcPr>
            <w:tcMar>
              <w:top w:type="dxa" w:w="60"/>
              <w:left w:type="dxa" w:w="100"/>
              <w:bottom w:type="dxa" w:w="60"/>
              <w:right w:type="dxa" w:w="100"/>
            </w:tcMar>
          </w:tcPr>
          <w:p>
            <w:r>
              <w:rPr>
                <w:color w:val="334155"/>
                <w:sz w:val="18"/>
                <w:szCs w:val="18"/>
              </w:rPr>
              <w:t xml:space="preserve">server/authRoutes.js:44</w:t>
            </w:r>
          </w:p>
        </w:tc>
      </w:tr>
      <w:tr>
        <w:tc>
          <w:tcPr>
            <w:shd w:color="EFF6FF" w:val="solid"/>
            <w:tcMar>
              <w:top w:type="dxa" w:w="60"/>
              <w:left w:type="dxa" w:w="100"/>
              <w:bottom w:type="dxa" w:w="60"/>
              <w:right w:type="dxa" w:w="100"/>
            </w:tcMar>
          </w:tcPr>
          <w:p>
            <w:r>
              <w:rPr>
                <w:color w:val="334155"/>
                <w:sz w:val="18"/>
                <w:szCs w:val="18"/>
              </w:rPr>
              <w:t xml:space="preserve">6</w:t>
            </w:r>
          </w:p>
        </w:tc>
        <w:tc>
          <w:tcPr>
            <w:shd w:color="EFF6FF" w:val="solid"/>
            <w:tcMar>
              <w:top w:type="dxa" w:w="60"/>
              <w:left w:type="dxa" w:w="100"/>
              <w:bottom w:type="dxa" w:w="60"/>
              <w:right w:type="dxa" w:w="100"/>
            </w:tcMar>
          </w:tcPr>
          <w:p>
            <w:r>
              <w:rPr>
                <w:color w:val="334155"/>
                <w:sz w:val="18"/>
                <w:szCs w:val="18"/>
              </w:rPr>
              <w:t xml:space="preserve">Token returned in JSON response: { success: true, token, user }</w:t>
            </w:r>
          </w:p>
        </w:tc>
        <w:tc>
          <w:tcPr>
            <w:shd w:color="EFF6FF" w:val="solid"/>
            <w:tcMar>
              <w:top w:type="dxa" w:w="60"/>
              <w:left w:type="dxa" w:w="100"/>
              <w:bottom w:type="dxa" w:w="60"/>
              <w:right w:type="dxa" w:w="100"/>
            </w:tcMar>
          </w:tcPr>
          <w:p>
            <w:r>
              <w:rPr>
                <w:color w:val="334155"/>
                <w:sz w:val="18"/>
                <w:szCs w:val="18"/>
              </w:rPr>
              <w:t xml:space="preserve">server/authRoutes.js:46</w:t>
            </w:r>
          </w:p>
        </w:tc>
      </w:tr>
      <w:tr>
        <w:tc>
          <w:tcPr>
            <w:tcMar>
              <w:top w:type="dxa" w:w="60"/>
              <w:left w:type="dxa" w:w="100"/>
              <w:bottom w:type="dxa" w:w="60"/>
              <w:right w:type="dxa" w:w="100"/>
            </w:tcMar>
          </w:tcPr>
          <w:p>
            <w:r>
              <w:rPr>
                <w:color w:val="334155"/>
                <w:sz w:val="18"/>
                <w:szCs w:val="18"/>
              </w:rPr>
              <w:t xml:space="preserve">7</w:t>
            </w:r>
          </w:p>
        </w:tc>
        <w:tc>
          <w:tcPr>
            <w:tcMar>
              <w:top w:type="dxa" w:w="60"/>
              <w:left w:type="dxa" w:w="100"/>
              <w:bottom w:type="dxa" w:w="60"/>
              <w:right w:type="dxa" w:w="100"/>
            </w:tcMar>
          </w:tcPr>
          <w:p>
            <w:r>
              <w:rPr>
                <w:color w:val="334155"/>
                <w:sz w:val="18"/>
                <w:szCs w:val="18"/>
              </w:rPr>
              <w:t xml:space="preserve">Frontend stores token in localStorage and Redux auth slice</w:t>
            </w:r>
          </w:p>
        </w:tc>
        <w:tc>
          <w:tcPr>
            <w:tcMar>
              <w:top w:type="dxa" w:w="60"/>
              <w:left w:type="dxa" w:w="100"/>
              <w:bottom w:type="dxa" w:w="60"/>
              <w:right w:type="dxa" w:w="100"/>
            </w:tcMar>
          </w:tcPr>
          <w:p>
            <w:r>
              <w:rPr>
                <w:color w:val="334155"/>
                <w:sz w:val="18"/>
                <w:szCs w:val="18"/>
              </w:rPr>
              <w:t xml:space="preserve">src/features/auth/authSlice.js</w:t>
            </w:r>
          </w:p>
        </w:tc>
      </w:tr>
      <w:tr>
        <w:tc>
          <w:tcPr>
            <w:shd w:color="EFF6FF" w:val="solid"/>
            <w:tcMar>
              <w:top w:type="dxa" w:w="60"/>
              <w:left w:type="dxa" w:w="100"/>
              <w:bottom w:type="dxa" w:w="60"/>
              <w:right w:type="dxa" w:w="100"/>
            </w:tcMar>
          </w:tcPr>
          <w:p>
            <w:r>
              <w:rPr>
                <w:color w:val="334155"/>
                <w:sz w:val="18"/>
                <w:szCs w:val="18"/>
              </w:rPr>
              <w:t xml:space="preserve">8</w:t>
            </w:r>
          </w:p>
        </w:tc>
        <w:tc>
          <w:tcPr>
            <w:shd w:color="EFF6FF" w:val="solid"/>
            <w:tcMar>
              <w:top w:type="dxa" w:w="60"/>
              <w:left w:type="dxa" w:w="100"/>
              <w:bottom w:type="dxa" w:w="60"/>
              <w:right w:type="dxa" w:w="100"/>
            </w:tcMar>
          </w:tcPr>
          <w:p>
            <w:r>
              <w:rPr>
                <w:color w:val="334155"/>
                <w:sz w:val="18"/>
                <w:szCs w:val="18"/>
              </w:rPr>
              <w:t xml:space="preserve">All subsequent API calls include: Authorization: Bearer &lt;token&gt;</w:t>
            </w:r>
          </w:p>
        </w:tc>
        <w:tc>
          <w:tcPr>
            <w:shd w:color="EFF6FF" w:val="solid"/>
            <w:tcMar>
              <w:top w:type="dxa" w:w="60"/>
              <w:left w:type="dxa" w:w="100"/>
              <w:bottom w:type="dxa" w:w="60"/>
              <w:right w:type="dxa" w:w="100"/>
            </w:tcMar>
          </w:tcPr>
          <w:p>
            <w:r>
              <w:rPr>
                <w:color w:val="334155"/>
                <w:sz w:val="18"/>
                <w:szCs w:val="18"/>
              </w:rPr>
              <w:t xml:space="preserve">src/services/api.js</w:t>
            </w:r>
          </w:p>
        </w:tc>
      </w:tr>
      <w:tr>
        <w:tc>
          <w:tcPr>
            <w:tcMar>
              <w:top w:type="dxa" w:w="60"/>
              <w:left w:type="dxa" w:w="100"/>
              <w:bottom w:type="dxa" w:w="60"/>
              <w:right w:type="dxa" w:w="100"/>
            </w:tcMar>
          </w:tcPr>
          <w:p>
            <w:r>
              <w:rPr>
                <w:color w:val="334155"/>
                <w:sz w:val="18"/>
                <w:szCs w:val="18"/>
              </w:rPr>
              <w:t xml:space="preserve">9</w:t>
            </w:r>
          </w:p>
        </w:tc>
        <w:tc>
          <w:tcPr>
            <w:tcMar>
              <w:top w:type="dxa" w:w="60"/>
              <w:left w:type="dxa" w:w="100"/>
              <w:bottom w:type="dxa" w:w="60"/>
              <w:right w:type="dxa" w:w="100"/>
            </w:tcMar>
          </w:tcPr>
          <w:p>
            <w:r>
              <w:rPr>
                <w:color w:val="334155"/>
                <w:sz w:val="18"/>
                <w:szCs w:val="18"/>
              </w:rPr>
              <w:t xml:space="preserve">authenticateToken middleware verifies token on every /api/* request</w:t>
            </w:r>
          </w:p>
        </w:tc>
        <w:tc>
          <w:tcPr>
            <w:tcMar>
              <w:top w:type="dxa" w:w="60"/>
              <w:left w:type="dxa" w:w="100"/>
              <w:bottom w:type="dxa" w:w="60"/>
              <w:right w:type="dxa" w:w="100"/>
            </w:tcMar>
          </w:tcPr>
          <w:p>
            <w:r>
              <w:rPr>
                <w:color w:val="334155"/>
                <w:sz w:val="18"/>
                <w:szCs w:val="18"/>
              </w:rPr>
              <w:t xml:space="preserve">server/authRoutes.js:59</w:t>
            </w:r>
          </w:p>
        </w:tc>
      </w:tr>
      <w:tr>
        <w:tc>
          <w:tcPr>
            <w:shd w:color="EFF6FF" w:val="solid"/>
            <w:tcMar>
              <w:top w:type="dxa" w:w="60"/>
              <w:left w:type="dxa" w:w="100"/>
              <w:bottom w:type="dxa" w:w="60"/>
              <w:right w:type="dxa" w:w="100"/>
            </w:tcMar>
          </w:tcPr>
          <w:p>
            <w:r>
              <w:rPr>
                <w:color w:val="334155"/>
                <w:sz w:val="18"/>
                <w:szCs w:val="18"/>
              </w:rPr>
              <w:t xml:space="preserve">10</w:t>
            </w:r>
          </w:p>
        </w:tc>
        <w:tc>
          <w:tcPr>
            <w:shd w:color="EFF6FF" w:val="solid"/>
            <w:tcMar>
              <w:top w:type="dxa" w:w="60"/>
              <w:left w:type="dxa" w:w="100"/>
              <w:bottom w:type="dxa" w:w="60"/>
              <w:right w:type="dxa" w:w="100"/>
            </w:tcMar>
          </w:tcPr>
          <w:p>
            <w:r>
              <w:rPr>
                <w:color w:val="334155"/>
                <w:sz w:val="18"/>
                <w:szCs w:val="18"/>
              </w:rPr>
              <w:t xml:space="preserve">On 401/403: token cleared, user redirected to /login automatically</w:t>
            </w:r>
          </w:p>
        </w:tc>
        <w:tc>
          <w:tcPr>
            <w:shd w:color="EFF6FF" w:val="solid"/>
            <w:tcMar>
              <w:top w:type="dxa" w:w="60"/>
              <w:left w:type="dxa" w:w="100"/>
              <w:bottom w:type="dxa" w:w="60"/>
              <w:right w:type="dxa" w:w="100"/>
            </w:tcMar>
          </w:tcPr>
          <w:p>
            <w:r>
              <w:rPr>
                <w:color w:val="334155"/>
                <w:sz w:val="18"/>
                <w:szCs w:val="18"/>
              </w:rPr>
              <w:t xml:space="preserve">src/services/api.js:13</w:t>
            </w:r>
          </w:p>
        </w:tc>
      </w:tr>
    </w:tbl>
    <w:p>
      <w:pPr>
        <w:spacing w:after="160"/>
      </w:pPr>
    </w:p>
    <w:p>
      <w:pPr>
        <w:pStyle w:val="Heading3"/>
        <w:spacing w:after="80" w:before="240"/>
      </w:pPr>
      <w:r>
        <w:rPr>
          <w:rFonts w:ascii="Calibri" w:cs="Calibri" w:eastAsia="Calibri" w:hAnsi="Calibri"/>
          <w:b/>
          <w:bCs/>
          <w:color w:val="1E3A5F"/>
          <w:sz w:val="28"/>
          <w:szCs w:val="28"/>
        </w:rPr>
        <w:t xml:space="preserve">JWT Structure</w:t>
      </w:r>
    </w:p>
    <w:p>
      <w:pPr>
        <w:spacing w:after="100" w:before="40"/>
      </w:pPr>
      <w:r>
        <w:rPr>
          <w:color w:val="0F172A"/>
          <w:sz w:val="20"/>
          <w:szCs w:val="20"/>
        </w:rPr>
        <w:t xml:space="preserve">A JWT has three Base64URL-encoded parts separated by dots:</w:t>
      </w:r>
    </w:p>
    <w:p>
      <w:pPr>
        <w:pStyle w:val="ListParagraph"/>
        <w:numPr>
          <w:ilvl w:val="0"/>
          <w:numId w:val="1"/>
        </w:numPr>
        <w:spacing w:after="60"/>
      </w:pPr>
      <w:r>
        <w:rPr>
          <w:color w:val="334155"/>
          <w:sz w:val="20"/>
          <w:szCs w:val="20"/>
        </w:rPr>
        <w:t xml:space="preserve">Header: { "alg": "HS256", "typ": "JWT" }</w:t>
      </w:r>
    </w:p>
    <w:p>
      <w:pPr>
        <w:pStyle w:val="ListParagraph"/>
        <w:numPr>
          <w:ilvl w:val="0"/>
          <w:numId w:val="1"/>
        </w:numPr>
        <w:spacing w:after="60"/>
      </w:pPr>
      <w:r>
        <w:rPr>
          <w:color w:val="334155"/>
          <w:sz w:val="20"/>
          <w:szCs w:val="20"/>
        </w:rPr>
        <w:t xml:space="preserve">Payload: { "id": 1, "username": "ajit", "iat": 1719308400, "exp": 1719394800 }</w:t>
      </w:r>
    </w:p>
    <w:p>
      <w:pPr>
        <w:pStyle w:val="ListParagraph"/>
        <w:numPr>
          <w:ilvl w:val="0"/>
          <w:numId w:val="1"/>
        </w:numPr>
        <w:spacing w:after="60"/>
      </w:pPr>
      <w:r>
        <w:rPr>
          <w:color w:val="334155"/>
          <w:sz w:val="20"/>
          <w:szCs w:val="20"/>
        </w:rPr>
        <w:t xml:space="preserve">Signature: HMAC-SHA256(base64(header) + "." + base64(payload), JWT_SECRET)</w:t>
      </w:r>
    </w:p>
    <w:p>
      <w:pPr>
        <w:pBdr>
          <w:left w:val="thick" w:color="B45309" w:sz="12"/>
        </w:pBdr>
        <w:spacing w:after="120" w:before="80"/>
        <w:ind w:left="431"/>
      </w:pPr>
      <w:r>
        <w:rPr>
          <w:i/>
          <w:iCs/>
          <w:color w:val="B45309"/>
          <w:sz w:val="18"/>
          <w:szCs w:val="18"/>
        </w:rPr>
        <w:t xml:space="preserve">📌  If any part of the token is modified, the signature check fails and the request is rejected with HTTP 403.</w:t>
      </w:r>
    </w:p>
    <w:p>
      <w:pPr>
        <w:pStyle w:val="Heading3"/>
        <w:spacing w:after="80" w:before="240"/>
      </w:pPr>
      <w:r>
        <w:rPr>
          <w:rFonts w:ascii="Calibri" w:cs="Calibri" w:eastAsia="Calibri" w:hAnsi="Calibri"/>
          <w:b/>
          <w:bCs/>
          <w:color w:val="1E3A5F"/>
          <w:sz w:val="28"/>
          <w:szCs w:val="28"/>
        </w:rPr>
        <w:t xml:space="preserve">Password Security</w:t>
      </w:r>
    </w:p>
    <w:p>
      <w:pPr>
        <w:spacing w:after="100" w:before="40"/>
      </w:pPr>
      <w:r>
        <w:rPr>
          <w:color w:val="0F172A"/>
          <w:sz w:val="20"/>
          <w:szCs w:val="20"/>
        </w:rPr>
        <w:t xml:space="preserve">bcryptjs hashes passwords using the Blowfish cipher with an adaptive cost factor (10 salt rounds). Key properties:</w:t>
      </w:r>
    </w:p>
    <w:p>
      <w:pPr>
        <w:pStyle w:val="ListParagraph"/>
        <w:numPr>
          <w:ilvl w:val="0"/>
          <w:numId w:val="1"/>
        </w:numPr>
        <w:spacing w:after="60"/>
      </w:pPr>
      <w:r>
        <w:rPr>
          <w:color w:val="334155"/>
          <w:sz w:val="20"/>
          <w:szCs w:val="20"/>
        </w:rPr>
        <w:t xml:space="preserve">Each hash includes a random salt — identical passwords produce different hashes</w:t>
      </w:r>
    </w:p>
    <w:p>
      <w:pPr>
        <w:pStyle w:val="ListParagraph"/>
        <w:numPr>
          <w:ilvl w:val="0"/>
          <w:numId w:val="1"/>
        </w:numPr>
        <w:spacing w:after="60"/>
      </w:pPr>
      <w:r>
        <w:rPr>
          <w:color w:val="334155"/>
          <w:sz w:val="20"/>
          <w:szCs w:val="20"/>
        </w:rPr>
        <w:t xml:space="preserve">Computationally expensive by design — slows brute-force attacks to ~100ms per attempt</w:t>
      </w:r>
    </w:p>
    <w:p>
      <w:pPr>
        <w:pStyle w:val="ListParagraph"/>
        <w:numPr>
          <w:ilvl w:val="0"/>
          <w:numId w:val="1"/>
        </w:numPr>
        <w:spacing w:after="60"/>
      </w:pPr>
      <w:r>
        <w:rPr>
          <w:color w:val="334155"/>
          <w:sz w:val="20"/>
          <w:szCs w:val="20"/>
        </w:rPr>
        <w:t xml:space="preserve">One-way — the original password cannot be recovered from the hash</w:t>
      </w:r>
    </w:p>
    <w:p>
      <w:pPr>
        <w:pStyle w:val="ListParagraph"/>
        <w:numPr>
          <w:ilvl w:val="0"/>
          <w:numId w:val="1"/>
        </w:numPr>
        <w:spacing w:after="60"/>
      </w:pPr>
      <w:r>
        <w:rPr>
          <w:color w:val="334155"/>
          <w:sz w:val="20"/>
          <w:szCs w:val="20"/>
        </w:rPr>
        <w:t xml:space="preserve">bcrypt.compare() safely compares submitted password to stored hash at login time</w:t>
      </w:r>
    </w:p>
    <w:p>
      <w:pPr>
        <w:pBdr>
          <w:bottom w:val="single" w:color="E2E8F0" w:sz="6"/>
        </w:pBdr>
        <w:spacing w:after="160"/>
      </w:pPr>
    </w:p>
    <w:p>
      <w:pPr>
        <w:pStyle w:val="Heading1"/>
        <w:spacing w:after="160" w:before="400"/>
      </w:pPr>
      <w:r>
        <w:t xml:space="preserve">6. Database Design (PostgreSQL)</w:t>
      </w:r>
      <w:r>
        <w:rPr>
          <w:rFonts w:ascii="Calibri" w:cs="Calibri" w:eastAsia="Calibri" w:hAnsi="Calibri"/>
          <w:b/>
          <w:bCs/>
          <w:color w:val="1E3A5F"/>
          <w:sz w:val="52"/>
          <w:szCs w:val="52"/>
        </w:rPr>
        <w:t xml:space="preserve">6. Database Design (PostgreSQL)</w:t>
      </w:r>
    </w:p>
    <w:p>
      <w:pPr>
        <w:pStyle w:val="Heading3"/>
        <w:spacing w:after="80" w:before="240"/>
      </w:pPr>
      <w:r>
        <w:rPr>
          <w:rFonts w:ascii="Calibri" w:cs="Calibri" w:eastAsia="Calibri" w:hAnsi="Calibri"/>
          <w:b/>
          <w:bCs/>
          <w:color w:val="1E3A5F"/>
          <w:sz w:val="28"/>
          <w:szCs w:val="28"/>
        </w:rPr>
        <w:t xml:space="preserve">Connection Setup</w:t>
      </w:r>
    </w:p>
    <w:p>
      <w:pPr>
        <w:spacing w:after="100" w:before="40"/>
      </w:pPr>
      <w:r>
        <w:rPr>
          <w:color w:val="0F172A"/>
          <w:sz w:val="20"/>
          <w:szCs w:val="20"/>
        </w:rPr>
        <w:t xml:space="preserve">A single pg.Pool instance is created in server/db.js and imported as a singleton throughout all services and routes. This pools connections efficiently and avoids connection exhaustion.</w:t>
      </w:r>
    </w:p>
    <w:p>
      <w:pPr>
        <w:shd w:color="F1F5F9" w:val="solid"/>
        <w:spacing w:after="40"/>
        <w:ind w:left="576"/>
      </w:pPr>
      <w:r>
        <w:rPr>
          <w:rFonts w:ascii="Courier New" w:cs="Courier New" w:eastAsia="Courier New" w:hAnsi="Courier New"/>
          <w:b/>
          <w:bCs/>
          <w:color w:val="0A5C60"/>
          <w:sz w:val="18"/>
          <w:szCs w:val="18"/>
        </w:rPr>
        <w:t xml:space="preserve">const pool = new Pool({ connectionString: process.env.DATABASE_URL });</w:t>
      </w:r>
    </w:p>
    <w:p>
      <w:pPr>
        <w:pStyle w:val="Heading3"/>
        <w:spacing w:after="80" w:before="240"/>
      </w:pPr>
      <w:r>
        <w:rPr>
          <w:rFonts w:ascii="Calibri" w:cs="Calibri" w:eastAsia="Calibri" w:hAnsi="Calibri"/>
          <w:b/>
          <w:bCs/>
          <w:color w:val="1E3A5F"/>
          <w:sz w:val="28"/>
          <w:szCs w:val="28"/>
        </w:rPr>
        <w:t xml:space="preserve">Critical: Timezone-Safe DATE Parsing</w:t>
      </w:r>
    </w:p>
    <w:p>
      <w:pPr>
        <w:shd w:color="F1F5F9" w:val="solid"/>
        <w:spacing w:after="40"/>
        <w:ind w:left="576"/>
      </w:pPr>
      <w:r>
        <w:rPr>
          <w:rFonts w:ascii="Courier New" w:cs="Courier New" w:eastAsia="Courier New" w:hAnsi="Courier New"/>
          <w:b/>
          <w:bCs/>
          <w:color w:val="0A5C60"/>
          <w:sz w:val="18"/>
          <w:szCs w:val="18"/>
        </w:rPr>
        <w:t xml:space="preserve">types.setTypeParser(1082, (val) =&gt; val);</w:t>
      </w:r>
    </w:p>
    <w:p>
      <w:pPr>
        <w:spacing w:after="100" w:before="40"/>
      </w:pPr>
      <w:r>
        <w:rPr>
          <w:color w:val="0F172A"/>
          <w:sz w:val="20"/>
          <w:szCs w:val="20"/>
        </w:rPr>
        <w:t xml:space="preserve">This line forces PostgreSQL to return DATE columns as raw strings (YYYY-MM-DD) instead of JavaScript Date objects. Without this, the pg driver converts dates to UTC midnight Date objects which then shift back one day when serialized to JSON in non-UTC timezones — causing 2026-03-03 to appear as 2026-03-02 in the frontend.</w:t>
      </w:r>
    </w:p>
    <w:p>
      <w:pPr>
        <w:spacing w:after="100"/>
      </w:pPr>
    </w:p>
    <w:p>
      <w:pPr>
        <w:pStyle w:val="Heading3"/>
        <w:spacing w:after="80" w:before="240"/>
      </w:pPr>
      <w:r>
        <w:rPr>
          <w:rFonts w:ascii="Calibri" w:cs="Calibri" w:eastAsia="Calibri" w:hAnsi="Calibri"/>
          <w:b/>
          <w:bCs/>
          <w:color w:val="1E3A5F"/>
          <w:sz w:val="28"/>
          <w:szCs w:val="28"/>
        </w:rPr>
        <w:t xml:space="preserve">CFTC Market Tables (11 tables, ~188 columns each)</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shd w:color="1E293B" w:val="solid"/>
            <w:tcMar>
              <w:top w:type="dxa" w:w="80"/>
              <w:left w:type="dxa" w:w="100"/>
              <w:bottom w:type="dxa" w:w="80"/>
              <w:right w:type="dxa" w:w="100"/>
            </w:tcMar>
          </w:tcPr>
          <w:p>
            <w:pPr>
              <w:jc w:val="left"/>
            </w:pPr>
            <w:r>
              <w:rPr>
                <w:rFonts w:ascii="Calibri" w:cs="Calibri" w:eastAsia="Calibri" w:hAnsi="Calibri"/>
                <w:b/>
                <w:bCs/>
                <w:color w:val="FFFFFF"/>
                <w:sz w:val="18"/>
                <w:szCs w:val="18"/>
              </w:rPr>
              <w:t xml:space="preserve">Table Name</w:t>
            </w:r>
          </w:p>
        </w:tc>
        <w:tc>
          <w:tcPr>
            <w:shd w:color="1E293B" w:val="solid"/>
            <w:tcMar>
              <w:top w:type="dxa" w:w="80"/>
              <w:left w:type="dxa" w:w="100"/>
              <w:bottom w:type="dxa" w:w="80"/>
              <w:right w:type="dxa" w:w="100"/>
            </w:tcMar>
          </w:tcPr>
          <w:p>
            <w:pPr>
              <w:jc w:val="left"/>
            </w:pPr>
            <w:r>
              <w:rPr>
                <w:rFonts w:ascii="Calibri" w:cs="Calibri" w:eastAsia="Calibri" w:hAnsi="Calibri"/>
                <w:b/>
                <w:bCs/>
                <w:color w:val="FFFFFF"/>
                <w:sz w:val="18"/>
                <w:szCs w:val="18"/>
              </w:rPr>
              <w:t xml:space="preserve">Market</w:t>
            </w:r>
          </w:p>
        </w:tc>
        <w:tc>
          <w:tcPr>
            <w:shd w:color="1E293B" w:val="solid"/>
            <w:tcMar>
              <w:top w:type="dxa" w:w="80"/>
              <w:left w:type="dxa" w:w="100"/>
              <w:bottom w:type="dxa" w:w="80"/>
              <w:right w:type="dxa" w:w="100"/>
            </w:tcMar>
          </w:tcPr>
          <w:p>
            <w:pPr>
              <w:jc w:val="left"/>
            </w:pPr>
            <w:r>
              <w:rPr>
                <w:rFonts w:ascii="Calibri" w:cs="Calibri" w:eastAsia="Calibri" w:hAnsi="Calibri"/>
                <w:b/>
                <w:bCs/>
                <w:color w:val="FFFFFF"/>
                <w:sz w:val="18"/>
                <w:szCs w:val="18"/>
              </w:rPr>
              <w:t xml:space="preserve">Primary Key</w:t>
            </w:r>
          </w:p>
        </w:tc>
      </w:tr>
      <w:tr>
        <w:tc>
          <w:tcPr>
            <w:tcMar>
              <w:top w:type="dxa" w:w="60"/>
              <w:left w:type="dxa" w:w="100"/>
              <w:bottom w:type="dxa" w:w="60"/>
              <w:right w:type="dxa" w:w="100"/>
            </w:tcMar>
          </w:tcPr>
          <w:p>
            <w:r>
              <w:rPr>
                <w:color w:val="334155"/>
                <w:sz w:val="18"/>
                <w:szCs w:val="18"/>
              </w:rPr>
              <w:t xml:space="preserve">cocoa</w:t>
            </w:r>
          </w:p>
        </w:tc>
        <w:tc>
          <w:tcPr>
            <w:tcMar>
              <w:top w:type="dxa" w:w="60"/>
              <w:left w:type="dxa" w:w="100"/>
              <w:bottom w:type="dxa" w:w="60"/>
              <w:right w:type="dxa" w:w="100"/>
            </w:tcMar>
          </w:tcPr>
          <w:p>
            <w:r>
              <w:rPr>
                <w:color w:val="334155"/>
                <w:sz w:val="18"/>
                <w:szCs w:val="18"/>
              </w:rPr>
              <w:t xml:space="preserve">COCOA - ICE FUTURES U.S.</w:t>
            </w:r>
          </w:p>
        </w:tc>
        <w:tc>
          <w:tcPr>
            <w:tcMar>
              <w:top w:type="dxa" w:w="60"/>
              <w:left w:type="dxa" w:w="100"/>
              <w:bottom w:type="dxa" w:w="60"/>
              <w:right w:type="dxa" w:w="100"/>
            </w:tcMar>
          </w:tcPr>
          <w:p>
            <w:r>
              <w:rPr>
                <w:color w:val="334155"/>
                <w:sz w:val="18"/>
                <w:szCs w:val="18"/>
              </w:rPr>
              <w:t xml:space="preserve">report_date_as_mm_dd_yyyy</w:t>
            </w:r>
          </w:p>
        </w:tc>
      </w:tr>
      <w:tr>
        <w:tc>
          <w:tcPr>
            <w:shd w:color="EFF6FF" w:val="solid"/>
            <w:tcMar>
              <w:top w:type="dxa" w:w="60"/>
              <w:left w:type="dxa" w:w="100"/>
              <w:bottom w:type="dxa" w:w="60"/>
              <w:right w:type="dxa" w:w="100"/>
            </w:tcMar>
          </w:tcPr>
          <w:p>
            <w:r>
              <w:rPr>
                <w:color w:val="334155"/>
                <w:sz w:val="18"/>
                <w:szCs w:val="18"/>
              </w:rPr>
              <w:t xml:space="preserve">coffee_c</w:t>
            </w:r>
          </w:p>
        </w:tc>
        <w:tc>
          <w:tcPr>
            <w:shd w:color="EFF6FF" w:val="solid"/>
            <w:tcMar>
              <w:top w:type="dxa" w:w="60"/>
              <w:left w:type="dxa" w:w="100"/>
              <w:bottom w:type="dxa" w:w="60"/>
              <w:right w:type="dxa" w:w="100"/>
            </w:tcMar>
          </w:tcPr>
          <w:p>
            <w:r>
              <w:rPr>
                <w:color w:val="334155"/>
                <w:sz w:val="18"/>
                <w:szCs w:val="18"/>
              </w:rPr>
              <w:t xml:space="preserve">COFFEE C - ICE FUTURES U.S.</w:t>
            </w:r>
          </w:p>
        </w:tc>
        <w:tc>
          <w:tcPr>
            <w:shd w:color="EFF6FF" w:val="solid"/>
            <w:tcMar>
              <w:top w:type="dxa" w:w="60"/>
              <w:left w:type="dxa" w:w="100"/>
              <w:bottom w:type="dxa" w:w="60"/>
              <w:right w:type="dxa" w:w="100"/>
            </w:tcMar>
          </w:tcPr>
          <w:p>
            <w:r>
              <w:rPr>
                <w:color w:val="334155"/>
                <w:sz w:val="18"/>
                <w:szCs w:val="18"/>
              </w:rPr>
              <w:t xml:space="preserve">report_date_as_mm_dd_yyyy</w:t>
            </w:r>
          </w:p>
        </w:tc>
      </w:tr>
      <w:tr>
        <w:tc>
          <w:tcPr>
            <w:tcMar>
              <w:top w:type="dxa" w:w="60"/>
              <w:left w:type="dxa" w:w="100"/>
              <w:bottom w:type="dxa" w:w="60"/>
              <w:right w:type="dxa" w:w="100"/>
            </w:tcMar>
          </w:tcPr>
          <w:p>
            <w:r>
              <w:rPr>
                <w:color w:val="334155"/>
                <w:sz w:val="18"/>
                <w:szCs w:val="18"/>
              </w:rPr>
              <w:t xml:space="preserve">cotton_no_2</w:t>
            </w:r>
          </w:p>
        </w:tc>
        <w:tc>
          <w:tcPr>
            <w:tcMar>
              <w:top w:type="dxa" w:w="60"/>
              <w:left w:type="dxa" w:w="100"/>
              <w:bottom w:type="dxa" w:w="60"/>
              <w:right w:type="dxa" w:w="100"/>
            </w:tcMar>
          </w:tcPr>
          <w:p>
            <w:r>
              <w:rPr>
                <w:color w:val="334155"/>
                <w:sz w:val="18"/>
                <w:szCs w:val="18"/>
              </w:rPr>
              <w:t xml:space="preserve">COTTON NO. 2 - ICE FUTURES U.S.</w:t>
            </w:r>
          </w:p>
        </w:tc>
        <w:tc>
          <w:tcPr>
            <w:tcMar>
              <w:top w:type="dxa" w:w="60"/>
              <w:left w:type="dxa" w:w="100"/>
              <w:bottom w:type="dxa" w:w="60"/>
              <w:right w:type="dxa" w:w="100"/>
            </w:tcMar>
          </w:tcPr>
          <w:p>
            <w:r>
              <w:rPr>
                <w:color w:val="334155"/>
                <w:sz w:val="18"/>
                <w:szCs w:val="18"/>
              </w:rPr>
              <w:t xml:space="preserve">report_date_as_mm_dd_yyyy</w:t>
            </w:r>
          </w:p>
        </w:tc>
      </w:tr>
      <w:tr>
        <w:tc>
          <w:tcPr>
            <w:shd w:color="EFF6FF" w:val="solid"/>
            <w:tcMar>
              <w:top w:type="dxa" w:w="60"/>
              <w:left w:type="dxa" w:w="100"/>
              <w:bottom w:type="dxa" w:w="60"/>
              <w:right w:type="dxa" w:w="100"/>
            </w:tcMar>
          </w:tcPr>
          <w:p>
            <w:r>
              <w:rPr>
                <w:color w:val="334155"/>
                <w:sz w:val="18"/>
                <w:szCs w:val="18"/>
              </w:rPr>
              <w:t xml:space="preserve">sugar_no_11</w:t>
            </w:r>
          </w:p>
        </w:tc>
        <w:tc>
          <w:tcPr>
            <w:shd w:color="EFF6FF" w:val="solid"/>
            <w:tcMar>
              <w:top w:type="dxa" w:w="60"/>
              <w:left w:type="dxa" w:w="100"/>
              <w:bottom w:type="dxa" w:w="60"/>
              <w:right w:type="dxa" w:w="100"/>
            </w:tcMar>
          </w:tcPr>
          <w:p>
            <w:r>
              <w:rPr>
                <w:color w:val="334155"/>
                <w:sz w:val="18"/>
                <w:szCs w:val="18"/>
              </w:rPr>
              <w:t xml:space="preserve">SUGAR NO. 11 - ICE FUTURES U.S.</w:t>
            </w:r>
          </w:p>
        </w:tc>
        <w:tc>
          <w:tcPr>
            <w:shd w:color="EFF6FF" w:val="solid"/>
            <w:tcMar>
              <w:top w:type="dxa" w:w="60"/>
              <w:left w:type="dxa" w:w="100"/>
              <w:bottom w:type="dxa" w:w="60"/>
              <w:right w:type="dxa" w:w="100"/>
            </w:tcMar>
          </w:tcPr>
          <w:p>
            <w:r>
              <w:rPr>
                <w:color w:val="334155"/>
                <w:sz w:val="18"/>
                <w:szCs w:val="18"/>
              </w:rPr>
              <w:t xml:space="preserve">report_date_as_mm_dd_yyyy</w:t>
            </w:r>
          </w:p>
        </w:tc>
      </w:tr>
      <w:tr>
        <w:tc>
          <w:tcPr>
            <w:tcMar>
              <w:top w:type="dxa" w:w="60"/>
              <w:left w:type="dxa" w:w="100"/>
              <w:bottom w:type="dxa" w:w="60"/>
              <w:right w:type="dxa" w:w="100"/>
            </w:tcMar>
          </w:tcPr>
          <w:p>
            <w:r>
              <w:rPr>
                <w:color w:val="334155"/>
                <w:sz w:val="18"/>
                <w:szCs w:val="18"/>
              </w:rPr>
              <w:t xml:space="preserve">rough_rice</w:t>
            </w:r>
          </w:p>
        </w:tc>
        <w:tc>
          <w:tcPr>
            <w:tcMar>
              <w:top w:type="dxa" w:w="60"/>
              <w:left w:type="dxa" w:w="100"/>
              <w:bottom w:type="dxa" w:w="60"/>
              <w:right w:type="dxa" w:w="100"/>
            </w:tcMar>
          </w:tcPr>
          <w:p>
            <w:r>
              <w:rPr>
                <w:color w:val="334155"/>
                <w:sz w:val="18"/>
                <w:szCs w:val="18"/>
              </w:rPr>
              <w:t xml:space="preserve">ROUGH RICE - CHICAGO BOARD OF TRADE</w:t>
            </w:r>
          </w:p>
        </w:tc>
        <w:tc>
          <w:tcPr>
            <w:tcMar>
              <w:top w:type="dxa" w:w="60"/>
              <w:left w:type="dxa" w:w="100"/>
              <w:bottom w:type="dxa" w:w="60"/>
              <w:right w:type="dxa" w:w="100"/>
            </w:tcMar>
          </w:tcPr>
          <w:p>
            <w:r>
              <w:rPr>
                <w:color w:val="334155"/>
                <w:sz w:val="18"/>
                <w:szCs w:val="18"/>
              </w:rPr>
              <w:t xml:space="preserve">report_date_as_mm_dd_yyyy</w:t>
            </w:r>
          </w:p>
        </w:tc>
      </w:tr>
      <w:tr>
        <w:tc>
          <w:tcPr>
            <w:shd w:color="EFF6FF" w:val="solid"/>
            <w:tcMar>
              <w:top w:type="dxa" w:w="60"/>
              <w:left w:type="dxa" w:w="100"/>
              <w:bottom w:type="dxa" w:w="60"/>
              <w:right w:type="dxa" w:w="100"/>
            </w:tcMar>
          </w:tcPr>
          <w:p>
            <w:r>
              <w:rPr>
                <w:color w:val="334155"/>
                <w:sz w:val="18"/>
                <w:szCs w:val="18"/>
              </w:rPr>
              <w:t xml:space="preserve">butter_cash_settled</w:t>
            </w:r>
          </w:p>
        </w:tc>
        <w:tc>
          <w:tcPr>
            <w:shd w:color="EFF6FF" w:val="solid"/>
            <w:tcMar>
              <w:top w:type="dxa" w:w="60"/>
              <w:left w:type="dxa" w:w="100"/>
              <w:bottom w:type="dxa" w:w="60"/>
              <w:right w:type="dxa" w:w="100"/>
            </w:tcMar>
          </w:tcPr>
          <w:p>
            <w:r>
              <w:rPr>
                <w:color w:val="334155"/>
                <w:sz w:val="18"/>
                <w:szCs w:val="18"/>
              </w:rPr>
              <w:t xml:space="preserve">BUTTER (CASH SETTLED) - CME</w:t>
            </w:r>
          </w:p>
        </w:tc>
        <w:tc>
          <w:tcPr>
            <w:shd w:color="EFF6FF" w:val="solid"/>
            <w:tcMar>
              <w:top w:type="dxa" w:w="60"/>
              <w:left w:type="dxa" w:w="100"/>
              <w:bottom w:type="dxa" w:w="60"/>
              <w:right w:type="dxa" w:w="100"/>
            </w:tcMar>
          </w:tcPr>
          <w:p>
            <w:r>
              <w:rPr>
                <w:color w:val="334155"/>
                <w:sz w:val="18"/>
                <w:szCs w:val="18"/>
              </w:rPr>
              <w:t xml:space="preserve">report_date_as_mm_dd_yyyy</w:t>
            </w:r>
          </w:p>
        </w:tc>
      </w:tr>
      <w:tr>
        <w:tc>
          <w:tcPr>
            <w:tcMar>
              <w:top w:type="dxa" w:w="60"/>
              <w:left w:type="dxa" w:w="100"/>
              <w:bottom w:type="dxa" w:w="60"/>
              <w:right w:type="dxa" w:w="100"/>
            </w:tcMar>
          </w:tcPr>
          <w:p>
            <w:r>
              <w:rPr>
                <w:color w:val="334155"/>
                <w:sz w:val="18"/>
                <w:szCs w:val="18"/>
              </w:rPr>
              <w:t xml:space="preserve">milk_class_3</w:t>
            </w:r>
          </w:p>
        </w:tc>
        <w:tc>
          <w:tcPr>
            <w:tcMar>
              <w:top w:type="dxa" w:w="60"/>
              <w:left w:type="dxa" w:w="100"/>
              <w:bottom w:type="dxa" w:w="60"/>
              <w:right w:type="dxa" w:w="100"/>
            </w:tcMar>
          </w:tcPr>
          <w:p>
            <w:r>
              <w:rPr>
                <w:color w:val="334155"/>
                <w:sz w:val="18"/>
                <w:szCs w:val="18"/>
              </w:rPr>
              <w:t xml:space="preserve">MILK, Class III - CME</w:t>
            </w:r>
          </w:p>
        </w:tc>
        <w:tc>
          <w:tcPr>
            <w:tcMar>
              <w:top w:type="dxa" w:w="60"/>
              <w:left w:type="dxa" w:w="100"/>
              <w:bottom w:type="dxa" w:w="60"/>
              <w:right w:type="dxa" w:w="100"/>
            </w:tcMar>
          </w:tcPr>
          <w:p>
            <w:r>
              <w:rPr>
                <w:color w:val="334155"/>
                <w:sz w:val="18"/>
                <w:szCs w:val="18"/>
              </w:rPr>
              <w:t xml:space="preserve">report_date_as_mm_dd_yyyy</w:t>
            </w:r>
          </w:p>
        </w:tc>
      </w:tr>
      <w:tr>
        <w:tc>
          <w:tcPr>
            <w:shd w:color="EFF6FF" w:val="solid"/>
            <w:tcMar>
              <w:top w:type="dxa" w:w="60"/>
              <w:left w:type="dxa" w:w="100"/>
              <w:bottom w:type="dxa" w:w="60"/>
              <w:right w:type="dxa" w:w="100"/>
            </w:tcMar>
          </w:tcPr>
          <w:p>
            <w:r>
              <w:rPr>
                <w:color w:val="334155"/>
                <w:sz w:val="18"/>
                <w:szCs w:val="18"/>
              </w:rPr>
              <w:t xml:space="preserve">cheese_cash_settled</w:t>
            </w:r>
          </w:p>
        </w:tc>
        <w:tc>
          <w:tcPr>
            <w:shd w:color="EFF6FF" w:val="solid"/>
            <w:tcMar>
              <w:top w:type="dxa" w:w="60"/>
              <w:left w:type="dxa" w:w="100"/>
              <w:bottom w:type="dxa" w:w="60"/>
              <w:right w:type="dxa" w:w="100"/>
            </w:tcMar>
          </w:tcPr>
          <w:p>
            <w:r>
              <w:rPr>
                <w:color w:val="334155"/>
                <w:sz w:val="18"/>
                <w:szCs w:val="18"/>
              </w:rPr>
              <w:t xml:space="preserve">CHEESE (CASH-SETTLED) - CME</w:t>
            </w:r>
          </w:p>
        </w:tc>
        <w:tc>
          <w:tcPr>
            <w:shd w:color="EFF6FF" w:val="solid"/>
            <w:tcMar>
              <w:top w:type="dxa" w:w="60"/>
              <w:left w:type="dxa" w:w="100"/>
              <w:bottom w:type="dxa" w:w="60"/>
              <w:right w:type="dxa" w:w="100"/>
            </w:tcMar>
          </w:tcPr>
          <w:p>
            <w:r>
              <w:rPr>
                <w:color w:val="334155"/>
                <w:sz w:val="18"/>
                <w:szCs w:val="18"/>
              </w:rPr>
              <w:t xml:space="preserve">report_date_as_mm_dd_yyyy</w:t>
            </w:r>
          </w:p>
        </w:tc>
      </w:tr>
      <w:tr>
        <w:tc>
          <w:tcPr>
            <w:tcMar>
              <w:top w:type="dxa" w:w="60"/>
              <w:left w:type="dxa" w:w="100"/>
              <w:bottom w:type="dxa" w:w="60"/>
              <w:right w:type="dxa" w:w="100"/>
            </w:tcMar>
          </w:tcPr>
          <w:p>
            <w:r>
              <w:rPr>
                <w:color w:val="334155"/>
                <w:sz w:val="18"/>
                <w:szCs w:val="18"/>
              </w:rPr>
              <w:t xml:space="preserve">non_fat_dry_milk</w:t>
            </w:r>
          </w:p>
        </w:tc>
        <w:tc>
          <w:tcPr>
            <w:tcMar>
              <w:top w:type="dxa" w:w="60"/>
              <w:left w:type="dxa" w:w="100"/>
              <w:bottom w:type="dxa" w:w="60"/>
              <w:right w:type="dxa" w:w="100"/>
            </w:tcMar>
          </w:tcPr>
          <w:p>
            <w:r>
              <w:rPr>
                <w:color w:val="334155"/>
                <w:sz w:val="18"/>
                <w:szCs w:val="18"/>
              </w:rPr>
              <w:t xml:space="preserve">NON FAT DRY MILK - CME</w:t>
            </w:r>
          </w:p>
        </w:tc>
        <w:tc>
          <w:tcPr>
            <w:tcMar>
              <w:top w:type="dxa" w:w="60"/>
              <w:left w:type="dxa" w:w="100"/>
              <w:bottom w:type="dxa" w:w="60"/>
              <w:right w:type="dxa" w:w="100"/>
            </w:tcMar>
          </w:tcPr>
          <w:p>
            <w:r>
              <w:rPr>
                <w:color w:val="334155"/>
                <w:sz w:val="18"/>
                <w:szCs w:val="18"/>
              </w:rPr>
              <w:t xml:space="preserve">report_date_as_mm_dd_yyyy</w:t>
            </w:r>
          </w:p>
        </w:tc>
      </w:tr>
      <w:tr>
        <w:tc>
          <w:tcPr>
            <w:shd w:color="EFF6FF" w:val="solid"/>
            <w:tcMar>
              <w:top w:type="dxa" w:w="60"/>
              <w:left w:type="dxa" w:w="100"/>
              <w:bottom w:type="dxa" w:w="60"/>
              <w:right w:type="dxa" w:w="100"/>
            </w:tcMar>
          </w:tcPr>
          <w:p>
            <w:r>
              <w:rPr>
                <w:color w:val="334155"/>
                <w:sz w:val="18"/>
                <w:szCs w:val="18"/>
              </w:rPr>
              <w:t xml:space="preserve">cme_milk_4</w:t>
            </w:r>
          </w:p>
        </w:tc>
        <w:tc>
          <w:tcPr>
            <w:shd w:color="EFF6FF" w:val="solid"/>
            <w:tcMar>
              <w:top w:type="dxa" w:w="60"/>
              <w:left w:type="dxa" w:w="100"/>
              <w:bottom w:type="dxa" w:w="60"/>
              <w:right w:type="dxa" w:w="100"/>
            </w:tcMar>
          </w:tcPr>
          <w:p>
            <w:r>
              <w:rPr>
                <w:color w:val="334155"/>
                <w:sz w:val="18"/>
                <w:szCs w:val="18"/>
              </w:rPr>
              <w:t xml:space="preserve">CME MILK IV - CME</w:t>
            </w:r>
          </w:p>
        </w:tc>
        <w:tc>
          <w:tcPr>
            <w:shd w:color="EFF6FF" w:val="solid"/>
            <w:tcMar>
              <w:top w:type="dxa" w:w="60"/>
              <w:left w:type="dxa" w:w="100"/>
              <w:bottom w:type="dxa" w:w="60"/>
              <w:right w:type="dxa" w:w="100"/>
            </w:tcMar>
          </w:tcPr>
          <w:p>
            <w:r>
              <w:rPr>
                <w:color w:val="334155"/>
                <w:sz w:val="18"/>
                <w:szCs w:val="18"/>
              </w:rPr>
              <w:t xml:space="preserve">report_date_as_mm_dd_yyyy</w:t>
            </w:r>
          </w:p>
        </w:tc>
      </w:tr>
      <w:tr>
        <w:tc>
          <w:tcPr>
            <w:tcMar>
              <w:top w:type="dxa" w:w="60"/>
              <w:left w:type="dxa" w:w="100"/>
              <w:bottom w:type="dxa" w:w="60"/>
              <w:right w:type="dxa" w:w="100"/>
            </w:tcMar>
          </w:tcPr>
          <w:p>
            <w:r>
              <w:rPr>
                <w:color w:val="334155"/>
                <w:sz w:val="18"/>
                <w:szCs w:val="18"/>
              </w:rPr>
              <w:t xml:space="preserve">frzn_concentrated_orange_juice</w:t>
            </w:r>
          </w:p>
        </w:tc>
        <w:tc>
          <w:tcPr>
            <w:tcMar>
              <w:top w:type="dxa" w:w="60"/>
              <w:left w:type="dxa" w:w="100"/>
              <w:bottom w:type="dxa" w:w="60"/>
              <w:right w:type="dxa" w:w="100"/>
            </w:tcMar>
          </w:tcPr>
          <w:p>
            <w:r>
              <w:rPr>
                <w:color w:val="334155"/>
                <w:sz w:val="18"/>
                <w:szCs w:val="18"/>
              </w:rPr>
              <w:t xml:space="preserve">FRZN CONCENTRATED OJ - ICE</w:t>
            </w:r>
          </w:p>
        </w:tc>
        <w:tc>
          <w:tcPr>
            <w:tcMar>
              <w:top w:type="dxa" w:w="60"/>
              <w:left w:type="dxa" w:w="100"/>
              <w:bottom w:type="dxa" w:w="60"/>
              <w:right w:type="dxa" w:w="100"/>
            </w:tcMar>
          </w:tcPr>
          <w:p>
            <w:r>
              <w:rPr>
                <w:color w:val="334155"/>
                <w:sz w:val="18"/>
                <w:szCs w:val="18"/>
              </w:rPr>
              <w:t xml:space="preserve">report_date_as_mm_dd_yyyy</w:t>
            </w:r>
          </w:p>
        </w:tc>
      </w:tr>
    </w:tbl>
    <w:p>
      <w:pPr>
        <w:spacing w:after="160"/>
      </w:pPr>
    </w:p>
    <w:p>
      <w:pPr>
        <w:pStyle w:val="Heading3"/>
        <w:spacing w:after="80" w:before="240"/>
      </w:pPr>
      <w:r>
        <w:rPr>
          <w:rFonts w:ascii="Calibri" w:cs="Calibri" w:eastAsia="Calibri" w:hAnsi="Calibri"/>
          <w:b/>
          <w:bCs/>
          <w:color w:val="1E3A5F"/>
          <w:sz w:val="28"/>
          <w:szCs w:val="28"/>
        </w:rPr>
        <w:t xml:space="preserve">ICE Europe Tables (3 tables)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shd w:color="1E293B" w:val="solid"/>
            <w:tcMar>
              <w:top w:type="dxa" w:w="80"/>
              <w:left w:type="dxa" w:w="100"/>
              <w:bottom w:type="dxa" w:w="80"/>
              <w:right w:type="dxa" w:w="100"/>
            </w:tcMar>
          </w:tcPr>
          <w:p>
            <w:pPr>
              <w:jc w:val="left"/>
            </w:pPr>
            <w:r>
              <w:rPr>
                <w:rFonts w:ascii="Calibri" w:cs="Calibri" w:eastAsia="Calibri" w:hAnsi="Calibri"/>
                <w:b/>
                <w:bCs/>
                <w:color w:val="FFFFFF"/>
                <w:sz w:val="18"/>
                <w:szCs w:val="18"/>
              </w:rPr>
              <w:t xml:space="preserve">Table Name</w:t>
            </w:r>
          </w:p>
        </w:tc>
        <w:tc>
          <w:tcPr>
            <w:shd w:color="1E293B" w:val="solid"/>
            <w:tcMar>
              <w:top w:type="dxa" w:w="80"/>
              <w:left w:type="dxa" w:w="100"/>
              <w:bottom w:type="dxa" w:w="80"/>
              <w:right w:type="dxa" w:w="100"/>
            </w:tcMar>
          </w:tcPr>
          <w:p>
            <w:pPr>
              <w:jc w:val="left"/>
            </w:pPr>
            <w:r>
              <w:rPr>
                <w:rFonts w:ascii="Calibri" w:cs="Calibri" w:eastAsia="Calibri" w:hAnsi="Calibri"/>
                <w:b/>
                <w:bCs/>
                <w:color w:val="FFFFFF"/>
                <w:sz w:val="18"/>
                <w:szCs w:val="18"/>
              </w:rPr>
              <w:t xml:space="preserve">Product</w:t>
            </w:r>
          </w:p>
        </w:tc>
        <w:tc>
          <w:tcPr>
            <w:shd w:color="1E293B" w:val="solid"/>
            <w:tcMar>
              <w:top w:type="dxa" w:w="80"/>
              <w:left w:type="dxa" w:w="100"/>
              <w:bottom w:type="dxa" w:w="80"/>
              <w:right w:type="dxa" w:w="100"/>
            </w:tcMar>
          </w:tcPr>
          <w:p>
            <w:pPr>
              <w:jc w:val="left"/>
            </w:pPr>
            <w:r>
              <w:rPr>
                <w:rFonts w:ascii="Calibri" w:cs="Calibri" w:eastAsia="Calibri" w:hAnsi="Calibri"/>
                <w:b/>
                <w:bCs/>
                <w:color w:val="FFFFFF"/>
                <w:sz w:val="18"/>
                <w:szCs w:val="18"/>
              </w:rPr>
              <w:t xml:space="preserve">Source</w:t>
            </w:r>
          </w:p>
        </w:tc>
      </w:tr>
      <w:tr>
        <w:tc>
          <w:tcPr>
            <w:tcMar>
              <w:top w:type="dxa" w:w="60"/>
              <w:left w:type="dxa" w:w="100"/>
              <w:bottom w:type="dxa" w:w="60"/>
              <w:right w:type="dxa" w:w="100"/>
            </w:tcMar>
          </w:tcPr>
          <w:p>
            <w:r>
              <w:rPr>
                <w:color w:val="334155"/>
                <w:sz w:val="18"/>
                <w:szCs w:val="18"/>
              </w:rPr>
              <w:t xml:space="preserve">ice_london_cocoa</w:t>
            </w:r>
          </w:p>
        </w:tc>
        <w:tc>
          <w:tcPr>
            <w:tcMar>
              <w:top w:type="dxa" w:w="60"/>
              <w:left w:type="dxa" w:w="100"/>
              <w:bottom w:type="dxa" w:w="60"/>
              <w:right w:type="dxa" w:w="100"/>
            </w:tcMar>
          </w:tcPr>
          <w:p>
            <w:r>
              <w:rPr>
                <w:color w:val="334155"/>
                <w:sz w:val="18"/>
                <w:szCs w:val="18"/>
              </w:rPr>
              <w:t xml:space="preserve">London Cocoa Futures</w:t>
            </w:r>
          </w:p>
        </w:tc>
        <w:tc>
          <w:tcPr>
            <w:tcMar>
              <w:top w:type="dxa" w:w="60"/>
              <w:left w:type="dxa" w:w="100"/>
              <w:bottom w:type="dxa" w:w="60"/>
              <w:right w:type="dxa" w:w="100"/>
            </w:tcMar>
          </w:tcPr>
          <w:p>
            <w:r>
              <w:rPr>
                <w:color w:val="334155"/>
                <w:sz w:val="18"/>
                <w:szCs w:val="18"/>
              </w:rPr>
              <w:t xml:space="preserve">ICE COTHist{YEAR}.csv, FutOnly rows</w:t>
            </w:r>
          </w:p>
        </w:tc>
      </w:tr>
      <w:tr>
        <w:tc>
          <w:tcPr>
            <w:shd w:color="EFF6FF" w:val="solid"/>
            <w:tcMar>
              <w:top w:type="dxa" w:w="60"/>
              <w:left w:type="dxa" w:w="100"/>
              <w:bottom w:type="dxa" w:w="60"/>
              <w:right w:type="dxa" w:w="100"/>
            </w:tcMar>
          </w:tcPr>
          <w:p>
            <w:r>
              <w:rPr>
                <w:color w:val="334155"/>
                <w:sz w:val="18"/>
                <w:szCs w:val="18"/>
              </w:rPr>
              <w:t xml:space="preserve">ice_white_sugar</w:t>
            </w:r>
          </w:p>
        </w:tc>
        <w:tc>
          <w:tcPr>
            <w:shd w:color="EFF6FF" w:val="solid"/>
            <w:tcMar>
              <w:top w:type="dxa" w:w="60"/>
              <w:left w:type="dxa" w:w="100"/>
              <w:bottom w:type="dxa" w:w="60"/>
              <w:right w:type="dxa" w:w="100"/>
            </w:tcMar>
          </w:tcPr>
          <w:p>
            <w:r>
              <w:rPr>
                <w:color w:val="334155"/>
                <w:sz w:val="18"/>
                <w:szCs w:val="18"/>
              </w:rPr>
              <w:t xml:space="preserve">White Sugar Futures</w:t>
            </w:r>
          </w:p>
        </w:tc>
        <w:tc>
          <w:tcPr>
            <w:shd w:color="EFF6FF" w:val="solid"/>
            <w:tcMar>
              <w:top w:type="dxa" w:w="60"/>
              <w:left w:type="dxa" w:w="100"/>
              <w:bottom w:type="dxa" w:w="60"/>
              <w:right w:type="dxa" w:w="100"/>
            </w:tcMar>
          </w:tcPr>
          <w:p>
            <w:r>
              <w:rPr>
                <w:color w:val="334155"/>
                <w:sz w:val="18"/>
                <w:szCs w:val="18"/>
              </w:rPr>
              <w:t xml:space="preserve">ICE COTHist{YEAR}.csv, FutOnly rows</w:t>
            </w:r>
          </w:p>
        </w:tc>
      </w:tr>
      <w:tr>
        <w:tc>
          <w:tcPr>
            <w:tcMar>
              <w:top w:type="dxa" w:w="60"/>
              <w:left w:type="dxa" w:w="100"/>
              <w:bottom w:type="dxa" w:w="60"/>
              <w:right w:type="dxa" w:w="100"/>
            </w:tcMar>
          </w:tcPr>
          <w:p>
            <w:r>
              <w:rPr>
                <w:color w:val="334155"/>
                <w:sz w:val="18"/>
                <w:szCs w:val="18"/>
              </w:rPr>
              <w:t xml:space="preserve">ice_robusta_coffee</w:t>
            </w:r>
          </w:p>
        </w:tc>
        <w:tc>
          <w:tcPr>
            <w:tcMar>
              <w:top w:type="dxa" w:w="60"/>
              <w:left w:type="dxa" w:w="100"/>
              <w:bottom w:type="dxa" w:w="60"/>
              <w:right w:type="dxa" w:w="100"/>
            </w:tcMar>
          </w:tcPr>
          <w:p>
            <w:r>
              <w:rPr>
                <w:color w:val="334155"/>
                <w:sz w:val="18"/>
                <w:szCs w:val="18"/>
              </w:rPr>
              <w:t xml:space="preserve">Robusta Coffee Futures</w:t>
            </w:r>
          </w:p>
        </w:tc>
        <w:tc>
          <w:tcPr>
            <w:tcMar>
              <w:top w:type="dxa" w:w="60"/>
              <w:left w:type="dxa" w:w="100"/>
              <w:bottom w:type="dxa" w:w="60"/>
              <w:right w:type="dxa" w:w="100"/>
            </w:tcMar>
          </w:tcPr>
          <w:p>
            <w:r>
              <w:rPr>
                <w:color w:val="334155"/>
                <w:sz w:val="18"/>
                <w:szCs w:val="18"/>
              </w:rPr>
              <w:t xml:space="preserve">ICE COTHist{YEAR}.csv, FutOnly rows</w:t>
            </w:r>
          </w:p>
        </w:tc>
      </w:tr>
    </w:tbl>
    <w:p>
      <w:pPr>
        <w:spacing w:after="160"/>
      </w:pPr>
    </w:p>
    <w:p>
      <w:pPr>
        <w:pStyle w:val="Heading3"/>
        <w:spacing w:after="80" w:before="240"/>
      </w:pPr>
      <w:r>
        <w:rPr>
          <w:rFonts w:ascii="Calibri" w:cs="Calibri" w:eastAsia="Calibri" w:hAnsi="Calibri"/>
          <w:b/>
          <w:bCs/>
          <w:color w:val="1E3A5F"/>
          <w:sz w:val="28"/>
          <w:szCs w:val="28"/>
        </w:rPr>
        <w:t xml:space="preserve">Cocoa Warehouse Tables (5 tables)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shd w:color="1E293B" w:val="solid"/>
            <w:tcMar>
              <w:top w:type="dxa" w:w="80"/>
              <w:left w:type="dxa" w:w="100"/>
              <w:bottom w:type="dxa" w:w="80"/>
              <w:right w:type="dxa" w:w="100"/>
            </w:tcMar>
          </w:tcPr>
          <w:p>
            <w:pPr>
              <w:jc w:val="left"/>
            </w:pPr>
            <w:r>
              <w:rPr>
                <w:rFonts w:ascii="Calibri" w:cs="Calibri" w:eastAsia="Calibri" w:hAnsi="Calibri"/>
                <w:b/>
                <w:bCs/>
                <w:color w:val="FFFFFF"/>
                <w:sz w:val="18"/>
                <w:szCs w:val="18"/>
              </w:rPr>
              <w:t xml:space="preserve">Table Name</w:t>
            </w:r>
          </w:p>
        </w:tc>
        <w:tc>
          <w:tcPr>
            <w:shd w:color="1E293B" w:val="solid"/>
            <w:tcMar>
              <w:top w:type="dxa" w:w="80"/>
              <w:left w:type="dxa" w:w="100"/>
              <w:bottom w:type="dxa" w:w="80"/>
              <w:right w:type="dxa" w:w="100"/>
            </w:tcMar>
          </w:tcPr>
          <w:p>
            <w:pPr>
              <w:jc w:val="left"/>
            </w:pPr>
            <w:r>
              <w:rPr>
                <w:rFonts w:ascii="Calibri" w:cs="Calibri" w:eastAsia="Calibri" w:hAnsi="Calibri"/>
                <w:b/>
                <w:bCs/>
                <w:color w:val="FFFFFF"/>
                <w:sz w:val="18"/>
                <w:szCs w:val="18"/>
              </w:rPr>
              <w:t xml:space="preserve">Data</w:t>
            </w:r>
          </w:p>
        </w:tc>
        <w:tc>
          <w:tcPr>
            <w:shd w:color="1E293B" w:val="solid"/>
            <w:tcMar>
              <w:top w:type="dxa" w:w="80"/>
              <w:left w:type="dxa" w:w="100"/>
              <w:bottom w:type="dxa" w:w="80"/>
              <w:right w:type="dxa" w:w="100"/>
            </w:tcMar>
          </w:tcPr>
          <w:p>
            <w:pPr>
              <w:jc w:val="left"/>
            </w:pPr>
            <w:r>
              <w:rPr>
                <w:rFonts w:ascii="Calibri" w:cs="Calibri" w:eastAsia="Calibri" w:hAnsi="Calibri"/>
                <w:b/>
                <w:bCs/>
                <w:color w:val="FFFFFF"/>
                <w:sz w:val="18"/>
                <w:szCs w:val="18"/>
              </w:rPr>
              <w:t xml:space="preserve">Excel Source File</w:t>
            </w:r>
          </w:p>
        </w:tc>
      </w:tr>
      <w:tr>
        <w:tc>
          <w:tcPr>
            <w:tcMar>
              <w:top w:type="dxa" w:w="60"/>
              <w:left w:type="dxa" w:w="100"/>
              <w:bottom w:type="dxa" w:w="60"/>
              <w:right w:type="dxa" w:w="100"/>
            </w:tcMar>
          </w:tcPr>
          <w:p>
            <w:r>
              <w:rPr>
                <w:color w:val="334155"/>
                <w:sz w:val="18"/>
                <w:szCs w:val="18"/>
              </w:rPr>
              <w:t xml:space="preserve">cocoa_london_bags</w:t>
            </w:r>
          </w:p>
        </w:tc>
        <w:tc>
          <w:tcPr>
            <w:tcMar>
              <w:top w:type="dxa" w:w="60"/>
              <w:left w:type="dxa" w:w="100"/>
              <w:bottom w:type="dxa" w:w="60"/>
              <w:right w:type="dxa" w:w="100"/>
            </w:tcMar>
          </w:tcPr>
          <w:p>
            <w:r>
              <w:rPr>
                <w:color w:val="334155"/>
                <w:sz w:val="18"/>
                <w:szCs w:val="18"/>
              </w:rPr>
              <w:t xml:space="preserve">London exchange cocoa stocks (bags)</w:t>
            </w:r>
          </w:p>
        </w:tc>
        <w:tc>
          <w:tcPr>
            <w:tcMar>
              <w:top w:type="dxa" w:w="60"/>
              <w:left w:type="dxa" w:w="100"/>
              <w:bottom w:type="dxa" w:w="60"/>
              <w:right w:type="dxa" w:w="100"/>
            </w:tcMar>
          </w:tcPr>
          <w:p>
            <w:r>
              <w:rPr>
                <w:color w:val="334155"/>
                <w:sz w:val="18"/>
                <w:szCs w:val="18"/>
              </w:rPr>
              <w:t xml:space="preserve">aggregate_report.xlsx</w:t>
            </w:r>
          </w:p>
        </w:tc>
      </w:tr>
      <w:tr>
        <w:tc>
          <w:tcPr>
            <w:shd w:color="EFF6FF" w:val="solid"/>
            <w:tcMar>
              <w:top w:type="dxa" w:w="60"/>
              <w:left w:type="dxa" w:w="100"/>
              <w:bottom w:type="dxa" w:w="60"/>
              <w:right w:type="dxa" w:w="100"/>
            </w:tcMar>
          </w:tcPr>
          <w:p>
            <w:r>
              <w:rPr>
                <w:color w:val="334155"/>
                <w:sz w:val="18"/>
                <w:szCs w:val="18"/>
              </w:rPr>
              <w:t xml:space="preserve">cocoa_us_bags</w:t>
            </w:r>
          </w:p>
        </w:tc>
        <w:tc>
          <w:tcPr>
            <w:shd w:color="EFF6FF" w:val="solid"/>
            <w:tcMar>
              <w:top w:type="dxa" w:w="60"/>
              <w:left w:type="dxa" w:w="100"/>
              <w:bottom w:type="dxa" w:w="60"/>
              <w:right w:type="dxa" w:w="100"/>
            </w:tcMar>
          </w:tcPr>
          <w:p>
            <w:r>
              <w:rPr>
                <w:color w:val="334155"/>
                <w:sz w:val="18"/>
                <w:szCs w:val="18"/>
              </w:rPr>
              <w:t xml:space="preserve">US exchange cocoa stocks (bags)</w:t>
            </w:r>
          </w:p>
        </w:tc>
        <w:tc>
          <w:tcPr>
            <w:shd w:color="EFF6FF" w:val="solid"/>
            <w:tcMar>
              <w:top w:type="dxa" w:w="60"/>
              <w:left w:type="dxa" w:w="100"/>
              <w:bottom w:type="dxa" w:w="60"/>
              <w:right w:type="dxa" w:w="100"/>
            </w:tcMar>
          </w:tcPr>
          <w:p>
            <w:r>
              <w:rPr>
                <w:color w:val="334155"/>
                <w:sz w:val="18"/>
                <w:szCs w:val="18"/>
              </w:rPr>
              <w:t xml:space="preserve">Cocoa_Bags_Aggregate_final.xlsx</w:t>
            </w:r>
          </w:p>
        </w:tc>
      </w:tr>
      <w:tr>
        <w:tc>
          <w:tcPr>
            <w:tcMar>
              <w:top w:type="dxa" w:w="60"/>
              <w:left w:type="dxa" w:w="100"/>
              <w:bottom w:type="dxa" w:w="60"/>
              <w:right w:type="dxa" w:w="100"/>
            </w:tcMar>
          </w:tcPr>
          <w:p>
            <w:r>
              <w:rPr>
                <w:color w:val="334155"/>
                <w:sz w:val="18"/>
                <w:szCs w:val="18"/>
              </w:rPr>
              <w:t xml:space="preserve">cocoa_us_daily_changes</w:t>
            </w:r>
          </w:p>
        </w:tc>
        <w:tc>
          <w:tcPr>
            <w:tcMar>
              <w:top w:type="dxa" w:w="60"/>
              <w:left w:type="dxa" w:w="100"/>
              <w:bottom w:type="dxa" w:w="60"/>
              <w:right w:type="dxa" w:w="100"/>
            </w:tcMar>
          </w:tcPr>
          <w:p>
            <w:r>
              <w:rPr>
                <w:color w:val="334155"/>
                <w:sz w:val="18"/>
                <w:szCs w:val="18"/>
              </w:rPr>
              <w:t xml:space="preserve">Daily bag count changes for US</w:t>
            </w:r>
          </w:p>
        </w:tc>
        <w:tc>
          <w:tcPr>
            <w:tcMar>
              <w:top w:type="dxa" w:w="60"/>
              <w:left w:type="dxa" w:w="100"/>
              <w:bottom w:type="dxa" w:w="60"/>
              <w:right w:type="dxa" w:w="100"/>
            </w:tcMar>
          </w:tcPr>
          <w:p>
            <w:r>
              <w:rPr>
                <w:color w:val="334155"/>
                <w:sz w:val="18"/>
                <w:szCs w:val="18"/>
              </w:rPr>
              <w:t xml:space="preserve">Same file, Daily_Changes sheet</w:t>
            </w:r>
          </w:p>
        </w:tc>
      </w:tr>
      <w:tr>
        <w:tc>
          <w:tcPr>
            <w:shd w:color="EFF6FF" w:val="solid"/>
            <w:tcMar>
              <w:top w:type="dxa" w:w="60"/>
              <w:left w:type="dxa" w:w="100"/>
              <w:bottom w:type="dxa" w:w="60"/>
              <w:right w:type="dxa" w:w="100"/>
            </w:tcMar>
          </w:tcPr>
          <w:p>
            <w:r>
              <w:rPr>
                <w:color w:val="334155"/>
                <w:sz w:val="18"/>
                <w:szCs w:val="18"/>
              </w:rPr>
              <w:t xml:space="preserve">cocoa_ivory_arrivals</w:t>
            </w:r>
          </w:p>
        </w:tc>
        <w:tc>
          <w:tcPr>
            <w:shd w:color="EFF6FF" w:val="solid"/>
            <w:tcMar>
              <w:top w:type="dxa" w:w="60"/>
              <w:left w:type="dxa" w:w="100"/>
              <w:bottom w:type="dxa" w:w="60"/>
              <w:right w:type="dxa" w:w="100"/>
            </w:tcMar>
          </w:tcPr>
          <w:p>
            <w:r>
              <w:rPr>
                <w:color w:val="334155"/>
                <w:sz w:val="18"/>
                <w:szCs w:val="18"/>
              </w:rPr>
              <w:t xml:space="preserve">Ivory Coast port arrival tonnages</w:t>
            </w:r>
          </w:p>
        </w:tc>
        <w:tc>
          <w:tcPr>
            <w:shd w:color="EFF6FF" w:val="solid"/>
            <w:tcMar>
              <w:top w:type="dxa" w:w="60"/>
              <w:left w:type="dxa" w:w="100"/>
              <w:bottom w:type="dxa" w:w="60"/>
              <w:right w:type="dxa" w:w="100"/>
            </w:tcMar>
          </w:tcPr>
          <w:p>
            <w:r>
              <w:rPr>
                <w:color w:val="334155"/>
                <w:sz w:val="18"/>
                <w:szCs w:val="18"/>
              </w:rPr>
              <w:t xml:space="preserve">Ivory coast Arrivals.xlsx</w:t>
            </w:r>
          </w:p>
        </w:tc>
      </w:tr>
      <w:tr>
        <w:tc>
          <w:tcPr>
            <w:tcMar>
              <w:top w:type="dxa" w:w="60"/>
              <w:left w:type="dxa" w:w="100"/>
              <w:bottom w:type="dxa" w:w="60"/>
              <w:right w:type="dxa" w:w="100"/>
            </w:tcMar>
          </w:tcPr>
          <w:p>
            <w:r>
              <w:rPr>
                <w:color w:val="334155"/>
                <w:sz w:val="18"/>
                <w:szCs w:val="18"/>
              </w:rPr>
              <w:t xml:space="preserve">cocoa_london_origin_stock</w:t>
            </w:r>
          </w:p>
        </w:tc>
        <w:tc>
          <w:tcPr>
            <w:tcMar>
              <w:top w:type="dxa" w:w="60"/>
              <w:left w:type="dxa" w:w="100"/>
              <w:bottom w:type="dxa" w:w="60"/>
              <w:right w:type="dxa" w:w="100"/>
            </w:tcMar>
          </w:tcPr>
          <w:p>
            <w:r>
              <w:rPr>
                <w:color w:val="334155"/>
                <w:sz w:val="18"/>
                <w:szCs w:val="18"/>
              </w:rPr>
              <w:t xml:space="preserve">London valid stock by bean origin</w:t>
            </w:r>
          </w:p>
        </w:tc>
        <w:tc>
          <w:tcPr>
            <w:tcMar>
              <w:top w:type="dxa" w:w="60"/>
              <w:left w:type="dxa" w:w="100"/>
              <w:bottom w:type="dxa" w:w="60"/>
              <w:right w:type="dxa" w:w="100"/>
            </w:tcMar>
          </w:tcPr>
          <w:p>
            <w:r>
              <w:rPr>
                <w:color w:val="334155"/>
                <w:sz w:val="18"/>
                <w:szCs w:val="18"/>
              </w:rPr>
              <w:t xml:space="preserve">Valid_Stock_By_Origin_CCO_*.xlsx</w:t>
            </w:r>
          </w:p>
        </w:tc>
      </w:tr>
    </w:tbl>
    <w:p>
      <w:pPr>
        <w:spacing w:after="160"/>
      </w:pPr>
    </w:p>
    <w:p>
      <w:pPr>
        <w:pStyle w:val="Heading3"/>
        <w:spacing w:after="80" w:before="240"/>
      </w:pPr>
      <w:r>
        <w:rPr>
          <w:rFonts w:ascii="Calibri" w:cs="Calibri" w:eastAsia="Calibri" w:hAnsi="Calibri"/>
          <w:b/>
          <w:bCs/>
          <w:color w:val="1E3A5F"/>
          <w:sz w:val="28"/>
          <w:szCs w:val="28"/>
        </w:rPr>
        <w:t xml:space="preserve">System &amp; Alert Tables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shd w:color="1E293B" w:val="solid"/>
            <w:tcMar>
              <w:top w:type="dxa" w:w="80"/>
              <w:left w:type="dxa" w:w="100"/>
              <w:bottom w:type="dxa" w:w="80"/>
              <w:right w:type="dxa" w:w="100"/>
            </w:tcMar>
          </w:tcPr>
          <w:p>
            <w:pPr>
              <w:jc w:val="left"/>
            </w:pPr>
            <w:r>
              <w:rPr>
                <w:rFonts w:ascii="Calibri" w:cs="Calibri" w:eastAsia="Calibri" w:hAnsi="Calibri"/>
                <w:b/>
                <w:bCs/>
                <w:color w:val="FFFFFF"/>
                <w:sz w:val="18"/>
                <w:szCs w:val="18"/>
              </w:rPr>
              <w:t xml:space="preserve">Table Name</w:t>
            </w:r>
          </w:p>
        </w:tc>
        <w:tc>
          <w:tcPr>
            <w:shd w:color="1E293B" w:val="solid"/>
            <w:tcMar>
              <w:top w:type="dxa" w:w="80"/>
              <w:left w:type="dxa" w:w="100"/>
              <w:bottom w:type="dxa" w:w="80"/>
              <w:right w:type="dxa" w:w="100"/>
            </w:tcMar>
          </w:tcPr>
          <w:p>
            <w:pPr>
              <w:jc w:val="left"/>
            </w:pPr>
            <w:r>
              <w:rPr>
                <w:rFonts w:ascii="Calibri" w:cs="Calibri" w:eastAsia="Calibri" w:hAnsi="Calibri"/>
                <w:b/>
                <w:bCs/>
                <w:color w:val="FFFFFF"/>
                <w:sz w:val="18"/>
                <w:szCs w:val="18"/>
              </w:rPr>
              <w:t xml:space="preserve">Purpose</w:t>
            </w:r>
          </w:p>
        </w:tc>
        <w:tc>
          <w:tcPr>
            <w:shd w:color="1E293B" w:val="solid"/>
            <w:tcMar>
              <w:top w:type="dxa" w:w="80"/>
              <w:left w:type="dxa" w:w="100"/>
              <w:bottom w:type="dxa" w:w="80"/>
              <w:right w:type="dxa" w:w="100"/>
            </w:tcMar>
          </w:tcPr>
          <w:p>
            <w:pPr>
              <w:jc w:val="left"/>
            </w:pPr>
            <w:r>
              <w:rPr>
                <w:rFonts w:ascii="Calibri" w:cs="Calibri" w:eastAsia="Calibri" w:hAnsi="Calibri"/>
                <w:b/>
                <w:bCs/>
                <w:color w:val="FFFFFF"/>
                <w:sz w:val="18"/>
                <w:szCs w:val="18"/>
              </w:rPr>
              <w:t xml:space="preserve">Key Columns</w:t>
            </w:r>
          </w:p>
        </w:tc>
      </w:tr>
      <w:tr>
        <w:tc>
          <w:tcPr>
            <w:tcMar>
              <w:top w:type="dxa" w:w="60"/>
              <w:left w:type="dxa" w:w="100"/>
              <w:bottom w:type="dxa" w:w="60"/>
              <w:right w:type="dxa" w:w="100"/>
            </w:tcMar>
          </w:tcPr>
          <w:p>
            <w:r>
              <w:rPr>
                <w:color w:val="334155"/>
                <w:sz w:val="18"/>
                <w:szCs w:val="18"/>
              </w:rPr>
              <w:t xml:space="preserve">users</w:t>
            </w:r>
          </w:p>
        </w:tc>
        <w:tc>
          <w:tcPr>
            <w:tcMar>
              <w:top w:type="dxa" w:w="60"/>
              <w:left w:type="dxa" w:w="100"/>
              <w:bottom w:type="dxa" w:w="60"/>
              <w:right w:type="dxa" w:w="100"/>
            </w:tcMar>
          </w:tcPr>
          <w:p>
            <w:r>
              <w:rPr>
                <w:color w:val="334155"/>
                <w:sz w:val="18"/>
                <w:szCs w:val="18"/>
              </w:rPr>
              <w:t xml:space="preserve">Login credentials</w:t>
            </w:r>
          </w:p>
        </w:tc>
        <w:tc>
          <w:tcPr>
            <w:tcMar>
              <w:top w:type="dxa" w:w="60"/>
              <w:left w:type="dxa" w:w="100"/>
              <w:bottom w:type="dxa" w:w="60"/>
              <w:right w:type="dxa" w:w="100"/>
            </w:tcMar>
          </w:tcPr>
          <w:p>
            <w:r>
              <w:rPr>
                <w:color w:val="334155"/>
                <w:sz w:val="18"/>
                <w:szCs w:val="18"/>
              </w:rPr>
              <w:t xml:space="preserve">id, username, password_hash (bcrypt)</w:t>
            </w:r>
          </w:p>
        </w:tc>
      </w:tr>
      <w:tr>
        <w:tc>
          <w:tcPr>
            <w:shd w:color="EFF6FF" w:val="solid"/>
            <w:tcMar>
              <w:top w:type="dxa" w:w="60"/>
              <w:left w:type="dxa" w:w="100"/>
              <w:bottom w:type="dxa" w:w="60"/>
              <w:right w:type="dxa" w:w="100"/>
            </w:tcMar>
          </w:tcPr>
          <w:p>
            <w:r>
              <w:rPr>
                <w:color w:val="334155"/>
                <w:sz w:val="18"/>
                <w:szCs w:val="18"/>
              </w:rPr>
              <w:t xml:space="preserve">historic_oi</w:t>
            </w:r>
          </w:p>
        </w:tc>
        <w:tc>
          <w:tcPr>
            <w:shd w:color="EFF6FF" w:val="solid"/>
            <w:tcMar>
              <w:top w:type="dxa" w:w="60"/>
              <w:left w:type="dxa" w:w="100"/>
              <w:bottom w:type="dxa" w:w="60"/>
              <w:right w:type="dxa" w:w="100"/>
            </w:tcMar>
          </w:tcPr>
          <w:p>
            <w:r>
              <w:rPr>
                <w:color w:val="334155"/>
                <w:sz w:val="18"/>
                <w:szCs w:val="18"/>
              </w:rPr>
              <w:t xml:space="preserve">Daily contract OI snapshots</w:t>
            </w:r>
          </w:p>
        </w:tc>
        <w:tc>
          <w:tcPr>
            <w:shd w:color="EFF6FF" w:val="solid"/>
            <w:tcMar>
              <w:top w:type="dxa" w:w="60"/>
              <w:left w:type="dxa" w:w="100"/>
              <w:bottom w:type="dxa" w:w="60"/>
              <w:right w:type="dxa" w:w="100"/>
            </w:tcMar>
          </w:tcPr>
          <w:p>
            <w:r>
              <w:rPr>
                <w:color w:val="334155"/>
                <w:sz w:val="18"/>
                <w:szCs w:val="18"/>
              </w:rPr>
              <w:t xml:space="preserve">date, contract, open_interest</w:t>
            </w:r>
          </w:p>
        </w:tc>
      </w:tr>
      <w:tr>
        <w:tc>
          <w:tcPr>
            <w:tcMar>
              <w:top w:type="dxa" w:w="60"/>
              <w:left w:type="dxa" w:w="100"/>
              <w:bottom w:type="dxa" w:w="60"/>
              <w:right w:type="dxa" w:w="100"/>
            </w:tcMar>
          </w:tcPr>
          <w:p>
            <w:r>
              <w:rPr>
                <w:color w:val="334155"/>
                <w:sz w:val="18"/>
                <w:szCs w:val="18"/>
              </w:rPr>
              <w:t xml:space="preserve">rho_alert_log</w:t>
            </w:r>
          </w:p>
        </w:tc>
        <w:tc>
          <w:tcPr>
            <w:tcMar>
              <w:top w:type="dxa" w:w="60"/>
              <w:left w:type="dxa" w:w="100"/>
              <w:bottom w:type="dxa" w:w="60"/>
              <w:right w:type="dxa" w:w="100"/>
            </w:tcMar>
          </w:tcPr>
          <w:p>
            <w:r>
              <w:rPr>
                <w:color w:val="334155"/>
                <w:sz w:val="18"/>
                <w:szCs w:val="18"/>
              </w:rPr>
              <w:t xml:space="preserve">Deduplication log for Rho alerts (7-day silence)</w:t>
            </w:r>
          </w:p>
        </w:tc>
        <w:tc>
          <w:tcPr>
            <w:tcMar>
              <w:top w:type="dxa" w:w="60"/>
              <w:left w:type="dxa" w:w="100"/>
              <w:bottom w:type="dxa" w:w="60"/>
              <w:right w:type="dxa" w:w="100"/>
            </w:tcMar>
          </w:tcPr>
          <w:p>
            <w:r>
              <w:rPr>
                <w:color w:val="334155"/>
                <w:sz w:val="18"/>
                <w:szCs w:val="18"/>
              </w:rPr>
              <w:t xml:space="preserve">product, spread_label, alert_date, max_rho_14d, current_rho</w:t>
            </w:r>
          </w:p>
        </w:tc>
      </w:tr>
      <w:tr>
        <w:tc>
          <w:tcPr>
            <w:shd w:color="EFF6FF" w:val="solid"/>
            <w:tcMar>
              <w:top w:type="dxa" w:w="60"/>
              <w:left w:type="dxa" w:w="100"/>
              <w:bottom w:type="dxa" w:w="60"/>
              <w:right w:type="dxa" w:w="100"/>
            </w:tcMar>
          </w:tcPr>
          <w:p>
            <w:r>
              <w:rPr>
                <w:color w:val="334155"/>
                <w:sz w:val="18"/>
                <w:szCs w:val="18"/>
              </w:rPr>
              <w:t xml:space="preserve">cftc_alert_log</w:t>
            </w:r>
          </w:p>
        </w:tc>
        <w:tc>
          <w:tcPr>
            <w:shd w:color="EFF6FF" w:val="solid"/>
            <w:tcMar>
              <w:top w:type="dxa" w:w="60"/>
              <w:left w:type="dxa" w:w="100"/>
              <w:bottom w:type="dxa" w:w="60"/>
              <w:right w:type="dxa" w:w="100"/>
            </w:tcMar>
          </w:tcPr>
          <w:p>
            <w:r>
              <w:rPr>
                <w:color w:val="334155"/>
                <w:sz w:val="18"/>
                <w:szCs w:val="18"/>
              </w:rPr>
              <w:t xml:space="preserve">Deduplication log for ATH/ATL alerts</w:t>
            </w:r>
          </w:p>
        </w:tc>
        <w:tc>
          <w:tcPr>
            <w:shd w:color="EFF6FF" w:val="solid"/>
            <w:tcMar>
              <w:top w:type="dxa" w:w="60"/>
              <w:left w:type="dxa" w:w="100"/>
              <w:bottom w:type="dxa" w:w="60"/>
              <w:right w:type="dxa" w:w="100"/>
            </w:tcMar>
          </w:tcPr>
          <w:p>
            <w:r>
              <w:rPr>
                <w:color w:val="334155"/>
                <w:sz w:val="18"/>
                <w:szCs w:val="18"/>
              </w:rPr>
              <w:t xml:space="preserve">market, metric, alert_type, alert_date</w:t>
            </w:r>
          </w:p>
        </w:tc>
      </w:tr>
      <w:tr>
        <w:tc>
          <w:tcPr>
            <w:tcMar>
              <w:top w:type="dxa" w:w="60"/>
              <w:left w:type="dxa" w:w="100"/>
              <w:bottom w:type="dxa" w:w="60"/>
              <w:right w:type="dxa" w:w="100"/>
            </w:tcMar>
          </w:tcPr>
          <w:p>
            <w:r>
              <w:rPr>
                <w:color w:val="334155"/>
                <w:sz w:val="18"/>
                <w:szCs w:val="18"/>
              </w:rPr>
              <w:t xml:space="preserve">opening_variation_days</w:t>
            </w:r>
          </w:p>
        </w:tc>
        <w:tc>
          <w:tcPr>
            <w:tcMar>
              <w:top w:type="dxa" w:w="60"/>
              <w:left w:type="dxa" w:w="100"/>
              <w:bottom w:type="dxa" w:w="60"/>
              <w:right w:type="dxa" w:w="100"/>
            </w:tcMar>
          </w:tcPr>
          <w:p>
            <w:r>
              <w:rPr>
                <w:color w:val="334155"/>
                <w:sz w:val="18"/>
                <w:szCs w:val="18"/>
              </w:rPr>
              <w:t xml:space="preserve">Settlement-to-open gap by trading day</w:t>
            </w:r>
          </w:p>
        </w:tc>
        <w:tc>
          <w:tcPr>
            <w:tcMar>
              <w:top w:type="dxa" w:w="60"/>
              <w:left w:type="dxa" w:w="100"/>
              <w:bottom w:type="dxa" w:w="60"/>
              <w:right w:type="dxa" w:w="100"/>
            </w:tcMar>
          </w:tcPr>
          <w:p>
            <w:r>
              <w:rPr>
                <w:color w:val="334155"/>
                <w:sz w:val="18"/>
                <w:szCs w:val="18"/>
              </w:rPr>
              <w:t xml:space="preserve">date, product, settlement, open, variation</w:t>
            </w:r>
          </w:p>
        </w:tc>
      </w:tr>
      <w:tr>
        <w:tc>
          <w:tcPr>
            <w:shd w:color="EFF6FF" w:val="solid"/>
            <w:tcMar>
              <w:top w:type="dxa" w:w="60"/>
              <w:left w:type="dxa" w:w="100"/>
              <w:bottom w:type="dxa" w:w="60"/>
              <w:right w:type="dxa" w:w="100"/>
            </w:tcMar>
          </w:tcPr>
          <w:p>
            <w:r>
              <w:rPr>
                <w:color w:val="334155"/>
                <w:sz w:val="18"/>
                <w:szCs w:val="18"/>
              </w:rPr>
              <w:t xml:space="preserve">ov_settlements</w:t>
            </w:r>
          </w:p>
        </w:tc>
        <w:tc>
          <w:tcPr>
            <w:shd w:color="EFF6FF" w:val="solid"/>
            <w:tcMar>
              <w:top w:type="dxa" w:w="60"/>
              <w:left w:type="dxa" w:w="100"/>
              <w:bottom w:type="dxa" w:w="60"/>
              <w:right w:type="dxa" w:w="100"/>
            </w:tcMar>
          </w:tcPr>
          <w:p>
            <w:r>
              <w:rPr>
                <w:color w:val="334155"/>
                <w:sz w:val="18"/>
                <w:szCs w:val="18"/>
              </w:rPr>
              <w:t xml:space="preserve">Settlement prices for OV analysis</w:t>
            </w:r>
          </w:p>
        </w:tc>
        <w:tc>
          <w:tcPr>
            <w:shd w:color="EFF6FF" w:val="solid"/>
            <w:tcMar>
              <w:top w:type="dxa" w:w="60"/>
              <w:left w:type="dxa" w:w="100"/>
              <w:bottom w:type="dxa" w:w="60"/>
              <w:right w:type="dxa" w:w="100"/>
            </w:tcMar>
          </w:tcPr>
          <w:p>
            <w:r>
              <w:rPr>
                <w:color w:val="334155"/>
                <w:sz w:val="18"/>
                <w:szCs w:val="18"/>
              </w:rPr>
              <w:t xml:space="preserve">date, product, settlement_price</w:t>
            </w:r>
          </w:p>
        </w:tc>
      </w:tr>
      <w:tr>
        <w:tc>
          <w:tcPr>
            <w:tcMar>
              <w:top w:type="dxa" w:w="60"/>
              <w:left w:type="dxa" w:w="100"/>
              <w:bottom w:type="dxa" w:w="60"/>
              <w:right w:type="dxa" w:w="100"/>
            </w:tcMar>
          </w:tcPr>
          <w:p>
            <w:r>
              <w:rPr>
                <w:color w:val="334155"/>
                <w:sz w:val="18"/>
                <w:szCs w:val="18"/>
              </w:rPr>
              <w:t xml:space="preserve">ov_candles</w:t>
            </w:r>
          </w:p>
        </w:tc>
        <w:tc>
          <w:tcPr>
            <w:tcMar>
              <w:top w:type="dxa" w:w="60"/>
              <w:left w:type="dxa" w:w="100"/>
              <w:bottom w:type="dxa" w:w="60"/>
              <w:right w:type="dxa" w:w="100"/>
            </w:tcMar>
          </w:tcPr>
          <w:p>
            <w:r>
              <w:rPr>
                <w:color w:val="334155"/>
                <w:sz w:val="18"/>
                <w:szCs w:val="18"/>
              </w:rPr>
              <w:t xml:space="preserve">Intraday candle data for OV analysis</w:t>
            </w:r>
          </w:p>
        </w:tc>
        <w:tc>
          <w:tcPr>
            <w:tcMar>
              <w:top w:type="dxa" w:w="60"/>
              <w:left w:type="dxa" w:w="100"/>
              <w:bottom w:type="dxa" w:w="60"/>
              <w:right w:type="dxa" w:w="100"/>
            </w:tcMar>
          </w:tcPr>
          <w:p>
            <w:r>
              <w:rPr>
                <w:color w:val="334155"/>
                <w:sz w:val="18"/>
                <w:szCs w:val="18"/>
              </w:rPr>
              <w:t xml:space="preserve">date, product, time, open, high, low, close</w:t>
            </w:r>
          </w:p>
        </w:tc>
      </w:tr>
    </w:tbl>
    <w:p>
      <w:pPr>
        <w:spacing w:after="100"/>
      </w:pPr>
    </w:p>
    <w:p>
      <w:pPr>
        <w:pStyle w:val="Heading3"/>
        <w:spacing w:after="80" w:before="240"/>
      </w:pPr>
      <w:r>
        <w:rPr>
          <w:rFonts w:ascii="Calibri" w:cs="Calibri" w:eastAsia="Calibri" w:hAnsi="Calibri"/>
          <w:b/>
          <w:bCs/>
          <w:color w:val="1E3A5F"/>
          <w:sz w:val="28"/>
          <w:szCs w:val="28"/>
        </w:rPr>
        <w:t xml:space="preserve">Idempotent Insert Pattern (Data Safety)</w:t>
      </w:r>
    </w:p>
    <w:p>
      <w:pPr>
        <w:spacing w:after="100" w:before="40"/>
      </w:pPr>
      <w:r>
        <w:rPr>
          <w:color w:val="0F172A"/>
          <w:sz w:val="20"/>
          <w:szCs w:val="20"/>
        </w:rPr>
        <w:t xml:space="preserve">Every single data ingestion service uses the following pattern:</w:t>
      </w:r>
    </w:p>
    <w:p>
      <w:pPr>
        <w:shd w:color="F1F5F9" w:val="solid"/>
        <w:spacing w:after="40"/>
        <w:ind w:left="576"/>
      </w:pPr>
      <w:r>
        <w:rPr>
          <w:rFonts w:ascii="Courier New" w:cs="Courier New" w:eastAsia="Courier New" w:hAnsi="Courier New"/>
          <w:b/>
          <w:bCs/>
          <w:color w:val="0A5C60"/>
          <w:sz w:val="18"/>
          <w:szCs w:val="18"/>
        </w:rPr>
        <w:t xml:space="preserve">INSERT INTO table_name (col1, col2, ...) VALUES ($1, $2, ...)</w:t>
      </w:r>
    </w:p>
    <w:p>
      <w:pPr>
        <w:shd w:color="F1F5F9" w:val="solid"/>
        <w:spacing w:after="40"/>
        <w:ind w:left="576"/>
      </w:pPr>
      <w:r>
        <w:rPr>
          <w:rFonts w:ascii="Courier New" w:cs="Courier New" w:eastAsia="Courier New" w:hAnsi="Courier New"/>
          <w:b/>
          <w:bCs/>
          <w:color w:val="0A5C60"/>
          <w:sz w:val="18"/>
          <w:szCs w:val="18"/>
        </w:rPr>
        <w:t xml:space="preserve">ON CONFLICT (report_date_as_mm_dd_yyyy) DO NOTHING;</w:t>
      </w:r>
    </w:p>
    <w:p>
      <w:pPr>
        <w:pBdr>
          <w:left w:val="thick" w:color="0D7377" w:sz="12"/>
        </w:pBdr>
        <w:spacing w:after="120" w:before="80"/>
        <w:ind w:left="431"/>
      </w:pPr>
      <w:r>
        <w:rPr>
          <w:i/>
          <w:iCs/>
          <w:color w:val="0A5C60"/>
          <w:sz w:val="18"/>
          <w:szCs w:val="18"/>
        </w:rPr>
        <w:t xml:space="preserve">💡  This means no existing data is ever overwritten or duplicated. Every sync operation can be run any number of times safely. This is critical for reliability with scheduled jobs.</w:t>
      </w:r>
    </w:p>
    <w:p>
      <w:pPr>
        <w:pBdr>
          <w:bottom w:val="single" w:color="E2E8F0" w:sz="6"/>
        </w:pBdr>
        <w:spacing w:after="160"/>
      </w:pPr>
    </w:p>
    <w:p>
      <w:pPr>
        <w:pStyle w:val="Heading1"/>
        <w:spacing w:after="160" w:before="400"/>
      </w:pPr>
      <w:r>
        <w:t xml:space="preserve">7. Automated Data Pipelines</w:t>
      </w:r>
      <w:r>
        <w:rPr>
          <w:rFonts w:ascii="Calibri" w:cs="Calibri" w:eastAsia="Calibri" w:hAnsi="Calibri"/>
          <w:b/>
          <w:bCs/>
          <w:color w:val="1E3A5F"/>
          <w:sz w:val="52"/>
          <w:szCs w:val="52"/>
        </w:rPr>
        <w:t xml:space="preserve">7. Automated Data Pipelines</w:t>
      </w:r>
    </w:p>
    <w:p>
      <w:pPr>
        <w:pStyle w:val="Heading3"/>
        <w:spacing w:after="80" w:before="240"/>
      </w:pPr>
      <w:r>
        <w:rPr>
          <w:rFonts w:ascii="Calibri" w:cs="Calibri" w:eastAsia="Calibri" w:hAnsi="Calibri"/>
          <w:b/>
          <w:bCs/>
          <w:color w:val="1E3A5F"/>
          <w:sz w:val="28"/>
          <w:szCs w:val="28"/>
        </w:rPr>
        <w:t xml:space="preserve">7.1 CFTC Data Pipeline (cftcUpdater.js)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shd w:color="1E293B" w:val="solid"/>
            <w:tcMar>
              <w:top w:type="dxa" w:w="80"/>
              <w:left w:type="dxa" w:w="100"/>
              <w:bottom w:type="dxa" w:w="80"/>
              <w:right w:type="dxa" w:w="100"/>
            </w:tcMar>
          </w:tcPr>
          <w:p>
            <w:pPr>
              <w:jc w:val="left"/>
            </w:pPr>
            <w:r>
              <w:rPr>
                <w:rFonts w:ascii="Calibri" w:cs="Calibri" w:eastAsia="Calibri" w:hAnsi="Calibri"/>
                <w:b/>
                <w:bCs/>
                <w:color w:val="FFFFFF"/>
                <w:sz w:val="18"/>
                <w:szCs w:val="18"/>
              </w:rPr>
              <w:t xml:space="preserve">Stage</w:t>
            </w:r>
          </w:p>
        </w:tc>
        <w:tc>
          <w:tcPr>
            <w:shd w:color="1E293B" w:val="solid"/>
            <w:tcMar>
              <w:top w:type="dxa" w:w="80"/>
              <w:left w:type="dxa" w:w="100"/>
              <w:bottom w:type="dxa" w:w="80"/>
              <w:right w:type="dxa" w:w="100"/>
            </w:tcMar>
          </w:tcPr>
          <w:p>
            <w:pPr>
              <w:jc w:val="left"/>
            </w:pPr>
            <w:r>
              <w:rPr>
                <w:rFonts w:ascii="Calibri" w:cs="Calibri" w:eastAsia="Calibri" w:hAnsi="Calibri"/>
                <w:b/>
                <w:bCs/>
                <w:color w:val="FFFFFF"/>
                <w:sz w:val="18"/>
                <w:szCs w:val="18"/>
              </w:rPr>
              <w:t xml:space="preserve">Detail</w:t>
            </w:r>
          </w:p>
        </w:tc>
      </w:tr>
      <w:tr>
        <w:tc>
          <w:tcPr>
            <w:tcMar>
              <w:top w:type="dxa" w:w="60"/>
              <w:left w:type="dxa" w:w="100"/>
              <w:bottom w:type="dxa" w:w="60"/>
              <w:right w:type="dxa" w:w="100"/>
            </w:tcMar>
          </w:tcPr>
          <w:p>
            <w:r>
              <w:rPr>
                <w:color w:val="334155"/>
                <w:sz w:val="18"/>
                <w:szCs w:val="18"/>
              </w:rPr>
              <w:t xml:space="preserve">Source URL</w:t>
            </w:r>
          </w:p>
        </w:tc>
        <w:tc>
          <w:tcPr>
            <w:tcMar>
              <w:top w:type="dxa" w:w="60"/>
              <w:left w:type="dxa" w:w="100"/>
              <w:bottom w:type="dxa" w:w="60"/>
              <w:right w:type="dxa" w:w="100"/>
            </w:tcMar>
          </w:tcPr>
          <w:p>
            <w:r>
              <w:rPr>
                <w:color w:val="334155"/>
                <w:sz w:val="18"/>
                <w:szCs w:val="18"/>
              </w:rPr>
              <w:t xml:space="preserve">https://www.cftc.gov/dea/newcot/f_disagg.txt (public, no auth required)</w:t>
            </w:r>
          </w:p>
        </w:tc>
      </w:tr>
      <w:tr>
        <w:tc>
          <w:tcPr>
            <w:shd w:color="EFF6FF" w:val="solid"/>
            <w:tcMar>
              <w:top w:type="dxa" w:w="60"/>
              <w:left w:type="dxa" w:w="100"/>
              <w:bottom w:type="dxa" w:w="60"/>
              <w:right w:type="dxa" w:w="100"/>
            </w:tcMar>
          </w:tcPr>
          <w:p>
            <w:r>
              <w:rPr>
                <w:color w:val="334155"/>
                <w:sz w:val="18"/>
                <w:szCs w:val="18"/>
              </w:rPr>
              <w:t xml:space="preserve">Format</w:t>
            </w:r>
          </w:p>
        </w:tc>
        <w:tc>
          <w:tcPr>
            <w:shd w:color="EFF6FF" w:val="solid"/>
            <w:tcMar>
              <w:top w:type="dxa" w:w="60"/>
              <w:left w:type="dxa" w:w="100"/>
              <w:bottom w:type="dxa" w:w="60"/>
              <w:right w:type="dxa" w:w="100"/>
            </w:tcMar>
          </w:tcPr>
          <w:p>
            <w:r>
              <w:rPr>
                <w:color w:val="334155"/>
                <w:sz w:val="18"/>
                <w:szCs w:val="18"/>
              </w:rPr>
              <w:t xml:space="preserve">Raw CSV with NO header row. Columns are positional (index 0–187).</w:t>
            </w:r>
          </w:p>
        </w:tc>
      </w:tr>
      <w:tr>
        <w:tc>
          <w:tcPr>
            <w:tcMar>
              <w:top w:type="dxa" w:w="60"/>
              <w:left w:type="dxa" w:w="100"/>
              <w:bottom w:type="dxa" w:w="60"/>
              <w:right w:type="dxa" w:w="100"/>
            </w:tcMar>
          </w:tcPr>
          <w:p>
            <w:r>
              <w:rPr>
                <w:color w:val="334155"/>
                <w:sz w:val="18"/>
                <w:szCs w:val="18"/>
              </w:rPr>
              <w:t xml:space="preserve">Column Mapping</w:t>
            </w:r>
          </w:p>
        </w:tc>
        <w:tc>
          <w:tcPr>
            <w:tcMar>
              <w:top w:type="dxa" w:w="60"/>
              <w:left w:type="dxa" w:w="100"/>
              <w:bottom w:type="dxa" w:w="60"/>
              <w:right w:type="dxa" w:w="100"/>
            </w:tcMar>
          </w:tcPr>
          <w:p>
            <w:r>
              <w:rPr>
                <w:color w:val="334155"/>
                <w:sz w:val="18"/>
                <w:szCs w:val="18"/>
              </w:rPr>
              <w:t xml:space="preserve">ALL_DB_COLS array maps each column index to its database name. 188 total columns.</w:t>
            </w:r>
          </w:p>
        </w:tc>
      </w:tr>
      <w:tr>
        <w:tc>
          <w:tcPr>
            <w:shd w:color="EFF6FF" w:val="solid"/>
            <w:tcMar>
              <w:top w:type="dxa" w:w="60"/>
              <w:left w:type="dxa" w:w="100"/>
              <w:bottom w:type="dxa" w:w="60"/>
              <w:right w:type="dxa" w:w="100"/>
            </w:tcMar>
          </w:tcPr>
          <w:p>
            <w:r>
              <w:rPr>
                <w:color w:val="334155"/>
                <w:sz w:val="18"/>
                <w:szCs w:val="18"/>
              </w:rPr>
              <w:t xml:space="preserve">Type Coercion</w:t>
            </w:r>
          </w:p>
        </w:tc>
        <w:tc>
          <w:tcPr>
            <w:shd w:color="EFF6FF" w:val="solid"/>
            <w:tcMar>
              <w:top w:type="dxa" w:w="60"/>
              <w:left w:type="dxa" w:w="100"/>
              <w:bottom w:type="dxa" w:w="60"/>
              <w:right w:type="dxa" w:w="100"/>
            </w:tcMar>
          </w:tcPr>
          <w:p>
            <w:r>
              <w:rPr>
                <w:color w:val="334155"/>
                <w:sz w:val="18"/>
                <w:szCs w:val="18"/>
              </w:rPr>
              <w:t xml:space="preserve">TEXT_COLS, FLOAT_COLS, or INTEGER for every column. Commas stripped from numeric values.</w:t>
            </w:r>
          </w:p>
        </w:tc>
      </w:tr>
      <w:tr>
        <w:tc>
          <w:tcPr>
            <w:tcMar>
              <w:top w:type="dxa" w:w="60"/>
              <w:left w:type="dxa" w:w="100"/>
              <w:bottom w:type="dxa" w:w="60"/>
              <w:right w:type="dxa" w:w="100"/>
            </w:tcMar>
          </w:tcPr>
          <w:p>
            <w:r>
              <w:rPr>
                <w:color w:val="334155"/>
                <w:sz w:val="18"/>
                <w:szCs w:val="18"/>
              </w:rPr>
              <w:t xml:space="preserve">Deduplication</w:t>
            </w:r>
          </w:p>
        </w:tc>
        <w:tc>
          <w:tcPr>
            <w:tcMar>
              <w:top w:type="dxa" w:w="60"/>
              <w:left w:type="dxa" w:w="100"/>
              <w:bottom w:type="dxa" w:w="60"/>
              <w:right w:type="dxa" w:w="100"/>
            </w:tcMar>
          </w:tcPr>
          <w:p>
            <w:r>
              <w:rPr>
                <w:color w:val="334155"/>
                <w:sz w:val="18"/>
                <w:szCs w:val="18"/>
              </w:rPr>
              <w:t xml:space="preserve">Existing dates per table loaded into a Set before insert. Skips any row whose date is already in the DB.</w:t>
            </w:r>
          </w:p>
        </w:tc>
      </w:tr>
      <w:tr>
        <w:tc>
          <w:tcPr>
            <w:shd w:color="EFF6FF" w:val="solid"/>
            <w:tcMar>
              <w:top w:type="dxa" w:w="60"/>
              <w:left w:type="dxa" w:w="100"/>
              <w:bottom w:type="dxa" w:w="60"/>
              <w:right w:type="dxa" w:w="100"/>
            </w:tcMar>
          </w:tcPr>
          <w:p>
            <w:r>
              <w:rPr>
                <w:color w:val="334155"/>
                <w:sz w:val="18"/>
                <w:szCs w:val="18"/>
              </w:rPr>
              <w:t xml:space="preserve">Trigger</w:t>
            </w:r>
          </w:p>
        </w:tc>
        <w:tc>
          <w:tcPr>
            <w:shd w:color="EFF6FF" w:val="solid"/>
            <w:tcMar>
              <w:top w:type="dxa" w:w="60"/>
              <w:left w:type="dxa" w:w="100"/>
              <w:bottom w:type="dxa" w:w="60"/>
              <w:right w:type="dxa" w:w="100"/>
            </w:tcMar>
          </w:tcPr>
          <w:p>
            <w:r>
              <w:rPr>
                <w:color w:val="334155"/>
                <w:sz w:val="18"/>
                <w:szCs w:val="18"/>
              </w:rPr>
              <w:t xml:space="preserve">node-cron at 08:00 AM daily. Also exposed as POST /api/update-data for manual testing.</w:t>
            </w:r>
          </w:p>
        </w:tc>
      </w:tr>
      <w:tr>
        <w:tc>
          <w:tcPr>
            <w:tcMar>
              <w:top w:type="dxa" w:w="60"/>
              <w:left w:type="dxa" w:w="100"/>
              <w:bottom w:type="dxa" w:w="60"/>
              <w:right w:type="dxa" w:w="100"/>
            </w:tcMar>
          </w:tcPr>
          <w:p>
            <w:r>
              <w:rPr>
                <w:color w:val="334155"/>
                <w:sz w:val="18"/>
                <w:szCs w:val="18"/>
              </w:rPr>
              <w:t xml:space="preserve">Markets Tracked</w:t>
            </w:r>
          </w:p>
        </w:tc>
        <w:tc>
          <w:tcPr>
            <w:tcMar>
              <w:top w:type="dxa" w:w="60"/>
              <w:left w:type="dxa" w:w="100"/>
              <w:bottom w:type="dxa" w:w="60"/>
              <w:right w:type="dxa" w:w="100"/>
            </w:tcMar>
          </w:tcPr>
          <w:p>
            <w:r>
              <w:rPr>
                <w:color w:val="334155"/>
                <w:sz w:val="18"/>
                <w:szCs w:val="18"/>
              </w:rPr>
              <w:t xml:space="preserve">11 markets: Cocoa, Coffee, Cotton, Sugar, Rough Rice, Butter, Milk III, Cheese, Non-Fat Dry Milk, CME Milk IV, FCOJ</w:t>
            </w:r>
          </w:p>
        </w:tc>
      </w:tr>
    </w:tbl>
    <w:p>
      <w:pPr>
        <w:spacing w:after="160"/>
      </w:pPr>
    </w:p>
    <w:p>
      <w:pPr>
        <w:pStyle w:val="Heading3"/>
        <w:spacing w:after="80" w:before="240"/>
      </w:pPr>
      <w:r>
        <w:rPr>
          <w:rFonts w:ascii="Calibri" w:cs="Calibri" w:eastAsia="Calibri" w:hAnsi="Calibri"/>
          <w:b/>
          <w:bCs/>
          <w:color w:val="1E3A5F"/>
          <w:sz w:val="28"/>
          <w:szCs w:val="28"/>
        </w:rPr>
        <w:t xml:space="preserve">7.2 ICE Data Pipeline (iceUpdater.js)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shd w:color="1E293B" w:val="solid"/>
            <w:tcMar>
              <w:top w:type="dxa" w:w="80"/>
              <w:left w:type="dxa" w:w="100"/>
              <w:bottom w:type="dxa" w:w="80"/>
              <w:right w:type="dxa" w:w="100"/>
            </w:tcMar>
          </w:tcPr>
          <w:p>
            <w:pPr>
              <w:jc w:val="left"/>
            </w:pPr>
            <w:r>
              <w:rPr>
                <w:rFonts w:ascii="Calibri" w:cs="Calibri" w:eastAsia="Calibri" w:hAnsi="Calibri"/>
                <w:b/>
                <w:bCs/>
                <w:color w:val="FFFFFF"/>
                <w:sz w:val="18"/>
                <w:szCs w:val="18"/>
              </w:rPr>
              <w:t xml:space="preserve">Stage</w:t>
            </w:r>
          </w:p>
        </w:tc>
        <w:tc>
          <w:tcPr>
            <w:shd w:color="1E293B" w:val="solid"/>
            <w:tcMar>
              <w:top w:type="dxa" w:w="80"/>
              <w:left w:type="dxa" w:w="100"/>
              <w:bottom w:type="dxa" w:w="80"/>
              <w:right w:type="dxa" w:w="100"/>
            </w:tcMar>
          </w:tcPr>
          <w:p>
            <w:pPr>
              <w:jc w:val="left"/>
            </w:pPr>
            <w:r>
              <w:rPr>
                <w:rFonts w:ascii="Calibri" w:cs="Calibri" w:eastAsia="Calibri" w:hAnsi="Calibri"/>
                <w:b/>
                <w:bCs/>
                <w:color w:val="FFFFFF"/>
                <w:sz w:val="18"/>
                <w:szCs w:val="18"/>
              </w:rPr>
              <w:t xml:space="preserve">Detail</w:t>
            </w:r>
          </w:p>
        </w:tc>
      </w:tr>
      <w:tr>
        <w:tc>
          <w:tcPr>
            <w:tcMar>
              <w:top w:type="dxa" w:w="60"/>
              <w:left w:type="dxa" w:w="100"/>
              <w:bottom w:type="dxa" w:w="60"/>
              <w:right w:type="dxa" w:w="100"/>
            </w:tcMar>
          </w:tcPr>
          <w:p>
            <w:r>
              <w:rPr>
                <w:color w:val="334155"/>
                <w:sz w:val="18"/>
                <w:szCs w:val="18"/>
              </w:rPr>
              <w:t xml:space="preserve">Source URL</w:t>
            </w:r>
          </w:p>
        </w:tc>
        <w:tc>
          <w:tcPr>
            <w:tcMar>
              <w:top w:type="dxa" w:w="60"/>
              <w:left w:type="dxa" w:w="100"/>
              <w:bottom w:type="dxa" w:w="60"/>
              <w:right w:type="dxa" w:w="100"/>
            </w:tcMar>
          </w:tcPr>
          <w:p>
            <w:r>
              <w:rPr>
                <w:color w:val="334155"/>
                <w:sz w:val="18"/>
                <w:szCs w:val="18"/>
              </w:rPr>
              <w:t xml:space="preserve">https://www.ice.com/publicdocs/futures/COTHist{YEAR}.csv</w:t>
            </w:r>
          </w:p>
        </w:tc>
      </w:tr>
      <w:tr>
        <w:tc>
          <w:tcPr>
            <w:shd w:color="EFF6FF" w:val="solid"/>
            <w:tcMar>
              <w:top w:type="dxa" w:w="60"/>
              <w:left w:type="dxa" w:w="100"/>
              <w:bottom w:type="dxa" w:w="60"/>
              <w:right w:type="dxa" w:w="100"/>
            </w:tcMar>
          </w:tcPr>
          <w:p>
            <w:r>
              <w:rPr>
                <w:color w:val="334155"/>
                <w:sz w:val="18"/>
                <w:szCs w:val="18"/>
              </w:rPr>
              <w:t xml:space="preserve">Format</w:t>
            </w:r>
          </w:p>
        </w:tc>
        <w:tc>
          <w:tcPr>
            <w:shd w:color="EFF6FF" w:val="solid"/>
            <w:tcMar>
              <w:top w:type="dxa" w:w="60"/>
              <w:left w:type="dxa" w:w="100"/>
              <w:bottom w:type="dxa" w:w="60"/>
              <w:right w:type="dxa" w:w="100"/>
            </w:tcMar>
          </w:tcPr>
          <w:p>
            <w:r>
              <w:rPr>
                <w:color w:val="334155"/>
                <w:sz w:val="18"/>
                <w:szCs w:val="18"/>
              </w:rPr>
              <w:t xml:space="preserve">CSV WITH header row (Pascal_Case). Header matched using toLowerCase() + manual overrides.</w:t>
            </w:r>
          </w:p>
        </w:tc>
      </w:tr>
      <w:tr>
        <w:tc>
          <w:tcPr>
            <w:tcMar>
              <w:top w:type="dxa" w:w="60"/>
              <w:left w:type="dxa" w:w="100"/>
              <w:bottom w:type="dxa" w:w="60"/>
              <w:right w:type="dxa" w:w="100"/>
            </w:tcMar>
          </w:tcPr>
          <w:p>
            <w:r>
              <w:rPr>
                <w:color w:val="334155"/>
                <w:sz w:val="18"/>
                <w:szCs w:val="18"/>
              </w:rPr>
              <w:t xml:space="preserve">Filter</w:t>
            </w:r>
          </w:p>
        </w:tc>
        <w:tc>
          <w:tcPr>
            <w:tcMar>
              <w:top w:type="dxa" w:w="60"/>
              <w:left w:type="dxa" w:w="100"/>
              <w:bottom w:type="dxa" w:w="60"/>
              <w:right w:type="dxa" w:w="100"/>
            </w:tcMar>
          </w:tcPr>
          <w:p>
            <w:r>
              <w:rPr>
                <w:color w:val="334155"/>
                <w:sz w:val="18"/>
                <w:szCs w:val="18"/>
              </w:rPr>
              <w:t xml:space="preserve">Only rows where futonly_or_combined = "FutOnly" are stored.</w:t>
            </w:r>
          </w:p>
        </w:tc>
      </w:tr>
      <w:tr>
        <w:tc>
          <w:tcPr>
            <w:shd w:color="EFF6FF" w:val="solid"/>
            <w:tcMar>
              <w:top w:type="dxa" w:w="60"/>
              <w:left w:type="dxa" w:w="100"/>
              <w:bottom w:type="dxa" w:w="60"/>
              <w:right w:type="dxa" w:w="100"/>
            </w:tcMar>
          </w:tcPr>
          <w:p>
            <w:r>
              <w:rPr>
                <w:color w:val="334155"/>
                <w:sz w:val="18"/>
                <w:szCs w:val="18"/>
              </w:rPr>
              <w:t xml:space="preserve">Markets</w:t>
            </w:r>
          </w:p>
        </w:tc>
        <w:tc>
          <w:tcPr>
            <w:shd w:color="EFF6FF" w:val="solid"/>
            <w:tcMar>
              <w:top w:type="dxa" w:w="60"/>
              <w:left w:type="dxa" w:w="100"/>
              <w:bottom w:type="dxa" w:w="60"/>
              <w:right w:type="dxa" w:w="100"/>
            </w:tcMar>
          </w:tcPr>
          <w:p>
            <w:r>
              <w:rPr>
                <w:color w:val="334155"/>
                <w:sz w:val="18"/>
                <w:szCs w:val="18"/>
              </w:rPr>
              <w:t xml:space="preserve">London Cocoa, White Sugar, Robusta Coffee</w:t>
            </w:r>
          </w:p>
        </w:tc>
      </w:tr>
      <w:tr>
        <w:tc>
          <w:tcPr>
            <w:tcMar>
              <w:top w:type="dxa" w:w="60"/>
              <w:left w:type="dxa" w:w="100"/>
              <w:bottom w:type="dxa" w:w="60"/>
              <w:right w:type="dxa" w:w="100"/>
            </w:tcMar>
          </w:tcPr>
          <w:p>
            <w:r>
              <w:rPr>
                <w:color w:val="334155"/>
                <w:sz w:val="18"/>
                <w:szCs w:val="18"/>
              </w:rPr>
              <w:t xml:space="preserve">Tables</w:t>
            </w:r>
          </w:p>
        </w:tc>
        <w:tc>
          <w:tcPr>
            <w:tcMar>
              <w:top w:type="dxa" w:w="60"/>
              <w:left w:type="dxa" w:w="100"/>
              <w:bottom w:type="dxa" w:w="60"/>
              <w:right w:type="dxa" w:w="100"/>
            </w:tcMar>
          </w:tcPr>
          <w:p>
            <w:r>
              <w:rPr>
                <w:color w:val="334155"/>
                <w:sz w:val="18"/>
                <w:szCs w:val="18"/>
              </w:rPr>
              <w:t xml:space="preserve">ice_london_cocoa, ice_white_sugar, ice_robusta_coffee</w:t>
            </w:r>
          </w:p>
        </w:tc>
      </w:tr>
      <w:tr>
        <w:tc>
          <w:tcPr>
            <w:shd w:color="EFF6FF" w:val="solid"/>
            <w:tcMar>
              <w:top w:type="dxa" w:w="60"/>
              <w:left w:type="dxa" w:w="100"/>
              <w:bottom w:type="dxa" w:w="60"/>
              <w:right w:type="dxa" w:w="100"/>
            </w:tcMar>
          </w:tcPr>
          <w:p>
            <w:r>
              <w:rPr>
                <w:color w:val="334155"/>
                <w:sz w:val="18"/>
                <w:szCs w:val="18"/>
              </w:rPr>
              <w:t xml:space="preserve">Trigger</w:t>
            </w:r>
          </w:p>
        </w:tc>
        <w:tc>
          <w:tcPr>
            <w:shd w:color="EFF6FF" w:val="solid"/>
            <w:tcMar>
              <w:top w:type="dxa" w:w="60"/>
              <w:left w:type="dxa" w:w="100"/>
              <w:bottom w:type="dxa" w:w="60"/>
              <w:right w:type="dxa" w:w="100"/>
            </w:tcMar>
          </w:tcPr>
          <w:p>
            <w:r>
              <w:rPr>
                <w:color w:val="334155"/>
                <w:sz w:val="18"/>
                <w:szCs w:val="18"/>
              </w:rPr>
              <w:t xml:space="preserve">Runs immediately after CFTC update in the 08:00 AM cron job. Also exposed as POST /api/update-ice.</w:t>
            </w:r>
          </w:p>
        </w:tc>
      </w:tr>
    </w:tbl>
    <w:p>
      <w:pPr>
        <w:spacing w:after="160"/>
      </w:pPr>
    </w:p>
    <w:p>
      <w:pPr>
        <w:pStyle w:val="Heading3"/>
        <w:spacing w:after="80" w:before="240"/>
      </w:pPr>
      <w:r>
        <w:rPr>
          <w:rFonts w:ascii="Calibri" w:cs="Calibri" w:eastAsia="Calibri" w:hAnsi="Calibri"/>
          <w:b/>
          <w:bCs/>
          <w:color w:val="1E3A5F"/>
          <w:sz w:val="28"/>
          <w:szCs w:val="28"/>
        </w:rPr>
        <w:t xml:space="preserve">7.3 Historic OI Pipeline (historicOiUpdater.js)</w:t>
      </w:r>
    </w:p>
    <w:p>
      <w:pPr>
        <w:spacing w:after="100" w:before="40"/>
      </w:pPr>
      <w:r>
        <w:rPr>
          <w:color w:val="0F172A"/>
          <w:sz w:val="20"/>
          <w:szCs w:val="20"/>
        </w:rPr>
        <w:t xml:space="preserve">Fetches contract-level open interest from the internal QH API and stores daily snapshots. The route that serves this data (GET /api/historic-oi) computes the daily delta only for contracts present on BOTH the current and previous day, preventing expired contracts from creating false negative spikes in the change chart.</w:t>
      </w:r>
    </w:p>
    <w:p>
      <w:pPr>
        <w:pStyle w:val="Heading3"/>
        <w:spacing w:after="80" w:before="240"/>
      </w:pPr>
      <w:r>
        <w:rPr>
          <w:rFonts w:ascii="Calibri" w:cs="Calibri" w:eastAsia="Calibri" w:hAnsi="Calibri"/>
          <w:b/>
          <w:bCs/>
          <w:color w:val="1E3A5F"/>
          <w:sz w:val="28"/>
          <w:szCs w:val="28"/>
        </w:rPr>
        <w:t xml:space="preserve">7.4 Cocoa Warehouse Pipeline (4 sync services)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shd w:color="1E293B" w:val="solid"/>
            <w:tcMar>
              <w:top w:type="dxa" w:w="80"/>
              <w:left w:type="dxa" w:w="100"/>
              <w:bottom w:type="dxa" w:w="80"/>
              <w:right w:type="dxa" w:w="100"/>
            </w:tcMar>
          </w:tcPr>
          <w:p>
            <w:pPr>
              <w:jc w:val="left"/>
            </w:pPr>
            <w:r>
              <w:rPr>
                <w:rFonts w:ascii="Calibri" w:cs="Calibri" w:eastAsia="Calibri" w:hAnsi="Calibri"/>
                <w:b/>
                <w:bCs/>
                <w:color w:val="FFFFFF"/>
                <w:sz w:val="18"/>
                <w:szCs w:val="18"/>
              </w:rPr>
              <w:t xml:space="preserve">Service File</w:t>
            </w:r>
          </w:p>
        </w:tc>
        <w:tc>
          <w:tcPr>
            <w:shd w:color="1E293B" w:val="solid"/>
            <w:tcMar>
              <w:top w:type="dxa" w:w="80"/>
              <w:left w:type="dxa" w:w="100"/>
              <w:bottom w:type="dxa" w:w="80"/>
              <w:right w:type="dxa" w:w="100"/>
            </w:tcMar>
          </w:tcPr>
          <w:p>
            <w:pPr>
              <w:jc w:val="left"/>
            </w:pPr>
            <w:r>
              <w:rPr>
                <w:rFonts w:ascii="Calibri" w:cs="Calibri" w:eastAsia="Calibri" w:hAnsi="Calibri"/>
                <w:b/>
                <w:bCs/>
                <w:color w:val="FFFFFF"/>
                <w:sz w:val="18"/>
                <w:szCs w:val="18"/>
              </w:rPr>
              <w:t xml:space="preserve">Excel File</w:t>
            </w:r>
          </w:p>
        </w:tc>
        <w:tc>
          <w:tcPr>
            <w:shd w:color="1E293B" w:val="solid"/>
            <w:tcMar>
              <w:top w:type="dxa" w:w="80"/>
              <w:left w:type="dxa" w:w="100"/>
              <w:bottom w:type="dxa" w:w="80"/>
              <w:right w:type="dxa" w:w="100"/>
            </w:tcMar>
          </w:tcPr>
          <w:p>
            <w:pPr>
              <w:jc w:val="left"/>
            </w:pPr>
            <w:r>
              <w:rPr>
                <w:rFonts w:ascii="Calibri" w:cs="Calibri" w:eastAsia="Calibri" w:hAnsi="Calibri"/>
                <w:b/>
                <w:bCs/>
                <w:color w:val="FFFFFF"/>
                <w:sz w:val="18"/>
                <w:szCs w:val="18"/>
              </w:rPr>
              <w:t xml:space="preserve">Sheet</w:t>
            </w:r>
          </w:p>
        </w:tc>
        <w:tc>
          <w:tcPr>
            <w:shd w:color="1E293B" w:val="solid"/>
            <w:tcMar>
              <w:top w:type="dxa" w:w="80"/>
              <w:left w:type="dxa" w:w="100"/>
              <w:bottom w:type="dxa" w:w="80"/>
              <w:right w:type="dxa" w:w="100"/>
            </w:tcMar>
          </w:tcPr>
          <w:p>
            <w:pPr>
              <w:jc w:val="left"/>
            </w:pPr>
            <w:r>
              <w:rPr>
                <w:rFonts w:ascii="Calibri" w:cs="Calibri" w:eastAsia="Calibri" w:hAnsi="Calibri"/>
                <w:b/>
                <w:bCs/>
                <w:color w:val="FFFFFF"/>
                <w:sz w:val="18"/>
                <w:szCs w:val="18"/>
              </w:rPr>
              <w:t xml:space="preserve">Table Written</w:t>
            </w:r>
          </w:p>
        </w:tc>
      </w:tr>
      <w:tr>
        <w:tc>
          <w:tcPr>
            <w:tcMar>
              <w:top w:type="dxa" w:w="60"/>
              <w:left w:type="dxa" w:w="100"/>
              <w:bottom w:type="dxa" w:w="60"/>
              <w:right w:type="dxa" w:w="100"/>
            </w:tcMar>
          </w:tcPr>
          <w:p>
            <w:r>
              <w:rPr>
                <w:color w:val="334155"/>
                <w:sz w:val="18"/>
                <w:szCs w:val="18"/>
              </w:rPr>
              <w:t xml:space="preserve">cocoaLondonSync.js</w:t>
            </w:r>
          </w:p>
        </w:tc>
        <w:tc>
          <w:tcPr>
            <w:tcMar>
              <w:top w:type="dxa" w:w="60"/>
              <w:left w:type="dxa" w:w="100"/>
              <w:bottom w:type="dxa" w:w="60"/>
              <w:right w:type="dxa" w:w="100"/>
            </w:tcMar>
          </w:tcPr>
          <w:p>
            <w:r>
              <w:rPr>
                <w:color w:val="334155"/>
                <w:sz w:val="18"/>
                <w:szCs w:val="18"/>
              </w:rPr>
              <w:t xml:space="preserve">aggregate_report.xlsx</w:t>
            </w:r>
          </w:p>
        </w:tc>
        <w:tc>
          <w:tcPr>
            <w:tcMar>
              <w:top w:type="dxa" w:w="60"/>
              <w:left w:type="dxa" w:w="100"/>
              <w:bottom w:type="dxa" w:w="60"/>
              <w:right w:type="dxa" w:w="100"/>
            </w:tcMar>
          </w:tcPr>
          <w:p>
            <w:r>
              <w:rPr>
                <w:color w:val="334155"/>
                <w:sz w:val="18"/>
                <w:szCs w:val="18"/>
              </w:rPr>
              <w:t xml:space="preserve">Data</w:t>
            </w:r>
          </w:p>
        </w:tc>
        <w:tc>
          <w:tcPr>
            <w:tcMar>
              <w:top w:type="dxa" w:w="60"/>
              <w:left w:type="dxa" w:w="100"/>
              <w:bottom w:type="dxa" w:w="60"/>
              <w:right w:type="dxa" w:w="100"/>
            </w:tcMar>
          </w:tcPr>
          <w:p>
            <w:r>
              <w:rPr>
                <w:color w:val="334155"/>
                <w:sz w:val="18"/>
                <w:szCs w:val="18"/>
              </w:rPr>
              <w:t xml:space="preserve">cocoa_london_bags</w:t>
            </w:r>
          </w:p>
        </w:tc>
      </w:tr>
      <w:tr>
        <w:tc>
          <w:tcPr>
            <w:shd w:color="EFF6FF" w:val="solid"/>
            <w:tcMar>
              <w:top w:type="dxa" w:w="60"/>
              <w:left w:type="dxa" w:w="100"/>
              <w:bottom w:type="dxa" w:w="60"/>
              <w:right w:type="dxa" w:w="100"/>
            </w:tcMar>
          </w:tcPr>
          <w:p>
            <w:r>
              <w:rPr>
                <w:color w:val="334155"/>
                <w:sz w:val="18"/>
                <w:szCs w:val="18"/>
              </w:rPr>
              <w:t xml:space="preserve">cocoaBagsSync.js</w:t>
            </w:r>
          </w:p>
        </w:tc>
        <w:tc>
          <w:tcPr>
            <w:shd w:color="EFF6FF" w:val="solid"/>
            <w:tcMar>
              <w:top w:type="dxa" w:w="60"/>
              <w:left w:type="dxa" w:w="100"/>
              <w:bottom w:type="dxa" w:w="60"/>
              <w:right w:type="dxa" w:w="100"/>
            </w:tcMar>
          </w:tcPr>
          <w:p>
            <w:r>
              <w:rPr>
                <w:color w:val="334155"/>
                <w:sz w:val="18"/>
                <w:szCs w:val="18"/>
              </w:rPr>
              <w:t xml:space="preserve">Cocoa_Bags_Aggregate_final.xlsx</w:t>
            </w:r>
          </w:p>
        </w:tc>
        <w:tc>
          <w:tcPr>
            <w:shd w:color="EFF6FF" w:val="solid"/>
            <w:tcMar>
              <w:top w:type="dxa" w:w="60"/>
              <w:left w:type="dxa" w:w="100"/>
              <w:bottom w:type="dxa" w:w="60"/>
              <w:right w:type="dxa" w:w="100"/>
            </w:tcMar>
          </w:tcPr>
          <w:p>
            <w:r>
              <w:rPr>
                <w:color w:val="334155"/>
                <w:sz w:val="18"/>
                <w:szCs w:val="18"/>
              </w:rPr>
              <w:t xml:space="preserve">Daily_Aggregate + Daily_Changes</w:t>
            </w:r>
          </w:p>
        </w:tc>
        <w:tc>
          <w:tcPr>
            <w:shd w:color="EFF6FF" w:val="solid"/>
            <w:tcMar>
              <w:top w:type="dxa" w:w="60"/>
              <w:left w:type="dxa" w:w="100"/>
              <w:bottom w:type="dxa" w:w="60"/>
              <w:right w:type="dxa" w:w="100"/>
            </w:tcMar>
          </w:tcPr>
          <w:p>
            <w:r>
              <w:rPr>
                <w:color w:val="334155"/>
                <w:sz w:val="18"/>
                <w:szCs w:val="18"/>
              </w:rPr>
              <w:t xml:space="preserve">cocoa_us_bags + cocoa_us_daily_changes</w:t>
            </w:r>
          </w:p>
        </w:tc>
      </w:tr>
      <w:tr>
        <w:tc>
          <w:tcPr>
            <w:tcMar>
              <w:top w:type="dxa" w:w="60"/>
              <w:left w:type="dxa" w:w="100"/>
              <w:bottom w:type="dxa" w:w="60"/>
              <w:right w:type="dxa" w:w="100"/>
            </w:tcMar>
          </w:tcPr>
          <w:p>
            <w:r>
              <w:rPr>
                <w:color w:val="334155"/>
                <w:sz w:val="18"/>
                <w:szCs w:val="18"/>
              </w:rPr>
              <w:t xml:space="preserve">cocoaArrivalsSync.js</w:t>
            </w:r>
          </w:p>
        </w:tc>
        <w:tc>
          <w:tcPr>
            <w:tcMar>
              <w:top w:type="dxa" w:w="60"/>
              <w:left w:type="dxa" w:w="100"/>
              <w:bottom w:type="dxa" w:w="60"/>
              <w:right w:type="dxa" w:w="100"/>
            </w:tcMar>
          </w:tcPr>
          <w:p>
            <w:r>
              <w:rPr>
                <w:color w:val="334155"/>
                <w:sz w:val="18"/>
                <w:szCs w:val="18"/>
              </w:rPr>
              <w:t xml:space="preserve">Ivory coast Arrivals.xlsx</w:t>
            </w:r>
          </w:p>
        </w:tc>
        <w:tc>
          <w:tcPr>
            <w:tcMar>
              <w:top w:type="dxa" w:w="60"/>
              <w:left w:type="dxa" w:w="100"/>
              <w:bottom w:type="dxa" w:w="60"/>
              <w:right w:type="dxa" w:w="100"/>
            </w:tcMar>
          </w:tcPr>
          <w:p>
            <w:r>
              <w:rPr>
                <w:color w:val="334155"/>
                <w:sz w:val="18"/>
                <w:szCs w:val="18"/>
              </w:rPr>
              <w:t xml:space="preserve">IC Arrivals</w:t>
            </w:r>
          </w:p>
        </w:tc>
        <w:tc>
          <w:tcPr>
            <w:tcMar>
              <w:top w:type="dxa" w:w="60"/>
              <w:left w:type="dxa" w:w="100"/>
              <w:bottom w:type="dxa" w:w="60"/>
              <w:right w:type="dxa" w:w="100"/>
            </w:tcMar>
          </w:tcPr>
          <w:p>
            <w:r>
              <w:rPr>
                <w:color w:val="334155"/>
                <w:sz w:val="18"/>
                <w:szCs w:val="18"/>
              </w:rPr>
              <w:t xml:space="preserve">cocoa_ivory_arrivals</w:t>
            </w:r>
          </w:p>
        </w:tc>
      </w:tr>
      <w:tr>
        <w:tc>
          <w:tcPr>
            <w:shd w:color="EFF6FF" w:val="solid"/>
            <w:tcMar>
              <w:top w:type="dxa" w:w="60"/>
              <w:left w:type="dxa" w:w="100"/>
              <w:bottom w:type="dxa" w:w="60"/>
              <w:right w:type="dxa" w:w="100"/>
            </w:tcMar>
          </w:tcPr>
          <w:p>
            <w:r>
              <w:rPr>
                <w:color w:val="334155"/>
                <w:sz w:val="18"/>
                <w:szCs w:val="18"/>
              </w:rPr>
              <w:t xml:space="preserve">cocoaLondonOriginSync.js</w:t>
            </w:r>
          </w:p>
        </w:tc>
        <w:tc>
          <w:tcPr>
            <w:shd w:color="EFF6FF" w:val="solid"/>
            <w:tcMar>
              <w:top w:type="dxa" w:w="60"/>
              <w:left w:type="dxa" w:w="100"/>
              <w:bottom w:type="dxa" w:w="60"/>
              <w:right w:type="dxa" w:w="100"/>
            </w:tcMar>
          </w:tcPr>
          <w:p>
            <w:r>
              <w:rPr>
                <w:color w:val="334155"/>
                <w:sz w:val="18"/>
                <w:szCs w:val="18"/>
              </w:rPr>
              <w:t xml:space="preserve">Valid_Stock_By_Origin_CCO_*.xlsx</w:t>
            </w:r>
          </w:p>
        </w:tc>
        <w:tc>
          <w:tcPr>
            <w:shd w:color="EFF6FF" w:val="solid"/>
            <w:tcMar>
              <w:top w:type="dxa" w:w="60"/>
              <w:left w:type="dxa" w:w="100"/>
              <w:bottom w:type="dxa" w:w="60"/>
              <w:right w:type="dxa" w:w="100"/>
            </w:tcMar>
          </w:tcPr>
          <w:p>
            <w:r>
              <w:rPr>
                <w:color w:val="334155"/>
                <w:sz w:val="18"/>
                <w:szCs w:val="18"/>
              </w:rPr>
              <w:t xml:space="preserve">All found monthly files</w:t>
            </w:r>
          </w:p>
        </w:tc>
        <w:tc>
          <w:tcPr>
            <w:shd w:color="EFF6FF" w:val="solid"/>
            <w:tcMar>
              <w:top w:type="dxa" w:w="60"/>
              <w:left w:type="dxa" w:w="100"/>
              <w:bottom w:type="dxa" w:w="60"/>
              <w:right w:type="dxa" w:w="100"/>
            </w:tcMar>
          </w:tcPr>
          <w:p>
            <w:r>
              <w:rPr>
                <w:color w:val="334155"/>
                <w:sz w:val="18"/>
                <w:szCs w:val="18"/>
              </w:rPr>
              <w:t xml:space="preserve">cocoa_london_origin_stock</w:t>
            </w:r>
          </w:p>
        </w:tc>
      </w:tr>
    </w:tbl>
    <w:p>
      <w:pPr>
        <w:spacing w:after="100" w:before="40"/>
      </w:pPr>
      <w:r>
        <w:rPr>
          <w:color w:val="0F172A"/>
          <w:sz w:val="20"/>
          <w:szCs w:val="20"/>
        </w:rPr>
        <w:t xml:space="preserve">Each sync uses the xlsx library to read the file, iterates rows, and upserts with ON CONFLICT DO NOTHING. The dual-trigger design provides two layers of reliability:</w:t>
      </w:r>
    </w:p>
    <w:p>
      <w:pPr>
        <w:pStyle w:val="ListParagraph"/>
        <w:numPr>
          <w:ilvl w:val="0"/>
          <w:numId w:val="1"/>
        </w:numPr>
        <w:spacing w:after="60"/>
      </w:pPr>
      <w:r>
        <w:rPr>
          <w:color w:val="334155"/>
          <w:sz w:val="20"/>
          <w:szCs w:val="20"/>
        </w:rPr>
        <w:t xml:space="preserve">Chokidar file watcher (reactive) — triggers immediately when OneDrive modifies a file</w:t>
      </w:r>
    </w:p>
    <w:p>
      <w:pPr>
        <w:pStyle w:val="ListParagraph"/>
        <w:numPr>
          <w:ilvl w:val="0"/>
          <w:numId w:val="1"/>
        </w:numPr>
        <w:spacing w:after="60"/>
      </w:pPr>
      <w:r>
        <w:rPr>
          <w:color w:val="334155"/>
          <w:sz w:val="20"/>
          <w:szCs w:val="20"/>
        </w:rPr>
        <w:t xml:space="preserve">08:30 AM daily cron fallback — syncs all 4 tables unconditionally every morning</w:t>
      </w:r>
    </w:p>
    <w:p>
      <w:pPr>
        <w:pBdr>
          <w:left w:val="thick" w:color="B45309" w:sz="12"/>
        </w:pBdr>
        <w:spacing w:after="120" w:before="80"/>
        <w:ind w:left="431"/>
      </w:pPr>
      <w:r>
        <w:rPr>
          <w:i/>
          <w:iCs/>
          <w:color w:val="B45309"/>
          <w:sz w:val="18"/>
          <w:szCs w:val="18"/>
        </w:rPr>
        <w:t xml:space="preserve">📌  OneDrive on Windows uses temporary .tmp files during cloud sync and can suppress standard filesystem events. The cron fallback guarantees data is always current by trading open (09:00 London).</w:t>
      </w:r>
    </w:p>
    <w:p>
      <w:pPr>
        <w:pStyle w:val="Heading3"/>
        <w:spacing w:after="80" w:before="240"/>
      </w:pPr>
      <w:r>
        <w:rPr>
          <w:rFonts w:ascii="Calibri" w:cs="Calibri" w:eastAsia="Calibri" w:hAnsi="Calibri"/>
          <w:b/>
          <w:bCs/>
          <w:color w:val="1E3A5F"/>
          <w:sz w:val="28"/>
          <w:szCs w:val="28"/>
        </w:rPr>
        <w:t xml:space="preserve">7.5 Rho Monitor (rhoAlertService.js)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shd w:color="1E293B" w:val="solid"/>
            <w:tcMar>
              <w:top w:type="dxa" w:w="80"/>
              <w:left w:type="dxa" w:w="100"/>
              <w:bottom w:type="dxa" w:w="80"/>
              <w:right w:type="dxa" w:w="100"/>
            </w:tcMar>
          </w:tcPr>
          <w:p>
            <w:pPr>
              <w:jc w:val="left"/>
            </w:pPr>
            <w:r>
              <w:rPr>
                <w:rFonts w:ascii="Calibri" w:cs="Calibri" w:eastAsia="Calibri" w:hAnsi="Calibri"/>
                <w:b/>
                <w:bCs/>
                <w:color w:val="FFFFFF"/>
                <w:sz w:val="18"/>
                <w:szCs w:val="18"/>
              </w:rPr>
              <w:t xml:space="preserve">Parameter</w:t>
            </w:r>
          </w:p>
        </w:tc>
        <w:tc>
          <w:tcPr>
            <w:shd w:color="1E293B" w:val="solid"/>
            <w:tcMar>
              <w:top w:type="dxa" w:w="80"/>
              <w:left w:type="dxa" w:w="100"/>
              <w:bottom w:type="dxa" w:w="80"/>
              <w:right w:type="dxa" w:w="100"/>
            </w:tcMar>
          </w:tcPr>
          <w:p>
            <w:pPr>
              <w:jc w:val="left"/>
            </w:pPr>
            <w:r>
              <w:rPr>
                <w:rFonts w:ascii="Calibri" w:cs="Calibri" w:eastAsia="Calibri" w:hAnsi="Calibri"/>
                <w:b/>
                <w:bCs/>
                <w:color w:val="FFFFFF"/>
                <w:sz w:val="18"/>
                <w:szCs w:val="18"/>
              </w:rPr>
              <w:t xml:space="preserve">Value</w:t>
            </w:r>
          </w:p>
        </w:tc>
        <w:tc>
          <w:tcPr>
            <w:shd w:color="1E293B" w:val="solid"/>
            <w:tcMar>
              <w:top w:type="dxa" w:w="80"/>
              <w:left w:type="dxa" w:w="100"/>
              <w:bottom w:type="dxa" w:w="80"/>
              <w:right w:type="dxa" w:w="100"/>
            </w:tcMar>
          </w:tcPr>
          <w:p>
            <w:pPr>
              <w:jc w:val="left"/>
            </w:pPr>
            <w:r>
              <w:rPr>
                <w:rFonts w:ascii="Calibri" w:cs="Calibri" w:eastAsia="Calibri" w:hAnsi="Calibri"/>
                <w:b/>
                <w:bCs/>
                <w:color w:val="FFFFFF"/>
                <w:sz w:val="18"/>
                <w:szCs w:val="18"/>
              </w:rPr>
              <w:t xml:space="preserve">Meaning</w:t>
            </w:r>
          </w:p>
        </w:tc>
      </w:tr>
      <w:tr>
        <w:tc>
          <w:tcPr>
            <w:tcMar>
              <w:top w:type="dxa" w:w="60"/>
              <w:left w:type="dxa" w:w="100"/>
              <w:bottom w:type="dxa" w:w="60"/>
              <w:right w:type="dxa" w:w="100"/>
            </w:tcMar>
          </w:tcPr>
          <w:p>
            <w:r>
              <w:rPr>
                <w:color w:val="334155"/>
                <w:sz w:val="18"/>
                <w:szCs w:val="18"/>
              </w:rPr>
              <w:t xml:space="preserve">Products monitored</w:t>
            </w:r>
          </w:p>
        </w:tc>
        <w:tc>
          <w:tcPr>
            <w:tcMar>
              <w:top w:type="dxa" w:w="60"/>
              <w:left w:type="dxa" w:w="100"/>
              <w:bottom w:type="dxa" w:w="60"/>
              <w:right w:type="dxa" w:w="100"/>
            </w:tcMar>
          </w:tcPr>
          <w:p>
            <w:r>
              <w:rPr>
                <w:color w:val="334155"/>
                <w:sz w:val="18"/>
                <w:szCs w:val="18"/>
              </w:rPr>
              <w:t xml:space="preserve">7</w:t>
            </w:r>
          </w:p>
        </w:tc>
        <w:tc>
          <w:tcPr>
            <w:tcMar>
              <w:top w:type="dxa" w:w="60"/>
              <w:left w:type="dxa" w:w="100"/>
              <w:bottom w:type="dxa" w:w="60"/>
              <w:right w:type="dxa" w:w="100"/>
            </w:tcMar>
          </w:tcPr>
          <w:p>
            <w:r>
              <w:rPr>
                <w:color w:val="334155"/>
                <w:sz w:val="18"/>
                <w:szCs w:val="18"/>
              </w:rPr>
              <w:t xml:space="preserve">London Cocoa (LCC), NY Cocoa (CC), KC Arabica (KC), Robusta Coffee (RC), Cotton #2 (CT), Raw Sugar #11 (SB), White Sugar (W)</w:t>
            </w:r>
          </w:p>
        </w:tc>
      </w:tr>
      <w:tr>
        <w:tc>
          <w:tcPr>
            <w:shd w:color="EFF6FF" w:val="solid"/>
            <w:tcMar>
              <w:top w:type="dxa" w:w="60"/>
              <w:left w:type="dxa" w:w="100"/>
              <w:bottom w:type="dxa" w:w="60"/>
              <w:right w:type="dxa" w:w="100"/>
            </w:tcMar>
          </w:tcPr>
          <w:p>
            <w:r>
              <w:rPr>
                <w:color w:val="334155"/>
                <w:sz w:val="18"/>
                <w:szCs w:val="18"/>
              </w:rPr>
              <w:t xml:space="preserve">Spreads per product</w:t>
            </w:r>
          </w:p>
        </w:tc>
        <w:tc>
          <w:tcPr>
            <w:shd w:color="EFF6FF" w:val="solid"/>
            <w:tcMar>
              <w:top w:type="dxa" w:w="60"/>
              <w:left w:type="dxa" w:w="100"/>
              <w:bottom w:type="dxa" w:w="60"/>
              <w:right w:type="dxa" w:w="100"/>
            </w:tcMar>
          </w:tcPr>
          <w:p>
            <w:r>
              <w:rPr>
                <w:color w:val="334155"/>
                <w:sz w:val="18"/>
                <w:szCs w:val="18"/>
              </w:rPr>
              <w:t xml:space="preserve">9</w:t>
            </w:r>
          </w:p>
        </w:tc>
        <w:tc>
          <w:tcPr>
            <w:shd w:color="EFF6FF" w:val="solid"/>
            <w:tcMar>
              <w:top w:type="dxa" w:w="60"/>
              <w:left w:type="dxa" w:w="100"/>
              <w:bottom w:type="dxa" w:w="60"/>
              <w:right w:type="dxa" w:w="100"/>
            </w:tcMar>
          </w:tcPr>
          <w:p>
            <w:r>
              <w:rPr>
                <w:color w:val="334155"/>
                <w:sz w:val="18"/>
                <w:szCs w:val="18"/>
              </w:rPr>
              <w:t xml:space="preserve">Up to 9 calendar spread pairs per outright contract</w:t>
            </w:r>
          </w:p>
        </w:tc>
      </w:tr>
      <w:tr>
        <w:tc>
          <w:tcPr>
            <w:tcMar>
              <w:top w:type="dxa" w:w="60"/>
              <w:left w:type="dxa" w:w="100"/>
              <w:bottom w:type="dxa" w:w="60"/>
              <w:right w:type="dxa" w:w="100"/>
            </w:tcMar>
          </w:tcPr>
          <w:p>
            <w:r>
              <w:rPr>
                <w:color w:val="334155"/>
                <w:sz w:val="18"/>
                <w:szCs w:val="18"/>
              </w:rPr>
              <w:t xml:space="preserve">Total pairs scanned</w:t>
            </w:r>
          </w:p>
        </w:tc>
        <w:tc>
          <w:tcPr>
            <w:tcMar>
              <w:top w:type="dxa" w:w="60"/>
              <w:left w:type="dxa" w:w="100"/>
              <w:bottom w:type="dxa" w:w="60"/>
              <w:right w:type="dxa" w:w="100"/>
            </w:tcMar>
          </w:tcPr>
          <w:p>
            <w:r>
              <w:rPr>
                <w:color w:val="334155"/>
                <w:sz w:val="18"/>
                <w:szCs w:val="18"/>
              </w:rPr>
              <w:t xml:space="preserve">63</w:t>
            </w:r>
          </w:p>
        </w:tc>
        <w:tc>
          <w:tcPr>
            <w:tcMar>
              <w:top w:type="dxa" w:w="60"/>
              <w:left w:type="dxa" w:w="100"/>
              <w:bottom w:type="dxa" w:w="60"/>
              <w:right w:type="dxa" w:w="100"/>
            </w:tcMar>
          </w:tcPr>
          <w:p>
            <w:r>
              <w:rPr>
                <w:color w:val="334155"/>
                <w:sz w:val="18"/>
                <w:szCs w:val="18"/>
              </w:rPr>
              <w:t xml:space="preserve">7 products × 9 spreads</w:t>
            </w:r>
          </w:p>
        </w:tc>
      </w:tr>
      <w:tr>
        <w:tc>
          <w:tcPr>
            <w:shd w:color="EFF6FF" w:val="solid"/>
            <w:tcMar>
              <w:top w:type="dxa" w:w="60"/>
              <w:left w:type="dxa" w:w="100"/>
              <w:bottom w:type="dxa" w:w="60"/>
              <w:right w:type="dxa" w:w="100"/>
            </w:tcMar>
          </w:tcPr>
          <w:p>
            <w:r>
              <w:rPr>
                <w:color w:val="334155"/>
                <w:sz w:val="18"/>
                <w:szCs w:val="18"/>
              </w:rPr>
              <w:t xml:space="preserve">Rolling window (W)</w:t>
            </w:r>
          </w:p>
        </w:tc>
        <w:tc>
          <w:tcPr>
            <w:shd w:color="EFF6FF" w:val="solid"/>
            <w:tcMar>
              <w:top w:type="dxa" w:w="60"/>
              <w:left w:type="dxa" w:w="100"/>
              <w:bottom w:type="dxa" w:w="60"/>
              <w:right w:type="dxa" w:w="100"/>
            </w:tcMar>
          </w:tcPr>
          <w:p>
            <w:r>
              <w:rPr>
                <w:color w:val="334155"/>
                <w:sz w:val="18"/>
                <w:szCs w:val="18"/>
              </w:rPr>
              <w:t xml:space="preserve">15 days</w:t>
            </w:r>
          </w:p>
        </w:tc>
        <w:tc>
          <w:tcPr>
            <w:shd w:color="EFF6FF" w:val="solid"/>
            <w:tcMar>
              <w:top w:type="dxa" w:w="60"/>
              <w:left w:type="dxa" w:w="100"/>
              <w:bottom w:type="dxa" w:w="60"/>
              <w:right w:type="dxa" w:w="100"/>
            </w:tcMar>
          </w:tcPr>
          <w:p>
            <w:r>
              <w:rPr>
                <w:color w:val="334155"/>
                <w:sz w:val="18"/>
                <w:szCs w:val="18"/>
              </w:rPr>
              <w:t xml:space="preserve">Pearson correlation computed over 15 consecutive daily % returns</w:t>
            </w:r>
          </w:p>
        </w:tc>
      </w:tr>
      <w:tr>
        <w:tc>
          <w:tcPr>
            <w:tcMar>
              <w:top w:type="dxa" w:w="60"/>
              <w:left w:type="dxa" w:w="100"/>
              <w:bottom w:type="dxa" w:w="60"/>
              <w:right w:type="dxa" w:w="100"/>
            </w:tcMar>
          </w:tcPr>
          <w:p>
            <w:r>
              <w:rPr>
                <w:color w:val="334155"/>
                <w:sz w:val="18"/>
                <w:szCs w:val="18"/>
              </w:rPr>
              <w:t xml:space="preserve">Lookback</w:t>
            </w:r>
          </w:p>
        </w:tc>
        <w:tc>
          <w:tcPr>
            <w:tcMar>
              <w:top w:type="dxa" w:w="60"/>
              <w:left w:type="dxa" w:w="100"/>
              <w:bottom w:type="dxa" w:w="60"/>
              <w:right w:type="dxa" w:w="100"/>
            </w:tcMar>
          </w:tcPr>
          <w:p>
            <w:r>
              <w:rPr>
                <w:color w:val="334155"/>
                <w:sz w:val="18"/>
                <w:szCs w:val="18"/>
              </w:rPr>
              <w:t xml:space="preserve">14 days</w:t>
            </w:r>
          </w:p>
        </w:tc>
        <w:tc>
          <w:tcPr>
            <w:tcMar>
              <w:top w:type="dxa" w:w="60"/>
              <w:left w:type="dxa" w:w="100"/>
              <w:bottom w:type="dxa" w:w="60"/>
              <w:right w:type="dxa" w:w="100"/>
            </w:tcMar>
          </w:tcPr>
          <w:p>
            <w:r>
              <w:rPr>
                <w:color w:val="334155"/>
                <w:sz w:val="18"/>
                <w:szCs w:val="18"/>
              </w:rPr>
              <w:t xml:space="preserve">Peak rho searched across last 14 trading days</w:t>
            </w:r>
          </w:p>
        </w:tc>
      </w:tr>
      <w:tr>
        <w:tc>
          <w:tcPr>
            <w:shd w:color="EFF6FF" w:val="solid"/>
            <w:tcMar>
              <w:top w:type="dxa" w:w="60"/>
              <w:left w:type="dxa" w:w="100"/>
              <w:bottom w:type="dxa" w:w="60"/>
              <w:right w:type="dxa" w:w="100"/>
            </w:tcMar>
          </w:tcPr>
          <w:p>
            <w:r>
              <w:rPr>
                <w:color w:val="334155"/>
                <w:sz w:val="18"/>
                <w:szCs w:val="18"/>
              </w:rPr>
              <w:t xml:space="preserve">Alert condition</w:t>
            </w:r>
          </w:p>
        </w:tc>
        <w:tc>
          <w:tcPr>
            <w:shd w:color="EFF6FF" w:val="solid"/>
            <w:tcMar>
              <w:top w:type="dxa" w:w="60"/>
              <w:left w:type="dxa" w:w="100"/>
              <w:bottom w:type="dxa" w:w="60"/>
              <w:right w:type="dxa" w:w="100"/>
            </w:tcMar>
          </w:tcPr>
          <w:p>
            <w:r>
              <w:rPr>
                <w:color w:val="334155"/>
                <w:sz w:val="18"/>
                <w:szCs w:val="18"/>
              </w:rPr>
              <w:t xml:space="preserve">Peak ≥ 80 AND current ≤ 50</w:t>
            </w:r>
          </w:p>
        </w:tc>
        <w:tc>
          <w:tcPr>
            <w:shd w:color="EFF6FF" w:val="solid"/>
            <w:tcMar>
              <w:top w:type="dxa" w:w="60"/>
              <w:left w:type="dxa" w:w="100"/>
              <w:bottom w:type="dxa" w:w="60"/>
              <w:right w:type="dxa" w:w="100"/>
            </w:tcMar>
          </w:tcPr>
          <w:p>
            <w:r>
              <w:rPr>
                <w:color w:val="334155"/>
                <w:sz w:val="18"/>
                <w:szCs w:val="18"/>
              </w:rPr>
              <w:t xml:space="preserve">Correlation reached strong positive territory then broke down</w:t>
            </w:r>
          </w:p>
        </w:tc>
      </w:tr>
      <w:tr>
        <w:tc>
          <w:tcPr>
            <w:tcMar>
              <w:top w:type="dxa" w:w="60"/>
              <w:left w:type="dxa" w:w="100"/>
              <w:bottom w:type="dxa" w:w="60"/>
              <w:right w:type="dxa" w:w="100"/>
            </w:tcMar>
          </w:tcPr>
          <w:p>
            <w:r>
              <w:rPr>
                <w:color w:val="334155"/>
                <w:sz w:val="18"/>
                <w:szCs w:val="18"/>
              </w:rPr>
              <w:t xml:space="preserve">Silence window</w:t>
            </w:r>
          </w:p>
        </w:tc>
        <w:tc>
          <w:tcPr>
            <w:tcMar>
              <w:top w:type="dxa" w:w="60"/>
              <w:left w:type="dxa" w:w="100"/>
              <w:bottom w:type="dxa" w:w="60"/>
              <w:right w:type="dxa" w:w="100"/>
            </w:tcMar>
          </w:tcPr>
          <w:p>
            <w:r>
              <w:rPr>
                <w:color w:val="334155"/>
                <w:sz w:val="18"/>
                <w:szCs w:val="18"/>
              </w:rPr>
              <w:t xml:space="preserve">7 days</w:t>
            </w:r>
          </w:p>
        </w:tc>
        <w:tc>
          <w:tcPr>
            <w:tcMar>
              <w:top w:type="dxa" w:w="60"/>
              <w:left w:type="dxa" w:w="100"/>
              <w:bottom w:type="dxa" w:w="60"/>
              <w:right w:type="dxa" w:w="100"/>
            </w:tcMar>
          </w:tcPr>
          <w:p>
            <w:r>
              <w:rPr>
                <w:color w:val="334155"/>
                <w:sz w:val="18"/>
                <w:szCs w:val="18"/>
              </w:rPr>
              <w:t xml:space="preserve">Same product+spread pair will not re-alert within 7 days</w:t>
            </w:r>
          </w:p>
        </w:tc>
      </w:tr>
    </w:tbl>
    <w:p>
      <w:pPr>
        <w:spacing w:after="100" w:before="40"/>
      </w:pPr>
      <w:r>
        <w:rPr>
          <w:color w:val="0F172A"/>
          <w:sz w:val="20"/>
          <w:szCs w:val="20"/>
        </w:rPr>
        <w:t xml:space="preserve">The Pearson correlation formula is implemented from scratch in pure JavaScript. For each pair, daily % returns are computed from OHLC close prices, then the Pearson r is calculated over the rolling window and multiplied by 100 to give a −100 to +100 score.</w:t>
      </w:r>
    </w:p>
    <w:p>
      <w:pPr>
        <w:pBdr>
          <w:bottom w:val="single" w:color="E2E8F0" w:sz="6"/>
        </w:pBdr>
        <w:spacing w:after="160"/>
      </w:pPr>
    </w:p>
    <w:p>
      <w:pPr>
        <w:pStyle w:val="Heading1"/>
        <w:spacing w:after="160" w:before="400"/>
      </w:pPr>
      <w:r>
        <w:t xml:space="preserve">8. Frontend Architecture (React + Redux)</w:t>
      </w:r>
      <w:r>
        <w:rPr>
          <w:rFonts w:ascii="Calibri" w:cs="Calibri" w:eastAsia="Calibri" w:hAnsi="Calibri"/>
          <w:b/>
          <w:bCs/>
          <w:color w:val="1E3A5F"/>
          <w:sz w:val="52"/>
          <w:szCs w:val="52"/>
        </w:rPr>
        <w:t xml:space="preserve">8. Frontend Architecture (React + Redux)</w:t>
      </w:r>
    </w:p>
    <w:p>
      <w:pPr>
        <w:pStyle w:val="Heading3"/>
        <w:spacing w:after="80" w:before="240"/>
      </w:pPr>
      <w:r>
        <w:rPr>
          <w:rFonts w:ascii="Calibri" w:cs="Calibri" w:eastAsia="Calibri" w:hAnsi="Calibri"/>
          <w:b/>
          <w:bCs/>
          <w:color w:val="1E3A5F"/>
          <w:sz w:val="28"/>
          <w:szCs w:val="28"/>
        </w:rPr>
        <w:t xml:space="preserve">Redux Store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shd w:color="1E293B" w:val="solid"/>
            <w:tcMar>
              <w:top w:type="dxa" w:w="80"/>
              <w:left w:type="dxa" w:w="100"/>
              <w:bottom w:type="dxa" w:w="80"/>
              <w:right w:type="dxa" w:w="100"/>
            </w:tcMar>
          </w:tcPr>
          <w:p>
            <w:pPr>
              <w:jc w:val="left"/>
            </w:pPr>
            <w:r>
              <w:rPr>
                <w:rFonts w:ascii="Calibri" w:cs="Calibri" w:eastAsia="Calibri" w:hAnsi="Calibri"/>
                <w:b/>
                <w:bCs/>
                <w:color w:val="FFFFFF"/>
                <w:sz w:val="18"/>
                <w:szCs w:val="18"/>
              </w:rPr>
              <w:t xml:space="preserve">Slice</w:t>
            </w:r>
          </w:p>
        </w:tc>
        <w:tc>
          <w:tcPr>
            <w:shd w:color="1E293B" w:val="solid"/>
            <w:tcMar>
              <w:top w:type="dxa" w:w="80"/>
              <w:left w:type="dxa" w:w="100"/>
              <w:bottom w:type="dxa" w:w="80"/>
              <w:right w:type="dxa" w:w="100"/>
            </w:tcMar>
          </w:tcPr>
          <w:p>
            <w:pPr>
              <w:jc w:val="left"/>
            </w:pPr>
            <w:r>
              <w:rPr>
                <w:rFonts w:ascii="Calibri" w:cs="Calibri" w:eastAsia="Calibri" w:hAnsi="Calibri"/>
                <w:b/>
                <w:bCs/>
                <w:color w:val="FFFFFF"/>
                <w:sz w:val="18"/>
                <w:szCs w:val="18"/>
              </w:rPr>
              <w:t xml:space="preserve">State Managed</w:t>
            </w:r>
          </w:p>
        </w:tc>
        <w:tc>
          <w:tcPr>
            <w:shd w:color="1E293B" w:val="solid"/>
            <w:tcMar>
              <w:top w:type="dxa" w:w="80"/>
              <w:left w:type="dxa" w:w="100"/>
              <w:bottom w:type="dxa" w:w="80"/>
              <w:right w:type="dxa" w:w="100"/>
            </w:tcMar>
          </w:tcPr>
          <w:p>
            <w:pPr>
              <w:jc w:val="left"/>
            </w:pPr>
            <w:r>
              <w:rPr>
                <w:rFonts w:ascii="Calibri" w:cs="Calibri" w:eastAsia="Calibri" w:hAnsi="Calibri"/>
                <w:b/>
                <w:bCs/>
                <w:color w:val="FFFFFF"/>
                <w:sz w:val="18"/>
                <w:szCs w:val="18"/>
              </w:rPr>
              <w:t xml:space="preserve">Key Actions</w:t>
            </w:r>
          </w:p>
        </w:tc>
      </w:tr>
      <w:tr>
        <w:tc>
          <w:tcPr>
            <w:tcMar>
              <w:top w:type="dxa" w:w="60"/>
              <w:left w:type="dxa" w:w="100"/>
              <w:bottom w:type="dxa" w:w="60"/>
              <w:right w:type="dxa" w:w="100"/>
            </w:tcMar>
          </w:tcPr>
          <w:p>
            <w:r>
              <w:rPr>
                <w:color w:val="334155"/>
                <w:sz w:val="18"/>
                <w:szCs w:val="18"/>
              </w:rPr>
              <w:t xml:space="preserve">auth</w:t>
            </w:r>
          </w:p>
        </w:tc>
        <w:tc>
          <w:tcPr>
            <w:tcMar>
              <w:top w:type="dxa" w:w="60"/>
              <w:left w:type="dxa" w:w="100"/>
              <w:bottom w:type="dxa" w:w="60"/>
              <w:right w:type="dxa" w:w="100"/>
            </w:tcMar>
          </w:tcPr>
          <w:p>
            <w:r>
              <w:rPr>
                <w:color w:val="334155"/>
                <w:sz w:val="18"/>
                <w:szCs w:val="18"/>
              </w:rPr>
              <w:t xml:space="preserve">JWT token, user object (id, username), isAuthenticated flag</w:t>
            </w:r>
          </w:p>
        </w:tc>
        <w:tc>
          <w:tcPr>
            <w:tcMar>
              <w:top w:type="dxa" w:w="60"/>
              <w:left w:type="dxa" w:w="100"/>
              <w:bottom w:type="dxa" w:w="60"/>
              <w:right w:type="dxa" w:w="100"/>
            </w:tcMar>
          </w:tcPr>
          <w:p>
            <w:r>
              <w:rPr>
                <w:color w:val="334155"/>
                <w:sz w:val="18"/>
                <w:szCs w:val="18"/>
              </w:rPr>
              <w:t xml:space="preserve">setCredentials, logout</w:t>
            </w:r>
          </w:p>
        </w:tc>
      </w:tr>
      <w:tr>
        <w:tc>
          <w:tcPr>
            <w:shd w:color="EFF6FF" w:val="solid"/>
            <w:tcMar>
              <w:top w:type="dxa" w:w="60"/>
              <w:left w:type="dxa" w:w="100"/>
              <w:bottom w:type="dxa" w:w="60"/>
              <w:right w:type="dxa" w:w="100"/>
            </w:tcMar>
          </w:tcPr>
          <w:p>
            <w:r>
              <w:rPr>
                <w:color w:val="334155"/>
                <w:sz w:val="18"/>
                <w:szCs w:val="18"/>
              </w:rPr>
              <w:t xml:space="preserve">ui</w:t>
            </w:r>
          </w:p>
        </w:tc>
        <w:tc>
          <w:tcPr>
            <w:shd w:color="EFF6FF" w:val="solid"/>
            <w:tcMar>
              <w:top w:type="dxa" w:w="60"/>
              <w:left w:type="dxa" w:w="100"/>
              <w:bottom w:type="dxa" w:w="60"/>
              <w:right w:type="dxa" w:w="100"/>
            </w:tcMar>
          </w:tcPr>
          <w:p>
            <w:r>
              <w:rPr>
                <w:color w:val="334155"/>
                <w:sz w:val="18"/>
                <w:szCs w:val="18"/>
              </w:rPr>
              <w:t xml:space="preserve">Active dashboard section ID, sidebar collapsed state, modal open/close</w:t>
            </w:r>
          </w:p>
        </w:tc>
        <w:tc>
          <w:tcPr>
            <w:shd w:color="EFF6FF" w:val="solid"/>
            <w:tcMar>
              <w:top w:type="dxa" w:w="60"/>
              <w:left w:type="dxa" w:w="100"/>
              <w:bottom w:type="dxa" w:w="60"/>
              <w:right w:type="dxa" w:w="100"/>
            </w:tcMar>
          </w:tcPr>
          <w:p>
            <w:r>
              <w:rPr>
                <w:color w:val="334155"/>
                <w:sz w:val="18"/>
                <w:szCs w:val="18"/>
              </w:rPr>
              <w:t xml:space="preserve">setActiveSection, toggleSidebar</w:t>
            </w:r>
          </w:p>
        </w:tc>
      </w:tr>
      <w:tr>
        <w:tc>
          <w:tcPr>
            <w:tcMar>
              <w:top w:type="dxa" w:w="60"/>
              <w:left w:type="dxa" w:w="100"/>
              <w:bottom w:type="dxa" w:w="60"/>
              <w:right w:type="dxa" w:w="100"/>
            </w:tcMar>
          </w:tcPr>
          <w:p>
            <w:r>
              <w:rPr>
                <w:color w:val="334155"/>
                <w:sz w:val="18"/>
                <w:szCs w:val="18"/>
              </w:rPr>
              <w:t xml:space="preserve">chartData</w:t>
            </w:r>
          </w:p>
        </w:tc>
        <w:tc>
          <w:tcPr>
            <w:tcMar>
              <w:top w:type="dxa" w:w="60"/>
              <w:left w:type="dxa" w:w="100"/>
              <w:bottom w:type="dxa" w:w="60"/>
              <w:right w:type="dxa" w:w="100"/>
            </w:tcMar>
          </w:tcPr>
          <w:p>
            <w:r>
              <w:rPr>
                <w:color w:val="334155"/>
                <w:sz w:val="18"/>
                <w:szCs w:val="18"/>
              </w:rPr>
              <w:t xml:space="preserve">OHLC candle arrays, active instrument code, time interval (1D/1W)</w:t>
            </w:r>
          </w:p>
        </w:tc>
        <w:tc>
          <w:tcPr>
            <w:tcMar>
              <w:top w:type="dxa" w:w="60"/>
              <w:left w:type="dxa" w:w="100"/>
              <w:bottom w:type="dxa" w:w="60"/>
              <w:right w:type="dxa" w:w="100"/>
            </w:tcMar>
          </w:tcPr>
          <w:p>
            <w:r>
              <w:rPr>
                <w:color w:val="334155"/>
                <w:sz w:val="18"/>
                <w:szCs w:val="18"/>
              </w:rPr>
              <w:t xml:space="preserve">setCandles, setInstrument, setInterval</w:t>
            </w:r>
          </w:p>
        </w:tc>
      </w:tr>
      <w:tr>
        <w:tc>
          <w:tcPr>
            <w:shd w:color="EFF6FF" w:val="solid"/>
            <w:tcMar>
              <w:top w:type="dxa" w:w="60"/>
              <w:left w:type="dxa" w:w="100"/>
              <w:bottom w:type="dxa" w:w="60"/>
              <w:right w:type="dxa" w:w="100"/>
            </w:tcMar>
          </w:tcPr>
          <w:p>
            <w:r>
              <w:rPr>
                <w:color w:val="334155"/>
                <w:sz w:val="18"/>
                <w:szCs w:val="18"/>
              </w:rPr>
              <w:t xml:space="preserve">ws</w:t>
            </w:r>
          </w:p>
        </w:tc>
        <w:tc>
          <w:tcPr>
            <w:shd w:color="EFF6FF" w:val="solid"/>
            <w:tcMar>
              <w:top w:type="dxa" w:w="60"/>
              <w:left w:type="dxa" w:w="100"/>
              <w:bottom w:type="dxa" w:w="60"/>
              <w:right w:type="dxa" w:w="100"/>
            </w:tcMar>
          </w:tcPr>
          <w:p>
            <w:r>
              <w:rPr>
                <w:color w:val="334155"/>
                <w:sz w:val="18"/>
                <w:szCs w:val="18"/>
              </w:rPr>
              <w:t xml:space="preserve">WebSocket connection status (connected/disconnected)</w:t>
            </w:r>
          </w:p>
        </w:tc>
        <w:tc>
          <w:tcPr>
            <w:shd w:color="EFF6FF" w:val="solid"/>
            <w:tcMar>
              <w:top w:type="dxa" w:w="60"/>
              <w:left w:type="dxa" w:w="100"/>
              <w:bottom w:type="dxa" w:w="60"/>
              <w:right w:type="dxa" w:w="100"/>
            </w:tcMar>
          </w:tcPr>
          <w:p>
            <w:r>
              <w:rPr>
                <w:color w:val="334155"/>
                <w:sz w:val="18"/>
                <w:szCs w:val="18"/>
              </w:rPr>
              <w:t xml:space="preserve">setConnected, setDisconnected</w:t>
            </w:r>
          </w:p>
        </w:tc>
      </w:tr>
    </w:tbl>
    <w:p>
      <w:pPr>
        <w:spacing w:after="160"/>
      </w:pPr>
    </w:p>
    <w:p>
      <w:pPr>
        <w:pStyle w:val="Heading3"/>
        <w:spacing w:after="80" w:before="240"/>
      </w:pPr>
      <w:r>
        <w:rPr>
          <w:rFonts w:ascii="Calibri" w:cs="Calibri" w:eastAsia="Calibri" w:hAnsi="Calibri"/>
          <w:b/>
          <w:bCs/>
          <w:color w:val="1E3A5F"/>
          <w:sz w:val="28"/>
          <w:szCs w:val="28"/>
        </w:rPr>
        <w:t xml:space="preserve">Column Hierarchy System (columnHierarchy.js)</w:t>
      </w:r>
    </w:p>
    <w:p>
      <w:pPr>
        <w:spacing w:after="100" w:before="40"/>
      </w:pPr>
      <w:r>
        <w:rPr>
          <w:color w:val="0F172A"/>
          <w:sz w:val="20"/>
          <w:szCs w:val="20"/>
        </w:rPr>
        <w:t xml:space="preserve">This is the heart of the CFTC and ICE table views. A 3-level data structure defines every visible metric:</w:t>
      </w:r>
    </w:p>
    <w:p>
      <w:pPr>
        <w:shd w:color="F1F5F9" w:val="solid"/>
        <w:spacing w:after="40"/>
        <w:ind w:left="576"/>
      </w:pPr>
      <w:r>
        <w:rPr>
          <w:rFonts w:ascii="Courier New" w:cs="Courier New" w:eastAsia="Courier New" w:hAnsi="Courier New"/>
          <w:b/>
          <w:bCs/>
          <w:color w:val="0A5C60"/>
          <w:sz w:val="18"/>
          <w:szCs w:val="18"/>
        </w:rPr>
        <w:t xml:space="preserve">COLUMN_HIERARCHY = [</w:t>
      </w:r>
    </w:p>
    <w:p>
      <w:pPr>
        <w:shd w:color="F1F5F9" w:val="solid"/>
        <w:spacing w:after="40"/>
        <w:ind w:left="576"/>
      </w:pPr>
      <w:r>
        <w:rPr>
          <w:rFonts w:ascii="Courier New" w:cs="Courier New" w:eastAsia="Courier New" w:hAnsi="Courier New"/>
          <w:b/>
          <w:bCs/>
          <w:color w:val="0A5C60"/>
          <w:sz w:val="18"/>
          <w:szCs w:val="18"/>
        </w:rPr>
        <w:t xml:space="preserve">  { section: "Open Interest", items: [dbItem("open_interest_all"), ...] },</w:t>
      </w:r>
    </w:p>
    <w:p>
      <w:pPr>
        <w:shd w:color="F1F5F9" w:val="solid"/>
        <w:spacing w:after="40"/>
        <w:ind w:left="576"/>
      </w:pPr>
      <w:r>
        <w:rPr>
          <w:rFonts w:ascii="Courier New" w:cs="Courier New" w:eastAsia="Courier New" w:hAnsi="Courier New"/>
          <w:b/>
          <w:bCs/>
          <w:color w:val="0A5C60"/>
          <w:sz w:val="18"/>
          <w:szCs w:val="18"/>
        </w:rPr>
        <w:t xml:space="preserve">  { section: "Positions", subsections: [</w:t>
      </w:r>
    </w:p>
    <w:p>
      <w:pPr>
        <w:shd w:color="F1F5F9" w:val="solid"/>
        <w:spacing w:after="40"/>
        <w:ind w:left="576"/>
      </w:pPr>
      <w:r>
        <w:rPr>
          <w:rFonts w:ascii="Courier New" w:cs="Courier New" w:eastAsia="Courier New" w:hAnsi="Courier New"/>
          <w:b/>
          <w:bCs/>
          <w:color w:val="0A5C60"/>
          <w:sz w:val="18"/>
          <w:szCs w:val="18"/>
        </w:rPr>
        <w:t xml:space="preserve">    { label: "Positions All", groups: [</w:t>
      </w:r>
    </w:p>
    <w:p>
      <w:pPr>
        <w:shd w:color="F1F5F9" w:val="solid"/>
        <w:spacing w:after="40"/>
        <w:ind w:left="576"/>
      </w:pPr>
      <w:r>
        <w:rPr>
          <w:rFonts w:ascii="Courier New" w:cs="Courier New" w:eastAsia="Courier New" w:hAnsi="Courier New"/>
          <w:b/>
          <w:bCs/>
          <w:color w:val="0A5C60"/>
          <w:sz w:val="18"/>
          <w:szCs w:val="18"/>
        </w:rPr>
        <w:t xml:space="preserve">      { label: "Managed Money", items: [Long, Short, Net] }</w:t>
      </w:r>
    </w:p>
    <w:p>
      <w:pPr>
        <w:shd w:color="F1F5F9" w:val="solid"/>
        <w:spacing w:after="40"/>
        <w:ind w:left="576"/>
      </w:pPr>
      <w:r>
        <w:rPr>
          <w:rFonts w:ascii="Courier New" w:cs="Courier New" w:eastAsia="Courier New" w:hAnsi="Courier New"/>
          <w:b/>
          <w:bCs/>
          <w:color w:val="0A5C60"/>
          <w:sz w:val="18"/>
          <w:szCs w:val="18"/>
        </w:rPr>
        <w:t xml:space="preserve">    ]}</w:t>
      </w:r>
    </w:p>
    <w:p>
      <w:pPr>
        <w:shd w:color="F1F5F9" w:val="solid"/>
        <w:spacing w:after="40"/>
        <w:ind w:left="576"/>
      </w:pPr>
      <w:r>
        <w:rPr>
          <w:rFonts w:ascii="Courier New" w:cs="Courier New" w:eastAsia="Courier New" w:hAnsi="Courier New"/>
          <w:b/>
          <w:bCs/>
          <w:color w:val="0A5C60"/>
          <w:sz w:val="18"/>
          <w:szCs w:val="18"/>
        </w:rPr>
        <w:t xml:space="preserve">  ]},</w:t>
      </w:r>
    </w:p>
    <w:p>
      <w:pPr>
        <w:shd w:color="F1F5F9" w:val="solid"/>
        <w:spacing w:after="40"/>
        <w:ind w:left="576"/>
      </w:pPr>
      <w:r>
        <w:rPr>
          <w:rFonts w:ascii="Courier New" w:cs="Courier New" w:eastAsia="Courier New" w:hAnsi="Courier New"/>
          <w:b/>
          <w:bCs/>
          <w:color w:val="0A5C60"/>
          <w:sz w:val="18"/>
          <w:szCs w:val="18"/>
        </w:rPr>
        <w:t xml:space="preserve">  ...</w:t>
      </w:r>
    </w:p>
    <w:p>
      <w:pPr>
        <w:shd w:color="F1F5F9" w:val="solid"/>
        <w:spacing w:after="40"/>
        <w:ind w:left="576"/>
      </w:pPr>
      <w:r>
        <w:rPr>
          <w:rFonts w:ascii="Courier New" w:cs="Courier New" w:eastAsia="Courier New" w:hAnsi="Courier New"/>
          <w:b/>
          <w:bCs/>
          <w:color w:val="0A5C60"/>
          <w:sz w:val="18"/>
          <w:szCs w:val="18"/>
        </w:rPr>
        <w:t xml:space="preserve">]</w:t>
      </w:r>
    </w:p>
    <w:p>
      <w:pPr>
        <w:spacing w:after="100" w:before="40"/>
      </w:pPr>
      <w:r>
        <w:rPr>
          <w:color w:val="0F172A"/>
          <w:sz w:val="20"/>
          <w:szCs w:val="20"/>
        </w:rPr>
        <w:t xml:space="preserve">Three types of items:</w:t>
      </w:r>
    </w:p>
    <w:p>
      <w:pPr>
        <w:pStyle w:val="ListParagraph"/>
        <w:numPr>
          <w:ilvl w:val="0"/>
          <w:numId w:val="1"/>
        </w:numPr>
        <w:spacing w:after="60"/>
      </w:pPr>
      <w:r>
        <w:rPr>
          <w:color w:val="334155"/>
          <w:sz w:val="20"/>
          <w:szCs w:val="20"/>
        </w:rPr>
        <w:t xml:space="preserve">dbItem — reads directly from a database column (e.g., open_interest_all)</w:t>
      </w:r>
    </w:p>
    <w:p>
      <w:pPr>
        <w:pStyle w:val="ListParagraph"/>
        <w:numPr>
          <w:ilvl w:val="0"/>
          <w:numId w:val="1"/>
        </w:numPr>
        <w:spacing w:after="60"/>
      </w:pPr>
      <w:r>
        <w:rPr>
          <w:color w:val="334155"/>
          <w:sz w:val="20"/>
          <w:szCs w:val="20"/>
        </w:rPr>
        <w:t xml:space="preserve">computedItem — formula calculated at render time from other columns (e.g., Net = Long − Short, OI Old % = old/all × 100)</w:t>
      </w:r>
    </w:p>
    <w:p>
      <w:pPr>
        <w:pStyle w:val="ListParagraph"/>
        <w:numPr>
          <w:ilvl w:val="0"/>
          <w:numId w:val="1"/>
        </w:numPr>
        <w:spacing w:after="60"/>
      </w:pPr>
      <w:r>
        <w:rPr>
          <w:color w:val="334155"/>
          <w:sz w:val="20"/>
          <w:szCs w:val="20"/>
        </w:rPr>
        <w:t xml:space="preserve">seriesComputedItem — week-over-week delta computed across the time series (requires previous week row)</w:t>
      </w:r>
    </w:p>
    <w:p>
      <w:pPr>
        <w:spacing w:after="100" w:before="40"/>
      </w:pPr>
      <w:r>
        <w:rPr>
          <w:color w:val="0F172A"/>
          <w:sz w:val="20"/>
          <w:szCs w:val="20"/>
        </w:rPr>
        <w:t xml:space="preserve">The ITEM_MAP is a flat O(1) lookup built from this hierarchy. When a user clicks 📊 on any metric row, the itemId is passed to the chart modal, which uses ITEM_MAP to determine how to extract and plot that metric.</w:t>
      </w:r>
    </w:p>
    <w:p>
      <w:pPr>
        <w:pStyle w:val="Heading3"/>
        <w:spacing w:after="80" w:before="240"/>
      </w:pPr>
      <w:r>
        <w:rPr>
          <w:rFonts w:ascii="Calibri" w:cs="Calibri" w:eastAsia="Calibri" w:hAnsi="Calibri"/>
          <w:b/>
          <w:bCs/>
          <w:color w:val="1E3A5F"/>
          <w:sz w:val="28"/>
          <w:szCs w:val="28"/>
        </w:rPr>
        <w:t xml:space="preserve">Routing</w:t>
      </w:r>
    </w:p>
    <w:p>
      <w:pPr>
        <w:shd w:color="F1F5F9" w:val="solid"/>
        <w:spacing w:after="40"/>
        <w:ind w:left="576"/>
      </w:pPr>
      <w:r>
        <w:rPr>
          <w:rFonts w:ascii="Courier New" w:cs="Courier New" w:eastAsia="Courier New" w:hAnsi="Courier New"/>
          <w:b/>
          <w:bCs/>
          <w:color w:val="0A5C60"/>
          <w:sz w:val="18"/>
          <w:szCs w:val="18"/>
        </w:rPr>
        <w:t xml:space="preserve">/ (root)  →  &lt;ProtectedRoute&gt;  →  &lt;AppShell&gt;  (dashboard)</w:t>
      </w:r>
    </w:p>
    <w:p>
      <w:pPr>
        <w:shd w:color="F1F5F9" w:val="solid"/>
        <w:spacing w:after="40"/>
        <w:ind w:left="576"/>
      </w:pPr>
      <w:r>
        <w:rPr>
          <w:rFonts w:ascii="Courier New" w:cs="Courier New" w:eastAsia="Courier New" w:hAnsi="Courier New"/>
          <w:b/>
          <w:bCs/>
          <w:color w:val="0A5C60"/>
          <w:sz w:val="18"/>
          <w:szCs w:val="18"/>
        </w:rPr>
        <w:t xml:space="preserve">/login    →  &lt;Login&gt;</w:t>
      </w:r>
    </w:p>
    <w:p>
      <w:pPr>
        <w:spacing w:after="100" w:before="40"/>
      </w:pPr>
      <w:r>
        <w:rPr>
          <w:color w:val="0F172A"/>
          <w:sz w:val="20"/>
          <w:szCs w:val="20"/>
        </w:rPr>
        <w:t xml:space="preserve">ProtectedRoute reads auth.token from Redux. If no token exists, it redirects to /login. After login, the token is saved to both Redux and localStorage so the session persists across page refreshes.</w:t>
      </w:r>
    </w:p>
    <w:p>
      <w:pPr>
        <w:pStyle w:val="Heading3"/>
        <w:spacing w:after="80" w:before="240"/>
      </w:pPr>
      <w:r>
        <w:rPr>
          <w:rFonts w:ascii="Calibri" w:cs="Calibri" w:eastAsia="Calibri" w:hAnsi="Calibri"/>
          <w:b/>
          <w:bCs/>
          <w:color w:val="1E3A5F"/>
          <w:sz w:val="28"/>
          <w:szCs w:val="28"/>
        </w:rPr>
        <w:t xml:space="preserve">API Service Layer (src/services/api.js)</w:t>
      </w:r>
    </w:p>
    <w:p>
      <w:pPr>
        <w:spacing w:after="100" w:before="40"/>
      </w:pPr>
      <w:r>
        <w:rPr>
          <w:color w:val="0F172A"/>
          <w:sz w:val="20"/>
          <w:szCs w:val="20"/>
        </w:rPr>
        <w:t xml:space="preserve">All fetch calls are centralised in api.js. Every function reads the token from localStorage and injects it as an Authorization header. On 401/403 response, the handleAuthError() function clears the token and redirects to /login automatically — the user is never left in a broken authenticated state.</w:t>
      </w:r>
    </w:p>
    <w:p>
      <w:pPr>
        <w:pBdr>
          <w:bottom w:val="single" w:color="E2E8F0" w:sz="6"/>
        </w:pBdr>
        <w:spacing w:after="160"/>
      </w:pPr>
    </w:p>
    <w:p>
      <w:pPr>
        <w:pStyle w:val="Heading1"/>
        <w:spacing w:after="160" w:before="400"/>
      </w:pPr>
      <w:r>
        <w:t xml:space="preserve">9. Dashboard Sections (All 10 Features)</w:t>
      </w:r>
      <w:r>
        <w:rPr>
          <w:rFonts w:ascii="Calibri" w:cs="Calibri" w:eastAsia="Calibri" w:hAnsi="Calibri"/>
          <w:b/>
          <w:bCs/>
          <w:color w:val="1E3A5F"/>
          <w:sz w:val="52"/>
          <w:szCs w:val="52"/>
        </w:rPr>
        <w:t xml:space="preserve">9. Dashboard Sections (All 10 Features)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shd w:color="1E293B" w:val="solid"/>
            <w:tcMar>
              <w:top w:type="dxa" w:w="80"/>
              <w:left w:type="dxa" w:w="100"/>
              <w:bottom w:type="dxa" w:w="80"/>
              <w:right w:type="dxa" w:w="100"/>
            </w:tcMar>
          </w:tcPr>
          <w:p>
            <w:pPr>
              <w:jc w:val="left"/>
            </w:pPr>
            <w:r>
              <w:rPr>
                <w:rFonts w:ascii="Calibri" w:cs="Calibri" w:eastAsia="Calibri" w:hAnsi="Calibri"/>
                <w:b/>
                <w:bCs/>
                <w:color w:val="FFFFFF"/>
                <w:sz w:val="18"/>
                <w:szCs w:val="18"/>
              </w:rPr>
              <w:t xml:space="preserve">Section</w:t>
            </w:r>
          </w:p>
        </w:tc>
        <w:tc>
          <w:tcPr>
            <w:shd w:color="1E293B" w:val="solid"/>
            <w:tcMar>
              <w:top w:type="dxa" w:w="80"/>
              <w:left w:type="dxa" w:w="100"/>
              <w:bottom w:type="dxa" w:w="80"/>
              <w:right w:type="dxa" w:w="100"/>
            </w:tcMar>
          </w:tcPr>
          <w:p>
            <w:pPr>
              <w:jc w:val="left"/>
            </w:pPr>
            <w:r>
              <w:rPr>
                <w:rFonts w:ascii="Calibri" w:cs="Calibri" w:eastAsia="Calibri" w:hAnsi="Calibri"/>
                <w:b/>
                <w:bCs/>
                <w:color w:val="FFFFFF"/>
                <w:sz w:val="18"/>
                <w:szCs w:val="18"/>
              </w:rPr>
              <w:t xml:space="preserve">Component</w:t>
            </w:r>
          </w:p>
        </w:tc>
        <w:tc>
          <w:tcPr>
            <w:shd w:color="1E293B" w:val="solid"/>
            <w:tcMar>
              <w:top w:type="dxa" w:w="80"/>
              <w:left w:type="dxa" w:w="100"/>
              <w:bottom w:type="dxa" w:w="80"/>
              <w:right w:type="dxa" w:w="100"/>
            </w:tcMar>
          </w:tcPr>
          <w:p>
            <w:pPr>
              <w:jc w:val="left"/>
            </w:pPr>
            <w:r>
              <w:rPr>
                <w:rFonts w:ascii="Calibri" w:cs="Calibri" w:eastAsia="Calibri" w:hAnsi="Calibri"/>
                <w:b/>
                <w:bCs/>
                <w:color w:val="FFFFFF"/>
                <w:sz w:val="18"/>
                <w:szCs w:val="18"/>
              </w:rPr>
              <w:t xml:space="preserve">What It Shows</w:t>
            </w:r>
          </w:p>
        </w:tc>
      </w:tr>
      <w:tr>
        <w:tc>
          <w:tcPr>
            <w:tcMar>
              <w:top w:type="dxa" w:w="60"/>
              <w:left w:type="dxa" w:w="100"/>
              <w:bottom w:type="dxa" w:w="60"/>
              <w:right w:type="dxa" w:w="100"/>
            </w:tcMar>
          </w:tcPr>
          <w:p>
            <w:r>
              <w:rPr>
                <w:color w:val="334155"/>
                <w:sz w:val="18"/>
                <w:szCs w:val="18"/>
              </w:rPr>
              <w:t xml:space="preserve">CFTC</w:t>
            </w:r>
          </w:p>
        </w:tc>
        <w:tc>
          <w:tcPr>
            <w:tcMar>
              <w:top w:type="dxa" w:w="60"/>
              <w:left w:type="dxa" w:w="100"/>
              <w:bottom w:type="dxa" w:w="60"/>
              <w:right w:type="dxa" w:w="100"/>
            </w:tcMar>
          </w:tcPr>
          <w:p>
            <w:r>
              <w:rPr>
                <w:color w:val="334155"/>
                <w:sz w:val="18"/>
                <w:szCs w:val="18"/>
              </w:rPr>
              <w:t xml:space="preserve">TabBar + TabPanel</w:t>
            </w:r>
          </w:p>
        </w:tc>
        <w:tc>
          <w:tcPr>
            <w:tcMar>
              <w:top w:type="dxa" w:w="60"/>
              <w:left w:type="dxa" w:w="100"/>
              <w:bottom w:type="dxa" w:w="60"/>
              <w:right w:type="dxa" w:w="100"/>
            </w:tcMar>
          </w:tcPr>
          <w:p>
            <w:r>
              <w:rPr>
                <w:color w:val="334155"/>
                <w:sz w:val="18"/>
                <w:szCs w:val="18"/>
              </w:rPr>
              <w:t xml:space="preserve">Multi-tab OHLC candlestick charts (Lightweight Charts) for each CFTC product. Users configure which products appear.</w:t>
            </w:r>
          </w:p>
        </w:tc>
      </w:tr>
      <w:tr>
        <w:tc>
          <w:tcPr>
            <w:shd w:color="EFF6FF" w:val="solid"/>
            <w:tcMar>
              <w:top w:type="dxa" w:w="60"/>
              <w:left w:type="dxa" w:w="100"/>
              <w:bottom w:type="dxa" w:w="60"/>
              <w:right w:type="dxa" w:w="100"/>
            </w:tcMar>
          </w:tcPr>
          <w:p>
            <w:r>
              <w:rPr>
                <w:color w:val="334155"/>
                <w:sz w:val="18"/>
                <w:szCs w:val="18"/>
              </w:rPr>
              <w:t xml:space="preserve">ICE</w:t>
            </w:r>
          </w:p>
        </w:tc>
        <w:tc>
          <w:tcPr>
            <w:shd w:color="EFF6FF" w:val="solid"/>
            <w:tcMar>
              <w:top w:type="dxa" w:w="60"/>
              <w:left w:type="dxa" w:w="100"/>
              <w:bottom w:type="dxa" w:w="60"/>
              <w:right w:type="dxa" w:w="100"/>
            </w:tcMar>
          </w:tcPr>
          <w:p>
            <w:r>
              <w:rPr>
                <w:color w:val="334155"/>
                <w:sz w:val="18"/>
                <w:szCs w:val="18"/>
              </w:rPr>
              <w:t xml:space="preserve">IceTabBar + IceTabPanel</w:t>
            </w:r>
          </w:p>
        </w:tc>
        <w:tc>
          <w:tcPr>
            <w:shd w:color="EFF6FF" w:val="solid"/>
            <w:tcMar>
              <w:top w:type="dxa" w:w="60"/>
              <w:left w:type="dxa" w:w="100"/>
              <w:bottom w:type="dxa" w:w="60"/>
              <w:right w:type="dxa" w:w="100"/>
            </w:tcMar>
          </w:tcPr>
          <w:p>
            <w:r>
              <w:rPr>
                <w:color w:val="334155"/>
                <w:sz w:val="18"/>
                <w:szCs w:val="18"/>
              </w:rPr>
              <w:t xml:space="preserve">Parallel chart workspace for ICE Europe products (London Cocoa, White Sugar, Robusta Coffee).</w:t>
            </w:r>
          </w:p>
        </w:tc>
      </w:tr>
      <w:tr>
        <w:tc>
          <w:tcPr>
            <w:tcMar>
              <w:top w:type="dxa" w:w="60"/>
              <w:left w:type="dxa" w:w="100"/>
              <w:bottom w:type="dxa" w:w="60"/>
              <w:right w:type="dxa" w:w="100"/>
            </w:tcMar>
          </w:tcPr>
          <w:p>
            <w:r>
              <w:rPr>
                <w:color w:val="334155"/>
                <w:sz w:val="18"/>
                <w:szCs w:val="18"/>
              </w:rPr>
              <w:t xml:space="preserve">Change in CFTC</w:t>
            </w:r>
          </w:p>
        </w:tc>
        <w:tc>
          <w:tcPr>
            <w:tcMar>
              <w:top w:type="dxa" w:w="60"/>
              <w:left w:type="dxa" w:w="100"/>
              <w:bottom w:type="dxa" w:w="60"/>
              <w:right w:type="dxa" w:w="100"/>
            </w:tcMar>
          </w:tcPr>
          <w:p>
            <w:r>
              <w:rPr>
                <w:color w:val="334155"/>
                <w:sz w:val="18"/>
                <w:szCs w:val="18"/>
              </w:rPr>
              <w:t xml:space="preserve">CftcWeeklyDashboard.jsx</w:t>
            </w:r>
          </w:p>
        </w:tc>
        <w:tc>
          <w:tcPr>
            <w:tcMar>
              <w:top w:type="dxa" w:w="60"/>
              <w:left w:type="dxa" w:w="100"/>
              <w:bottom w:type="dxa" w:w="60"/>
              <w:right w:type="dxa" w:w="100"/>
            </w:tcMar>
          </w:tcPr>
          <w:p>
            <w:r>
              <w:rPr>
                <w:color w:val="334155"/>
                <w:sz w:val="18"/>
                <w:szCs w:val="18"/>
              </w:rPr>
              <w:t xml:space="preserve">Full CFTC metric table: Last Week vs Current Week vs Change (badge). Every row has a 📊 chart button.</w:t>
            </w:r>
          </w:p>
        </w:tc>
      </w:tr>
      <w:tr>
        <w:tc>
          <w:tcPr>
            <w:shd w:color="EFF6FF" w:val="solid"/>
            <w:tcMar>
              <w:top w:type="dxa" w:w="60"/>
              <w:left w:type="dxa" w:w="100"/>
              <w:bottom w:type="dxa" w:w="60"/>
              <w:right w:type="dxa" w:w="100"/>
            </w:tcMar>
          </w:tcPr>
          <w:p>
            <w:r>
              <w:rPr>
                <w:color w:val="334155"/>
                <w:sz w:val="18"/>
                <w:szCs w:val="18"/>
              </w:rPr>
              <w:t xml:space="preserve">Change in ICE</w:t>
            </w:r>
          </w:p>
        </w:tc>
        <w:tc>
          <w:tcPr>
            <w:shd w:color="EFF6FF" w:val="solid"/>
            <w:tcMar>
              <w:top w:type="dxa" w:w="60"/>
              <w:left w:type="dxa" w:w="100"/>
              <w:bottom w:type="dxa" w:w="60"/>
              <w:right w:type="dxa" w:w="100"/>
            </w:tcMar>
          </w:tcPr>
          <w:p>
            <w:r>
              <w:rPr>
                <w:color w:val="334155"/>
                <w:sz w:val="18"/>
                <w:szCs w:val="18"/>
              </w:rPr>
              <w:t xml:space="preserve">IceDashboard.jsx</w:t>
            </w:r>
          </w:p>
        </w:tc>
        <w:tc>
          <w:tcPr>
            <w:shd w:color="EFF6FF" w:val="solid"/>
            <w:tcMar>
              <w:top w:type="dxa" w:w="60"/>
              <w:left w:type="dxa" w:w="100"/>
              <w:bottom w:type="dxa" w:w="60"/>
              <w:right w:type="dxa" w:w="100"/>
            </w:tcMar>
          </w:tcPr>
          <w:p>
            <w:r>
              <w:rPr>
                <w:color w:val="334155"/>
                <w:sz w:val="18"/>
                <w:szCs w:val="18"/>
              </w:rPr>
              <w:t xml:space="preserve">Identical layout to Change in CFTC but reads from ICE tables. Uses IceChartModal + IceComboChart.</w:t>
            </w:r>
          </w:p>
        </w:tc>
      </w:tr>
      <w:tr>
        <w:tc>
          <w:tcPr>
            <w:tcMar>
              <w:top w:type="dxa" w:w="60"/>
              <w:left w:type="dxa" w:w="100"/>
              <w:bottom w:type="dxa" w:w="60"/>
              <w:right w:type="dxa" w:w="100"/>
            </w:tcMar>
          </w:tcPr>
          <w:p>
            <w:r>
              <w:rPr>
                <w:color w:val="334155"/>
                <w:sz w:val="18"/>
                <w:szCs w:val="18"/>
              </w:rPr>
              <w:t xml:space="preserve">Seasonal CFTC</w:t>
            </w:r>
          </w:p>
        </w:tc>
        <w:tc>
          <w:tcPr>
            <w:tcMar>
              <w:top w:type="dxa" w:w="60"/>
              <w:left w:type="dxa" w:w="100"/>
              <w:bottom w:type="dxa" w:w="60"/>
              <w:right w:type="dxa" w:w="100"/>
            </w:tcMar>
          </w:tcPr>
          <w:p>
            <w:r>
              <w:rPr>
                <w:color w:val="334155"/>
                <w:sz w:val="18"/>
                <w:szCs w:val="18"/>
              </w:rPr>
              <w:t xml:space="preserve">SodDashboard.jsx</w:t>
            </w:r>
          </w:p>
        </w:tc>
        <w:tc>
          <w:tcPr>
            <w:tcMar>
              <w:top w:type="dxa" w:w="60"/>
              <w:left w:type="dxa" w:w="100"/>
              <w:bottom w:type="dxa" w:w="60"/>
              <w:right w:type="dxa" w:w="100"/>
            </w:tcMar>
          </w:tcPr>
          <w:p>
            <w:r>
              <w:rPr>
                <w:color w:val="334155"/>
                <w:sz w:val="18"/>
                <w:szCs w:val="18"/>
              </w:rPr>
              <w:t xml:space="preserve">Historical seasonal patterns in CFTC positioning by time of year.</w:t>
            </w:r>
          </w:p>
        </w:tc>
      </w:tr>
      <w:tr>
        <w:tc>
          <w:tcPr>
            <w:shd w:color="EFF6FF" w:val="solid"/>
            <w:tcMar>
              <w:top w:type="dxa" w:w="60"/>
              <w:left w:type="dxa" w:w="100"/>
              <w:bottom w:type="dxa" w:w="60"/>
              <w:right w:type="dxa" w:w="100"/>
            </w:tcMar>
          </w:tcPr>
          <w:p>
            <w:r>
              <w:rPr>
                <w:color w:val="334155"/>
                <w:sz w:val="18"/>
                <w:szCs w:val="18"/>
              </w:rPr>
              <w:t xml:space="preserve">Cocoa</w:t>
            </w:r>
          </w:p>
        </w:tc>
        <w:tc>
          <w:tcPr>
            <w:shd w:color="EFF6FF" w:val="solid"/>
            <w:tcMar>
              <w:top w:type="dxa" w:w="60"/>
              <w:left w:type="dxa" w:w="100"/>
              <w:bottom w:type="dxa" w:w="60"/>
              <w:right w:type="dxa" w:w="100"/>
            </w:tcMar>
          </w:tcPr>
          <w:p>
            <w:r>
              <w:rPr>
                <w:color w:val="334155"/>
                <w:sz w:val="18"/>
                <w:szCs w:val="18"/>
              </w:rPr>
              <w:t xml:space="preserve">CocoaDashboard.jsx</w:t>
            </w:r>
          </w:p>
        </w:tc>
        <w:tc>
          <w:tcPr>
            <w:shd w:color="EFF6FF" w:val="solid"/>
            <w:tcMar>
              <w:top w:type="dxa" w:w="60"/>
              <w:left w:type="dxa" w:w="100"/>
              <w:bottom w:type="dxa" w:w="60"/>
              <w:right w:type="dxa" w:w="100"/>
            </w:tcMar>
          </w:tcPr>
          <w:p>
            <w:r>
              <w:rPr>
                <w:color w:val="334155"/>
                <w:sz w:val="18"/>
                <w:szCs w:val="18"/>
              </w:rPr>
              <w:t xml:space="preserve">4 sub-sections: London Bags, US Bags, Ivory Coast Arrivals, London Stock by Origin. Data from OneDrive Excel files.</w:t>
            </w:r>
          </w:p>
        </w:tc>
      </w:tr>
      <w:tr>
        <w:tc>
          <w:tcPr>
            <w:tcMar>
              <w:top w:type="dxa" w:w="60"/>
              <w:left w:type="dxa" w:w="100"/>
              <w:bottom w:type="dxa" w:w="60"/>
              <w:right w:type="dxa" w:w="100"/>
            </w:tcMar>
          </w:tcPr>
          <w:p>
            <w:r>
              <w:rPr>
                <w:color w:val="334155"/>
                <w:sz w:val="18"/>
                <w:szCs w:val="18"/>
              </w:rPr>
              <w:t xml:space="preserve">Daily OI</w:t>
            </w:r>
          </w:p>
        </w:tc>
        <w:tc>
          <w:tcPr>
            <w:tcMar>
              <w:top w:type="dxa" w:w="60"/>
              <w:left w:type="dxa" w:w="100"/>
              <w:bottom w:type="dxa" w:w="60"/>
              <w:right w:type="dxa" w:w="100"/>
            </w:tcMar>
          </w:tcPr>
          <w:p>
            <w:r>
              <w:rPr>
                <w:color w:val="334155"/>
                <w:sz w:val="18"/>
                <w:szCs w:val="18"/>
              </w:rPr>
              <w:t xml:space="preserve">OIDashboard.jsx</w:t>
            </w:r>
          </w:p>
        </w:tc>
        <w:tc>
          <w:tcPr>
            <w:tcMar>
              <w:top w:type="dxa" w:w="60"/>
              <w:left w:type="dxa" w:w="100"/>
              <w:bottom w:type="dxa" w:w="60"/>
              <w:right w:type="dxa" w:w="100"/>
            </w:tcMar>
          </w:tcPr>
          <w:p>
            <w:r>
              <w:rPr>
                <w:color w:val="334155"/>
                <w:sz w:val="18"/>
                <w:szCs w:val="18"/>
              </w:rPr>
              <w:t xml:space="preserve">Open Interest screener across all tracked contracts. Daily snapshot view.</w:t>
            </w:r>
          </w:p>
        </w:tc>
      </w:tr>
      <w:tr>
        <w:tc>
          <w:tcPr>
            <w:shd w:color="EFF6FF" w:val="solid"/>
            <w:tcMar>
              <w:top w:type="dxa" w:w="60"/>
              <w:left w:type="dxa" w:w="100"/>
              <w:bottom w:type="dxa" w:w="60"/>
              <w:right w:type="dxa" w:w="100"/>
            </w:tcMar>
          </w:tcPr>
          <w:p>
            <w:r>
              <w:rPr>
                <w:color w:val="334155"/>
                <w:sz w:val="18"/>
                <w:szCs w:val="18"/>
              </w:rPr>
              <w:t xml:space="preserve">Historic OI</w:t>
            </w:r>
          </w:p>
        </w:tc>
        <w:tc>
          <w:tcPr>
            <w:shd w:color="EFF6FF" w:val="solid"/>
            <w:tcMar>
              <w:top w:type="dxa" w:w="60"/>
              <w:left w:type="dxa" w:w="100"/>
              <w:bottom w:type="dxa" w:w="60"/>
              <w:right w:type="dxa" w:w="100"/>
            </w:tcMar>
          </w:tcPr>
          <w:p>
            <w:r>
              <w:rPr>
                <w:color w:val="334155"/>
                <w:sz w:val="18"/>
                <w:szCs w:val="18"/>
              </w:rPr>
              <w:t xml:space="preserve">HistoricOIDashboard.jsx</w:t>
            </w:r>
          </w:p>
        </w:tc>
        <w:tc>
          <w:tcPr>
            <w:shd w:color="EFF6FF" w:val="solid"/>
            <w:tcMar>
              <w:top w:type="dxa" w:w="60"/>
              <w:left w:type="dxa" w:w="100"/>
              <w:bottom w:type="dxa" w:w="60"/>
              <w:right w:type="dxa" w:w="100"/>
            </w:tcMar>
          </w:tcPr>
          <w:p>
            <w:r>
              <w:rPr>
                <w:color w:val="334155"/>
                <w:sz w:val="18"/>
                <w:szCs w:val="18"/>
              </w:rPr>
              <w:t xml:space="preserve">Time-series chart of daily OI. Daily delta reconciled at contract level (expired-contract fix applied).</w:t>
            </w:r>
          </w:p>
        </w:tc>
      </w:tr>
      <w:tr>
        <w:tc>
          <w:tcPr>
            <w:tcMar>
              <w:top w:type="dxa" w:w="60"/>
              <w:left w:type="dxa" w:w="100"/>
              <w:bottom w:type="dxa" w:w="60"/>
              <w:right w:type="dxa" w:w="100"/>
            </w:tcMar>
          </w:tcPr>
          <w:p>
            <w:r>
              <w:rPr>
                <w:color w:val="334155"/>
                <w:sz w:val="18"/>
                <w:szCs w:val="18"/>
              </w:rPr>
              <w:t xml:space="preserve">Rolling Corr.</w:t>
            </w:r>
          </w:p>
        </w:tc>
        <w:tc>
          <w:tcPr>
            <w:tcMar>
              <w:top w:type="dxa" w:w="60"/>
              <w:left w:type="dxa" w:w="100"/>
              <w:bottom w:type="dxa" w:w="60"/>
              <w:right w:type="dxa" w:w="100"/>
            </w:tcMar>
          </w:tcPr>
          <w:p>
            <w:r>
              <w:rPr>
                <w:color w:val="334155"/>
                <w:sz w:val="18"/>
                <w:szCs w:val="18"/>
              </w:rPr>
              <w:t xml:space="preserve">RollingCorrelationDashboard.jsx</w:t>
            </w:r>
          </w:p>
        </w:tc>
        <w:tc>
          <w:tcPr>
            <w:tcMar>
              <w:top w:type="dxa" w:w="60"/>
              <w:left w:type="dxa" w:w="100"/>
              <w:bottom w:type="dxa" w:w="60"/>
              <w:right w:type="dxa" w:w="100"/>
            </w:tcMar>
          </w:tcPr>
          <w:p>
            <w:r>
              <w:rPr>
                <w:color w:val="334155"/>
                <w:sz w:val="18"/>
                <w:szCs w:val="18"/>
              </w:rPr>
              <w:t xml:space="preserve">Visualises Pearson W=15 rolling correlation between outright contracts and their calendar spreads.</w:t>
            </w:r>
          </w:p>
        </w:tc>
      </w:tr>
      <w:tr>
        <w:tc>
          <w:tcPr>
            <w:shd w:color="EFF6FF" w:val="solid"/>
            <w:tcMar>
              <w:top w:type="dxa" w:w="60"/>
              <w:left w:type="dxa" w:w="100"/>
              <w:bottom w:type="dxa" w:w="60"/>
              <w:right w:type="dxa" w:w="100"/>
            </w:tcMar>
          </w:tcPr>
          <w:p>
            <w:r>
              <w:rPr>
                <w:color w:val="334155"/>
                <w:sz w:val="18"/>
                <w:szCs w:val="18"/>
              </w:rPr>
              <w:t xml:space="preserve">Vol. Seasonality</w:t>
            </w:r>
          </w:p>
        </w:tc>
        <w:tc>
          <w:tcPr>
            <w:shd w:color="EFF6FF" w:val="solid"/>
            <w:tcMar>
              <w:top w:type="dxa" w:w="60"/>
              <w:left w:type="dxa" w:w="100"/>
              <w:bottom w:type="dxa" w:w="60"/>
              <w:right w:type="dxa" w:w="100"/>
            </w:tcMar>
          </w:tcPr>
          <w:p>
            <w:r>
              <w:rPr>
                <w:color w:val="334155"/>
                <w:sz w:val="18"/>
                <w:szCs w:val="18"/>
              </w:rPr>
              <w:t xml:space="preserve">VolSeasonalityDashboard.jsx</w:t>
            </w:r>
          </w:p>
        </w:tc>
        <w:tc>
          <w:tcPr>
            <w:shd w:color="EFF6FF" w:val="solid"/>
            <w:tcMar>
              <w:top w:type="dxa" w:w="60"/>
              <w:left w:type="dxa" w:w="100"/>
              <w:bottom w:type="dxa" w:w="60"/>
              <w:right w:type="dxa" w:w="100"/>
            </w:tcMar>
          </w:tcPr>
          <w:p>
            <w:r>
              <w:rPr>
                <w:color w:val="334155"/>
                <w:sz w:val="18"/>
                <w:szCs w:val="18"/>
              </w:rPr>
              <w:t xml:space="preserve">Volume seasonality analysis charts.</w:t>
            </w:r>
          </w:p>
        </w:tc>
      </w:tr>
    </w:tbl>
    <w:p>
      <w:pPr>
        <w:spacing w:after="160"/>
      </w:pPr>
    </w:p>
    <w:p>
      <w:pPr>
        <w:pStyle w:val="Heading3"/>
        <w:spacing w:after="80" w:before="240"/>
      </w:pPr>
      <w:r>
        <w:rPr>
          <w:rFonts w:ascii="Calibri" w:cs="Calibri" w:eastAsia="Calibri" w:hAnsi="Calibri"/>
          <w:b/>
          <w:bCs/>
          <w:color w:val="1E3A5F"/>
          <w:sz w:val="28"/>
          <w:szCs w:val="28"/>
        </w:rPr>
        <w:t xml:space="preserve">Chart Modal Architecture (Change in CFTC / ICE)</w:t>
      </w:r>
    </w:p>
    <w:p>
      <w:pPr>
        <w:spacing w:after="100" w:before="40"/>
      </w:pPr>
      <w:r>
        <w:rPr>
          <w:color w:val="0F172A"/>
          <w:sz w:val="20"/>
          <w:szCs w:val="20"/>
        </w:rPr>
        <w:t xml:space="preserve">When a user clicks the 📊 chart button on any metric row:</w:t>
      </w:r>
    </w:p>
    <w:p>
      <w:pPr>
        <w:pStyle w:val="ListParagraph"/>
        <w:numPr>
          <w:ilvl w:val="0"/>
          <w:numId w:val="1"/>
        </w:numPr>
        <w:spacing w:after="60"/>
      </w:pPr>
      <w:r>
        <w:rPr>
          <w:color w:val="334155"/>
          <w:sz w:val="20"/>
          <w:szCs w:val="20"/>
        </w:rPr>
        <w:t xml:space="preserve">1. MetricRow passes the itemId and label to the parent dashboard via onOpenChart callback</w:t>
      </w:r>
    </w:p>
    <w:p>
      <w:pPr>
        <w:pStyle w:val="ListParagraph"/>
        <w:numPr>
          <w:ilvl w:val="0"/>
          <w:numId w:val="1"/>
        </w:numPr>
        <w:spacing w:after="60"/>
      </w:pPr>
      <w:r>
        <w:rPr>
          <w:color w:val="334155"/>
          <w:sz w:val="20"/>
          <w:szCs w:val="20"/>
        </w:rPr>
        <w:t xml:space="preserve">2. The dashboard opens the chart modal with { isOpen: true, metricId, label }</w:t>
      </w:r>
    </w:p>
    <w:p>
      <w:pPr>
        <w:pStyle w:val="ListParagraph"/>
        <w:numPr>
          <w:ilvl w:val="0"/>
          <w:numId w:val="1"/>
        </w:numPr>
        <w:spacing w:after="60"/>
      </w:pPr>
      <w:r>
        <w:rPr>
          <w:color w:val="334155"/>
          <w:sz w:val="20"/>
          <w:szCs w:val="20"/>
        </w:rPr>
        <w:t xml:space="preserve">3. CftcChartModal (or IceChartModal) fetches all data for the selected product from the API</w:t>
      </w:r>
    </w:p>
    <w:p>
      <w:pPr>
        <w:pStyle w:val="ListParagraph"/>
        <w:numPr>
          <w:ilvl w:val="0"/>
          <w:numId w:val="1"/>
        </w:numPr>
        <w:spacing w:after="60"/>
      </w:pPr>
      <w:r>
        <w:rPr>
          <w:color w:val="334155"/>
          <w:sz w:val="20"/>
          <w:szCs w:val="20"/>
        </w:rPr>
        <w:t xml:space="preserve">4. CftcComboChart (or IceComboChart) filters rows to 2026-01-01+, sorts ascending, and computes:</w:t>
      </w:r>
    </w:p>
    <w:p>
      <w:pPr>
        <w:pStyle w:val="ListParagraph"/>
        <w:numPr>
          <w:ilvl w:val="1"/>
          <w:numId w:val="1"/>
        </w:numPr>
        <w:spacing w:after="60"/>
      </w:pPr>
      <w:r>
        <w:rPr>
          <w:color w:val="334155"/>
          <w:sz w:val="20"/>
          <w:szCs w:val="20"/>
        </w:rPr>
        <w:t xml:space="preserve">   — absoluteVal: the metric value for that week (direct DB column or computed formula)</w:t>
      </w:r>
    </w:p>
    <w:p>
      <w:pPr>
        <w:pStyle w:val="ListParagraph"/>
        <w:numPr>
          <w:ilvl w:val="1"/>
          <w:numId w:val="1"/>
        </w:numPr>
        <w:spacing w:after="60"/>
      </w:pPr>
      <w:r>
        <w:rPr>
          <w:color w:val="334155"/>
          <w:sz w:val="20"/>
          <w:szCs w:val="20"/>
        </w:rPr>
        <w:t xml:space="preserve">   — weeklyChange: current absoluteVal minus previous week absoluteVal</w:t>
      </w:r>
    </w:p>
    <w:p>
      <w:pPr>
        <w:pStyle w:val="ListParagraph"/>
        <w:numPr>
          <w:ilvl w:val="0"/>
          <w:numId w:val="1"/>
        </w:numPr>
        <w:spacing w:after="60"/>
      </w:pPr>
      <w:r>
        <w:rPr>
          <w:color w:val="334155"/>
          <w:sz w:val="20"/>
          <w:szCs w:val="20"/>
        </w:rPr>
        <w:t xml:space="preserve">5. Recharts ComposedChart renders the amber line (absolute, left axis) + coloured bars (weekly Δ, right axis)</w:t>
      </w:r>
    </w:p>
    <w:p>
      <w:pPr>
        <w:pStyle w:val="ListParagraph"/>
        <w:numPr>
          <w:ilvl w:val="0"/>
          <w:numId w:val="1"/>
        </w:numPr>
        <w:spacing w:after="60"/>
      </w:pPr>
      <w:r>
        <w:rPr>
          <w:color w:val="334155"/>
          <w:sz w:val="20"/>
          <w:szCs w:val="20"/>
        </w:rPr>
        <w:t xml:space="preserve">6. Three KPI cards show: Latest Value, Weekly Change (coloured), Data Points (N weeks)</w:t>
      </w:r>
    </w:p>
    <w:p>
      <w:pPr>
        <w:pBdr>
          <w:left w:val="thick" w:color="B45309" w:sz="12"/>
        </w:pBdr>
        <w:spacing w:after="120" w:before="80"/>
        <w:ind w:left="431"/>
      </w:pPr>
      <w:r>
        <w:rPr>
          <w:i/>
          <w:iCs/>
          <w:color w:val="B45309"/>
          <w:sz w:val="18"/>
          <w:szCs w:val="18"/>
        </w:rPr>
        <w:t xml:space="preserve">📌  The CFTC modal fetches from /api/cftc-data. The ICE modal fetches from /api/ice-data. This was the key fix — the original ICE modal incorrectly called the CFTC endpoint, causing the "Failed to fetch" error.</w:t>
      </w:r>
    </w:p>
    <w:p>
      <w:pPr>
        <w:pBdr>
          <w:bottom w:val="single" w:color="E2E8F0" w:sz="6"/>
        </w:pBdr>
        <w:spacing w:after="160"/>
      </w:pPr>
    </w:p>
    <w:p>
      <w:pPr>
        <w:pStyle w:val="Heading1"/>
        <w:spacing w:after="160" w:before="400"/>
      </w:pPr>
      <w:r>
        <w:t xml:space="preserve">10. Microsoft Teams Alert System</w:t>
      </w:r>
      <w:r>
        <w:rPr>
          <w:rFonts w:ascii="Calibri" w:cs="Calibri" w:eastAsia="Calibri" w:hAnsi="Calibri"/>
          <w:b/>
          <w:bCs/>
          <w:color w:val="1E3A5F"/>
          <w:sz w:val="52"/>
          <w:szCs w:val="52"/>
        </w:rPr>
        <w:t xml:space="preserve">10. Microsoft Teams Alert System</w:t>
      </w:r>
    </w:p>
    <w:p>
      <w:pPr>
        <w:pStyle w:val="Heading3"/>
        <w:spacing w:after="80" w:before="240"/>
      </w:pPr>
      <w:r>
        <w:rPr>
          <w:rFonts w:ascii="Calibri" w:cs="Calibri" w:eastAsia="Calibri" w:hAnsi="Calibri"/>
          <w:b/>
          <w:bCs/>
          <w:color w:val="1E3A5F"/>
          <w:sz w:val="28"/>
          <w:szCs w:val="28"/>
        </w:rPr>
        <w:t xml:space="preserve">Mechanism</w:t>
      </w:r>
    </w:p>
    <w:p>
      <w:pPr>
        <w:spacing w:after="100" w:before="40"/>
      </w:pPr>
      <w:r>
        <w:rPr>
          <w:color w:val="0F172A"/>
          <w:sz w:val="20"/>
          <w:szCs w:val="20"/>
        </w:rPr>
        <w:t xml:space="preserve">Microsoft Teams supports Incoming Webhooks — a URL that accepts JSON POST requests. The payload must follow the Adaptive Card JSON schema (version 1.4). Our alert services build these JSON payloads programmatically and POST them using Axios.</w:t>
      </w:r>
    </w:p>
    <w:p>
      <w:pPr>
        <w:pStyle w:val="Heading3"/>
        <w:spacing w:after="80" w:before="240"/>
      </w:pPr>
      <w:r>
        <w:rPr>
          <w:rFonts w:ascii="Calibri" w:cs="Calibri" w:eastAsia="Calibri" w:hAnsi="Calibri"/>
          <w:b/>
          <w:bCs/>
          <w:color w:val="1E3A5F"/>
          <w:sz w:val="28"/>
          <w:szCs w:val="28"/>
        </w:rPr>
        <w:t xml:space="preserve">CFTC ATH/ATL Alerts</w:t>
      </w:r>
    </w:p>
    <w:p>
      <w:pPr>
        <w:spacing w:after="100" w:before="40"/>
      </w:pPr>
      <w:r>
        <w:rPr>
          <w:color w:val="0F172A"/>
          <w:sz w:val="20"/>
          <w:szCs w:val="20"/>
        </w:rPr>
        <w:t xml:space="preserve">After every successful CFTC data ingestion, cftcAlertService.js runs. It queries the full historical dataset for each CFTC metric across all tracked products, compares the latest weekly value against the all-time maximum and minimum, and fires an alert when a new ATH or ATL is detected. Deduplication uses the cftc_alert_log table.</w:t>
      </w:r>
    </w:p>
    <w:p>
      <w:pPr>
        <w:pStyle w:val="Heading3"/>
        <w:spacing w:after="80" w:before="240"/>
      </w:pPr>
      <w:r>
        <w:rPr>
          <w:rFonts w:ascii="Calibri" w:cs="Calibri" w:eastAsia="Calibri" w:hAnsi="Calibri"/>
          <w:b/>
          <w:bCs/>
          <w:color w:val="1E3A5F"/>
          <w:sz w:val="28"/>
          <w:szCs w:val="28"/>
        </w:rPr>
        <w:t xml:space="preserve">Rho Monitor Alerts</w:t>
      </w:r>
    </w:p>
    <w:p>
      <w:pPr>
        <w:spacing w:after="100" w:before="40"/>
      </w:pPr>
      <w:r>
        <w:rPr>
          <w:color w:val="0F172A"/>
          <w:sz w:val="20"/>
          <w:szCs w:val="20"/>
        </w:rPr>
        <w:t xml:space="preserve">runRhoAlertCheck() scans all 63 outright-spread pairs. For each pair:</w:t>
      </w:r>
    </w:p>
    <w:p>
      <w:pPr>
        <w:pStyle w:val="ListParagraph"/>
        <w:numPr>
          <w:ilvl w:val="0"/>
          <w:numId w:val="1"/>
        </w:numPr>
        <w:spacing w:after="60"/>
      </w:pPr>
      <w:r>
        <w:rPr>
          <w:color w:val="334155"/>
          <w:sz w:val="20"/>
          <w:szCs w:val="20"/>
        </w:rPr>
        <w:t xml:space="preserve">Fetch OHLC data from the internal QH API (with retry logic for 429 rate limits)</w:t>
      </w:r>
    </w:p>
    <w:p>
      <w:pPr>
        <w:pStyle w:val="ListParagraph"/>
        <w:numPr>
          <w:ilvl w:val="0"/>
          <w:numId w:val="1"/>
        </w:numPr>
        <w:spacing w:after="60"/>
      </w:pPr>
      <w:r>
        <w:rPr>
          <w:color w:val="334155"/>
          <w:sz w:val="20"/>
          <w:szCs w:val="20"/>
        </w:rPr>
        <w:t xml:space="preserve">Align both series by matching trading dates</w:t>
      </w:r>
    </w:p>
    <w:p>
      <w:pPr>
        <w:pStyle w:val="ListParagraph"/>
        <w:numPr>
          <w:ilvl w:val="0"/>
          <w:numId w:val="1"/>
        </w:numPr>
        <w:spacing w:after="60"/>
      </w:pPr>
      <w:r>
        <w:rPr>
          <w:color w:val="334155"/>
          <w:sz w:val="20"/>
          <w:szCs w:val="20"/>
        </w:rPr>
        <w:t xml:space="preserve">Compute daily % returns for each series</w:t>
      </w:r>
    </w:p>
    <w:p>
      <w:pPr>
        <w:pStyle w:val="ListParagraph"/>
        <w:numPr>
          <w:ilvl w:val="0"/>
          <w:numId w:val="1"/>
        </w:numPr>
        <w:spacing w:after="60"/>
      </w:pPr>
      <w:r>
        <w:rPr>
          <w:color w:val="334155"/>
          <w:sz w:val="20"/>
          <w:szCs w:val="20"/>
        </w:rPr>
        <w:t xml:space="preserve">Apply Pearson rolling correlation with W=15 window across all matching dates</w:t>
      </w:r>
    </w:p>
    <w:p>
      <w:pPr>
        <w:pStyle w:val="ListParagraph"/>
        <w:numPr>
          <w:ilvl w:val="0"/>
          <w:numId w:val="1"/>
        </w:numPr>
        <w:spacing w:after="60"/>
      </w:pPr>
      <w:r>
        <w:rPr>
          <w:color w:val="334155"/>
          <w:sz w:val="20"/>
          <w:szCs w:val="20"/>
        </w:rPr>
        <w:t xml:space="preserve">Check if: max(rho in last 14 days) &gt;= 80 AND current rho &lt;= 50</w:t>
      </w:r>
    </w:p>
    <w:p>
      <w:pPr>
        <w:pStyle w:val="ListParagraph"/>
        <w:numPr>
          <w:ilvl w:val="0"/>
          <w:numId w:val="1"/>
        </w:numPr>
        <w:spacing w:after="60"/>
      </w:pPr>
      <w:r>
        <w:rPr>
          <w:color w:val="334155"/>
          <w:sz w:val="20"/>
          <w:szCs w:val="20"/>
        </w:rPr>
        <w:t xml:space="preserve">If alert condition met and not in 7-day silence: add to alertsToFire list</w:t>
      </w:r>
    </w:p>
    <w:p>
      <w:pPr>
        <w:pStyle w:val="ListParagraph"/>
        <w:numPr>
          <w:ilvl w:val="0"/>
          <w:numId w:val="1"/>
        </w:numPr>
        <w:spacing w:after="60"/>
      </w:pPr>
      <w:r>
        <w:rPr>
          <w:color w:val="334155"/>
          <w:sz w:val="20"/>
          <w:szCs w:val="20"/>
        </w:rPr>
        <w:t xml:space="preserve">Log to rho_alert_log to start 7-day silence window</w:t>
      </w:r>
    </w:p>
    <w:p>
      <w:pPr>
        <w:spacing w:after="100" w:before="40"/>
      </w:pPr>
      <w:r>
        <w:rPr>
          <w:color w:val="0F172A"/>
          <w:sz w:val="20"/>
          <w:szCs w:val="20"/>
        </w:rPr>
        <w:t xml:space="preserve">All collected alerts are then sent as chunked Adaptive Cards (max 25 items per card, to stay within Teams payload limits).</w:t>
      </w:r>
    </w:p>
    <w:p>
      <w:pPr>
        <w:pStyle w:val="Heading3"/>
        <w:spacing w:after="80" w:before="240"/>
      </w:pPr>
      <w:r>
        <w:rPr>
          <w:rFonts w:ascii="Calibri" w:cs="Calibri" w:eastAsia="Calibri" w:hAnsi="Calibri"/>
          <w:b/>
          <w:bCs/>
          <w:color w:val="1E3A5F"/>
          <w:sz w:val="28"/>
          <w:szCs w:val="28"/>
        </w:rPr>
        <w:t xml:space="preserve">Teams Card Format</w:t>
      </w:r>
    </w:p>
    <w:p>
      <w:pPr>
        <w:spacing w:after="100" w:before="40"/>
      </w:pPr>
      <w:r>
        <w:rPr>
          <w:color w:val="0F172A"/>
          <w:sz w:val="20"/>
          <w:szCs w:val="20"/>
        </w:rPr>
        <w:t xml:space="preserve">Each Adaptive Card uses a ColumnSet layout with 4 columns: Product | Spread | Peak Rho (14d) | Current Rho. Peak rho is shown in green, current rho in red with a ← BREAK label.</w:t>
      </w:r>
    </w:p>
    <w:p>
      <w:pPr>
        <w:pBdr>
          <w:bottom w:val="single" w:color="E2E8F0" w:sz="6"/>
        </w:pBdr>
        <w:spacing w:after="160"/>
      </w:pPr>
    </w:p>
    <w:p>
      <w:pPr>
        <w:pStyle w:val="Heading1"/>
        <w:spacing w:after="160" w:before="400"/>
      </w:pPr>
      <w:r>
        <w:t xml:space="preserve">11. Deployment &amp; Process Management</w:t>
      </w:r>
      <w:r>
        <w:rPr>
          <w:rFonts w:ascii="Calibri" w:cs="Calibri" w:eastAsia="Calibri" w:hAnsi="Calibri"/>
          <w:b/>
          <w:bCs/>
          <w:color w:val="1E3A5F"/>
          <w:sz w:val="52"/>
          <w:szCs w:val="52"/>
        </w:rPr>
        <w:t xml:space="preserve">11. Deployment &amp; Process Management</w:t>
      </w:r>
    </w:p>
    <w:p>
      <w:pPr>
        <w:pStyle w:val="Heading3"/>
        <w:spacing w:after="80" w:before="240"/>
      </w:pPr>
      <w:r>
        <w:rPr>
          <w:rFonts w:ascii="Calibri" w:cs="Calibri" w:eastAsia="Calibri" w:hAnsi="Calibri"/>
          <w:b/>
          <w:bCs/>
          <w:color w:val="1E3A5F"/>
          <w:sz w:val="28"/>
          <w:szCs w:val="28"/>
        </w:rPr>
        <w:t xml:space="preserve">PM2 Process 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shd w:color="1E293B" w:val="solid"/>
            <w:tcMar>
              <w:top w:type="dxa" w:w="80"/>
              <w:left w:type="dxa" w:w="100"/>
              <w:bottom w:type="dxa" w:w="80"/>
              <w:right w:type="dxa" w:w="100"/>
            </w:tcMar>
          </w:tcPr>
          <w:p>
            <w:pPr>
              <w:jc w:val="left"/>
            </w:pPr>
            <w:r>
              <w:rPr>
                <w:rFonts w:ascii="Calibri" w:cs="Calibri" w:eastAsia="Calibri" w:hAnsi="Calibri"/>
                <w:b/>
                <w:bCs/>
                <w:color w:val="FFFFFF"/>
                <w:sz w:val="18"/>
                <w:szCs w:val="18"/>
              </w:rPr>
              <w:t xml:space="preserve">ID</w:t>
            </w:r>
          </w:p>
        </w:tc>
        <w:tc>
          <w:tcPr>
            <w:shd w:color="1E293B" w:val="solid"/>
            <w:tcMar>
              <w:top w:type="dxa" w:w="80"/>
              <w:left w:type="dxa" w:w="100"/>
              <w:bottom w:type="dxa" w:w="80"/>
              <w:right w:type="dxa" w:w="100"/>
            </w:tcMar>
          </w:tcPr>
          <w:p>
            <w:pPr>
              <w:jc w:val="left"/>
            </w:pPr>
            <w:r>
              <w:rPr>
                <w:rFonts w:ascii="Calibri" w:cs="Calibri" w:eastAsia="Calibri" w:hAnsi="Calibri"/>
                <w:b/>
                <w:bCs/>
                <w:color w:val="FFFFFF"/>
                <w:sz w:val="18"/>
                <w:szCs w:val="18"/>
              </w:rPr>
              <w:t xml:space="preserve">Name</w:t>
            </w:r>
          </w:p>
        </w:tc>
        <w:tc>
          <w:tcPr>
            <w:shd w:color="1E293B" w:val="solid"/>
            <w:tcMar>
              <w:top w:type="dxa" w:w="80"/>
              <w:left w:type="dxa" w:w="100"/>
              <w:bottom w:type="dxa" w:w="80"/>
              <w:right w:type="dxa" w:w="100"/>
            </w:tcMar>
          </w:tcPr>
          <w:p>
            <w:pPr>
              <w:jc w:val="left"/>
            </w:pPr>
            <w:r>
              <w:rPr>
                <w:rFonts w:ascii="Calibri" w:cs="Calibri" w:eastAsia="Calibri" w:hAnsi="Calibri"/>
                <w:b/>
                <w:bCs/>
                <w:color w:val="FFFFFF"/>
                <w:sz w:val="18"/>
                <w:szCs w:val="18"/>
              </w:rPr>
              <w:t xml:space="preserve">What It Runs</w:t>
            </w:r>
          </w:p>
        </w:tc>
        <w:tc>
          <w:tcPr>
            <w:shd w:color="1E293B" w:val="solid"/>
            <w:tcMar>
              <w:top w:type="dxa" w:w="80"/>
              <w:left w:type="dxa" w:w="100"/>
              <w:bottom w:type="dxa" w:w="80"/>
              <w:right w:type="dxa" w:w="100"/>
            </w:tcMar>
          </w:tcPr>
          <w:p>
            <w:pPr>
              <w:jc w:val="left"/>
            </w:pPr>
            <w:r>
              <w:rPr>
                <w:rFonts w:ascii="Calibri" w:cs="Calibri" w:eastAsia="Calibri" w:hAnsi="Calibri"/>
                <w:b/>
                <w:bCs/>
                <w:color w:val="FFFFFF"/>
                <w:sz w:val="18"/>
                <w:szCs w:val="18"/>
              </w:rPr>
              <w:t xml:space="preserve">Port</w:t>
            </w:r>
          </w:p>
        </w:tc>
      </w:tr>
      <w:tr>
        <w:tc>
          <w:tcPr>
            <w:tcMar>
              <w:top w:type="dxa" w:w="60"/>
              <w:left w:type="dxa" w:w="100"/>
              <w:bottom w:type="dxa" w:w="60"/>
              <w:right w:type="dxa" w:w="100"/>
            </w:tcMar>
          </w:tcPr>
          <w:p>
            <w:r>
              <w:rPr>
                <w:color w:val="334155"/>
                <w:sz w:val="18"/>
                <w:szCs w:val="18"/>
              </w:rPr>
              <w:t xml:space="preserve">0</w:t>
            </w:r>
          </w:p>
        </w:tc>
        <w:tc>
          <w:tcPr>
            <w:tcMar>
              <w:top w:type="dxa" w:w="60"/>
              <w:left w:type="dxa" w:w="100"/>
              <w:bottom w:type="dxa" w:w="60"/>
              <w:right w:type="dxa" w:w="100"/>
            </w:tcMar>
          </w:tcPr>
          <w:p>
            <w:r>
              <w:rPr>
                <w:color w:val="334155"/>
                <w:sz w:val="18"/>
                <w:szCs w:val="18"/>
              </w:rPr>
              <w:t xml:space="preserve">backend</w:t>
            </w:r>
          </w:p>
        </w:tc>
        <w:tc>
          <w:tcPr>
            <w:tcMar>
              <w:top w:type="dxa" w:w="60"/>
              <w:left w:type="dxa" w:w="100"/>
              <w:bottom w:type="dxa" w:w="60"/>
              <w:right w:type="dxa" w:w="100"/>
            </w:tcMar>
          </w:tcPr>
          <w:p>
            <w:r>
              <w:rPr>
                <w:color w:val="334155"/>
                <w:sz w:val="18"/>
                <w:szCs w:val="18"/>
              </w:rPr>
              <w:t xml:space="preserve">node server/index.js — Express API + static file server + all cron jobs</w:t>
            </w:r>
          </w:p>
        </w:tc>
        <w:tc>
          <w:tcPr>
            <w:tcMar>
              <w:top w:type="dxa" w:w="60"/>
              <w:left w:type="dxa" w:w="100"/>
              <w:bottom w:type="dxa" w:w="60"/>
              <w:right w:type="dxa" w:w="100"/>
            </w:tcMar>
          </w:tcPr>
          <w:p>
            <w:r>
              <w:rPr>
                <w:color w:val="334155"/>
                <w:sz w:val="18"/>
                <w:szCs w:val="18"/>
              </w:rPr>
              <w:t xml:space="preserve">3002</w:t>
            </w:r>
          </w:p>
        </w:tc>
      </w:tr>
      <w:tr>
        <w:tc>
          <w:tcPr>
            <w:shd w:color="EFF6FF" w:val="solid"/>
            <w:tcMar>
              <w:top w:type="dxa" w:w="60"/>
              <w:left w:type="dxa" w:w="100"/>
              <w:bottom w:type="dxa" w:w="60"/>
              <w:right w:type="dxa" w:w="100"/>
            </w:tcMar>
          </w:tcPr>
          <w:p>
            <w:r>
              <w:rPr>
                <w:color w:val="334155"/>
                <w:sz w:val="18"/>
                <w:szCs w:val="18"/>
              </w:rPr>
              <w:t xml:space="preserve">2</w:t>
            </w:r>
          </w:p>
        </w:tc>
        <w:tc>
          <w:tcPr>
            <w:shd w:color="EFF6FF" w:val="solid"/>
            <w:tcMar>
              <w:top w:type="dxa" w:w="60"/>
              <w:left w:type="dxa" w:w="100"/>
              <w:bottom w:type="dxa" w:w="60"/>
              <w:right w:type="dxa" w:w="100"/>
            </w:tcMar>
          </w:tcPr>
          <w:p>
            <w:r>
              <w:rPr>
                <w:color w:val="334155"/>
                <w:sz w:val="18"/>
                <w:szCs w:val="18"/>
              </w:rPr>
              <w:t xml:space="preserve">frontend</w:t>
            </w:r>
          </w:p>
        </w:tc>
        <w:tc>
          <w:tcPr>
            <w:shd w:color="EFF6FF" w:val="solid"/>
            <w:tcMar>
              <w:top w:type="dxa" w:w="60"/>
              <w:left w:type="dxa" w:w="100"/>
              <w:bottom w:type="dxa" w:w="60"/>
              <w:right w:type="dxa" w:w="100"/>
            </w:tcMar>
          </w:tcPr>
          <w:p>
            <w:r>
              <w:rPr>
                <w:color w:val="334155"/>
                <w:sz w:val="18"/>
                <w:szCs w:val="18"/>
              </w:rPr>
              <w:t xml:space="preserve">Vite dev/preview server (used only during development)</w:t>
            </w:r>
          </w:p>
        </w:tc>
        <w:tc>
          <w:tcPr>
            <w:shd w:color="EFF6FF" w:val="solid"/>
            <w:tcMar>
              <w:top w:type="dxa" w:w="60"/>
              <w:left w:type="dxa" w:w="100"/>
              <w:bottom w:type="dxa" w:w="60"/>
              <w:right w:type="dxa" w:w="100"/>
            </w:tcMar>
          </w:tcPr>
          <w:p>
            <w:r>
              <w:rPr>
                <w:color w:val="334155"/>
                <w:sz w:val="18"/>
                <w:szCs w:val="18"/>
              </w:rPr>
              <w:t xml:space="preserve">5173</w:t>
            </w:r>
          </w:p>
        </w:tc>
      </w:tr>
      <w:tr>
        <w:tc>
          <w:tcPr>
            <w:tcMar>
              <w:top w:type="dxa" w:w="60"/>
              <w:left w:type="dxa" w:w="100"/>
              <w:bottom w:type="dxa" w:w="60"/>
              <w:right w:type="dxa" w:w="100"/>
            </w:tcMar>
          </w:tcPr>
          <w:p>
            <w:r>
              <w:rPr>
                <w:color w:val="334155"/>
                <w:sz w:val="18"/>
                <w:szCs w:val="18"/>
              </w:rPr>
              <w:t xml:space="preserve">3</w:t>
            </w:r>
          </w:p>
        </w:tc>
        <w:tc>
          <w:tcPr>
            <w:tcMar>
              <w:top w:type="dxa" w:w="60"/>
              <w:left w:type="dxa" w:w="100"/>
              <w:bottom w:type="dxa" w:w="60"/>
              <w:right w:type="dxa" w:w="100"/>
            </w:tcMar>
          </w:tcPr>
          <w:p>
            <w:r>
              <w:rPr>
                <w:color w:val="334155"/>
                <w:sz w:val="18"/>
                <w:szCs w:val="18"/>
              </w:rPr>
              <w:t xml:space="preserve">teams-macro-card</w:t>
            </w:r>
          </w:p>
        </w:tc>
        <w:tc>
          <w:tcPr>
            <w:tcMar>
              <w:top w:type="dxa" w:w="60"/>
              <w:left w:type="dxa" w:w="100"/>
              <w:bottom w:type="dxa" w:w="60"/>
              <w:right w:type="dxa" w:w="100"/>
            </w:tcMar>
          </w:tcPr>
          <w:p>
            <w:r>
              <w:rPr>
                <w:color w:val="334155"/>
                <w:sz w:val="18"/>
                <w:szCs w:val="18"/>
              </w:rPr>
              <w:t xml:space="preserve">Separate Teams macro brief service (daily 08:00 AM market brief)</w:t>
            </w:r>
          </w:p>
        </w:tc>
        <w:tc>
          <w:tcPr>
            <w:tcMar>
              <w:top w:type="dxa" w:w="60"/>
              <w:left w:type="dxa" w:w="100"/>
              <w:bottom w:type="dxa" w:w="60"/>
              <w:right w:type="dxa" w:w="100"/>
            </w:tcMar>
          </w:tcPr>
          <w:p>
            <w:r>
              <w:rPr>
                <w:color w:val="334155"/>
                <w:sz w:val="18"/>
                <w:szCs w:val="18"/>
              </w:rPr>
              <w:t xml:space="preserve">—</w:t>
            </w:r>
          </w:p>
        </w:tc>
      </w:tr>
    </w:tbl>
    <w:p>
      <w:pPr>
        <w:spacing w:after="160"/>
      </w:pPr>
    </w:p>
    <w:p>
      <w:pPr>
        <w:pStyle w:val="Heading3"/>
        <w:spacing w:after="80" w:before="240"/>
      </w:pPr>
      <w:r>
        <w:rPr>
          <w:rFonts w:ascii="Calibri" w:cs="Calibri" w:eastAsia="Calibri" w:hAnsi="Calibri"/>
          <w:b/>
          <w:bCs/>
          <w:color w:val="1E3A5F"/>
          <w:sz w:val="28"/>
          <w:szCs w:val="28"/>
        </w:rPr>
        <w:t xml:space="preserve">Build and Deploy Sequence</w:t>
      </w:r>
    </w:p>
    <w:p>
      <w:pPr>
        <w:shd w:color="F1F5F9" w:val="solid"/>
        <w:spacing w:after="40"/>
        <w:ind w:left="576"/>
      </w:pPr>
      <w:r>
        <w:rPr>
          <w:rFonts w:ascii="Courier New" w:cs="Courier New" w:eastAsia="Courier New" w:hAnsi="Courier New"/>
          <w:b/>
          <w:bCs/>
          <w:color w:val="0A5C60"/>
          <w:sz w:val="18"/>
          <w:szCs w:val="18"/>
        </w:rPr>
        <w:t xml:space="preserve">1.  npm run build          # Vite bundles React → dist/</w:t>
      </w:r>
    </w:p>
    <w:p>
      <w:pPr>
        <w:shd w:color="F1F5F9" w:val="solid"/>
        <w:spacing w:after="40"/>
        <w:ind w:left="576"/>
      </w:pPr>
      <w:r>
        <w:rPr>
          <w:rFonts w:ascii="Courier New" w:cs="Courier New" w:eastAsia="Courier New" w:hAnsi="Courier New"/>
          <w:b/>
          <w:bCs/>
          <w:color w:val="0A5C60"/>
          <w:sz w:val="18"/>
          <w:szCs w:val="18"/>
        </w:rPr>
        <w:t xml:space="preserve">2.  pm2 restart backend    # Express picks up new dist/ files</w:t>
      </w:r>
    </w:p>
    <w:p>
      <w:pPr>
        <w:shd w:color="F1F5F9" w:val="solid"/>
        <w:spacing w:after="40"/>
        <w:ind w:left="576"/>
      </w:pPr>
      <w:r>
        <w:rPr>
          <w:rFonts w:ascii="Courier New" w:cs="Courier New" w:eastAsia="Courier New" w:hAnsi="Courier New"/>
          <w:b/>
          <w:bCs/>
          <w:color w:val="0A5C60"/>
          <w:sz w:val="18"/>
          <w:szCs w:val="18"/>
        </w:rPr>
        <w:t xml:space="preserve">3.  Ctrl+Shift+R           # Hard refresh browser to bypass cache</w:t>
      </w:r>
    </w:p>
    <w:p>
      <w:pPr>
        <w:pStyle w:val="Heading3"/>
        <w:spacing w:after="80" w:before="240"/>
      </w:pPr>
      <w:r>
        <w:rPr>
          <w:rFonts w:ascii="Calibri" w:cs="Calibri" w:eastAsia="Calibri" w:hAnsi="Calibri"/>
          <w:b/>
          <w:bCs/>
          <w:color w:val="1E3A5F"/>
          <w:sz w:val="28"/>
          <w:szCs w:val="28"/>
        </w:rPr>
        <w:t xml:space="preserve">After PC Restart</w:t>
      </w:r>
    </w:p>
    <w:p>
      <w:pPr>
        <w:shd w:color="F1F5F9" w:val="solid"/>
        <w:spacing w:after="40"/>
        <w:ind w:left="576"/>
      </w:pPr>
      <w:r>
        <w:rPr>
          <w:rFonts w:ascii="Courier New" w:cs="Courier New" w:eastAsia="Courier New" w:hAnsi="Courier New"/>
          <w:b/>
          <w:bCs/>
          <w:color w:val="0A5C60"/>
          <w:sz w:val="18"/>
          <w:szCs w:val="18"/>
        </w:rPr>
        <w:t xml:space="preserve">1.  pm2 resurrect          # Restores all processes from ~/.pm2/dump.pm2</w:t>
      </w:r>
    </w:p>
    <w:p>
      <w:pPr>
        <w:shd w:color="F1F5F9" w:val="solid"/>
        <w:spacing w:after="40"/>
        <w:ind w:left="576"/>
      </w:pPr>
      <w:r>
        <w:rPr>
          <w:rFonts w:ascii="Courier New" w:cs="Courier New" w:eastAsia="Courier New" w:hAnsi="Courier New"/>
          <w:b/>
          <w:bCs/>
          <w:color w:val="0A5C60"/>
          <w:sz w:val="18"/>
          <w:szCs w:val="18"/>
        </w:rPr>
        <w:t xml:space="preserve">2.  cloudflared tunnel --url http://localhost:3002  # New tunnel URL</w:t>
      </w:r>
    </w:p>
    <w:p>
      <w:pPr>
        <w:pBdr>
          <w:left w:val="thick" w:color="B45309" w:sz="12"/>
        </w:pBdr>
        <w:spacing w:after="120" w:before="80"/>
        <w:ind w:left="431"/>
      </w:pPr>
      <w:r>
        <w:rPr>
          <w:i/>
          <w:iCs/>
          <w:color w:val="B45309"/>
          <w:sz w:val="18"/>
          <w:szCs w:val="18"/>
        </w:rPr>
        <w:t xml:space="preserve">📌  The Cloudflare tunnel URL changes on every restart. For a permanent fixed URL, a named Cloudflare tunnel should be configured with a custom subdomain.</w:t>
      </w:r>
    </w:p>
    <w:p>
      <w:pPr>
        <w:pStyle w:val="Heading3"/>
        <w:spacing w:after="80" w:before="240"/>
      </w:pPr>
      <w:r>
        <w:rPr>
          <w:rFonts w:ascii="Calibri" w:cs="Calibri" w:eastAsia="Calibri" w:hAnsi="Calibri"/>
          <w:b/>
          <w:bCs/>
          <w:color w:val="1E3A5F"/>
          <w:sz w:val="28"/>
          <w:szCs w:val="28"/>
        </w:rPr>
        <w:t xml:space="preserve">Environment Variables (server/.env)</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shd w:color="1E293B" w:val="solid"/>
            <w:tcMar>
              <w:top w:type="dxa" w:w="80"/>
              <w:left w:type="dxa" w:w="100"/>
              <w:bottom w:type="dxa" w:w="80"/>
              <w:right w:type="dxa" w:w="100"/>
            </w:tcMar>
          </w:tcPr>
          <w:p>
            <w:pPr>
              <w:jc w:val="left"/>
            </w:pPr>
            <w:r>
              <w:rPr>
                <w:rFonts w:ascii="Calibri" w:cs="Calibri" w:eastAsia="Calibri" w:hAnsi="Calibri"/>
                <w:b/>
                <w:bCs/>
                <w:color w:val="FFFFFF"/>
                <w:sz w:val="18"/>
                <w:szCs w:val="18"/>
              </w:rPr>
              <w:t xml:space="preserve">Variable</w:t>
            </w:r>
          </w:p>
        </w:tc>
        <w:tc>
          <w:tcPr>
            <w:shd w:color="1E293B" w:val="solid"/>
            <w:tcMar>
              <w:top w:type="dxa" w:w="80"/>
              <w:left w:type="dxa" w:w="100"/>
              <w:bottom w:type="dxa" w:w="80"/>
              <w:right w:type="dxa" w:w="100"/>
            </w:tcMar>
          </w:tcPr>
          <w:p>
            <w:pPr>
              <w:jc w:val="left"/>
            </w:pPr>
            <w:r>
              <w:rPr>
                <w:rFonts w:ascii="Calibri" w:cs="Calibri" w:eastAsia="Calibri" w:hAnsi="Calibri"/>
                <w:b/>
                <w:bCs/>
                <w:color w:val="FFFFFF"/>
                <w:sz w:val="18"/>
                <w:szCs w:val="18"/>
              </w:rPr>
              <w:t xml:space="preserve">Used For</w:t>
            </w:r>
          </w:p>
        </w:tc>
      </w:tr>
      <w:tr>
        <w:tc>
          <w:tcPr>
            <w:tcMar>
              <w:top w:type="dxa" w:w="60"/>
              <w:left w:type="dxa" w:w="100"/>
              <w:bottom w:type="dxa" w:w="60"/>
              <w:right w:type="dxa" w:w="100"/>
            </w:tcMar>
          </w:tcPr>
          <w:p>
            <w:r>
              <w:rPr>
                <w:color w:val="334155"/>
                <w:sz w:val="18"/>
                <w:szCs w:val="18"/>
              </w:rPr>
              <w:t xml:space="preserve">DATABASE_URL</w:t>
            </w:r>
          </w:p>
        </w:tc>
        <w:tc>
          <w:tcPr>
            <w:tcMar>
              <w:top w:type="dxa" w:w="60"/>
              <w:left w:type="dxa" w:w="100"/>
              <w:bottom w:type="dxa" w:w="60"/>
              <w:right w:type="dxa" w:w="100"/>
            </w:tcMar>
          </w:tcPr>
          <w:p>
            <w:r>
              <w:rPr>
                <w:color w:val="334155"/>
                <w:sz w:val="18"/>
                <w:szCs w:val="18"/>
              </w:rPr>
              <w:t xml:space="preserve">PostgreSQL connection string (Neon serverless)</w:t>
            </w:r>
          </w:p>
        </w:tc>
      </w:tr>
      <w:tr>
        <w:tc>
          <w:tcPr>
            <w:shd w:color="EFF6FF" w:val="solid"/>
            <w:tcMar>
              <w:top w:type="dxa" w:w="60"/>
              <w:left w:type="dxa" w:w="100"/>
              <w:bottom w:type="dxa" w:w="60"/>
              <w:right w:type="dxa" w:w="100"/>
            </w:tcMar>
          </w:tcPr>
          <w:p>
            <w:r>
              <w:rPr>
                <w:color w:val="334155"/>
                <w:sz w:val="18"/>
                <w:szCs w:val="18"/>
              </w:rPr>
              <w:t xml:space="preserve">JWT_SECRET</w:t>
            </w:r>
          </w:p>
        </w:tc>
        <w:tc>
          <w:tcPr>
            <w:shd w:color="EFF6FF" w:val="solid"/>
            <w:tcMar>
              <w:top w:type="dxa" w:w="60"/>
              <w:left w:type="dxa" w:w="100"/>
              <w:bottom w:type="dxa" w:w="60"/>
              <w:right w:type="dxa" w:w="100"/>
            </w:tcMar>
          </w:tcPr>
          <w:p>
            <w:r>
              <w:rPr>
                <w:color w:val="334155"/>
                <w:sz w:val="18"/>
                <w:szCs w:val="18"/>
              </w:rPr>
              <w:t xml:space="preserve">Signs and verifies JWT tokens</w:t>
            </w:r>
          </w:p>
        </w:tc>
      </w:tr>
      <w:tr>
        <w:tc>
          <w:tcPr>
            <w:tcMar>
              <w:top w:type="dxa" w:w="60"/>
              <w:left w:type="dxa" w:w="100"/>
              <w:bottom w:type="dxa" w:w="60"/>
              <w:right w:type="dxa" w:w="100"/>
            </w:tcMar>
          </w:tcPr>
          <w:p>
            <w:r>
              <w:rPr>
                <w:color w:val="334155"/>
                <w:sz w:val="18"/>
                <w:szCs w:val="18"/>
              </w:rPr>
              <w:t xml:space="preserve">QH_API_TOKEN</w:t>
            </w:r>
          </w:p>
        </w:tc>
        <w:tc>
          <w:tcPr>
            <w:tcMar>
              <w:top w:type="dxa" w:w="60"/>
              <w:left w:type="dxa" w:w="100"/>
              <w:bottom w:type="dxa" w:w="60"/>
              <w:right w:type="dxa" w:w="100"/>
            </w:tcMar>
          </w:tcPr>
          <w:p>
            <w:r>
              <w:rPr>
                <w:color w:val="334155"/>
                <w:sz w:val="18"/>
                <w:szCs w:val="18"/>
              </w:rPr>
              <w:t xml:space="preserve">Bearer token for the internal QH OHLC API</w:t>
            </w:r>
          </w:p>
        </w:tc>
      </w:tr>
      <w:tr>
        <w:tc>
          <w:tcPr>
            <w:shd w:color="EFF6FF" w:val="solid"/>
            <w:tcMar>
              <w:top w:type="dxa" w:w="60"/>
              <w:left w:type="dxa" w:w="100"/>
              <w:bottom w:type="dxa" w:w="60"/>
              <w:right w:type="dxa" w:w="100"/>
            </w:tcMar>
          </w:tcPr>
          <w:p>
            <w:r>
              <w:rPr>
                <w:color w:val="334155"/>
                <w:sz w:val="18"/>
                <w:szCs w:val="18"/>
              </w:rPr>
              <w:t xml:space="preserve">CFTC_TEAMS_WEBHOOK_URL</w:t>
            </w:r>
          </w:p>
        </w:tc>
        <w:tc>
          <w:tcPr>
            <w:shd w:color="EFF6FF" w:val="solid"/>
            <w:tcMar>
              <w:top w:type="dxa" w:w="60"/>
              <w:left w:type="dxa" w:w="100"/>
              <w:bottom w:type="dxa" w:w="60"/>
              <w:right w:type="dxa" w:w="100"/>
            </w:tcMar>
          </w:tcPr>
          <w:p>
            <w:r>
              <w:rPr>
                <w:color w:val="334155"/>
                <w:sz w:val="18"/>
                <w:szCs w:val="18"/>
              </w:rPr>
              <w:t xml:space="preserve">Microsoft Teams incoming webhook for CFTC + Rho alerts</w:t>
            </w:r>
          </w:p>
        </w:tc>
      </w:tr>
      <w:tr>
        <w:tc>
          <w:tcPr>
            <w:tcMar>
              <w:top w:type="dxa" w:w="60"/>
              <w:left w:type="dxa" w:w="100"/>
              <w:bottom w:type="dxa" w:w="60"/>
              <w:right w:type="dxa" w:w="100"/>
            </w:tcMar>
          </w:tcPr>
          <w:p>
            <w:r>
              <w:rPr>
                <w:color w:val="334155"/>
                <w:sz w:val="18"/>
                <w:szCs w:val="18"/>
              </w:rPr>
              <w:t xml:space="preserve">PORT</w:t>
            </w:r>
          </w:p>
        </w:tc>
        <w:tc>
          <w:tcPr>
            <w:tcMar>
              <w:top w:type="dxa" w:w="60"/>
              <w:left w:type="dxa" w:w="100"/>
              <w:bottom w:type="dxa" w:w="60"/>
              <w:right w:type="dxa" w:w="100"/>
            </w:tcMar>
          </w:tcPr>
          <w:p>
            <w:r>
              <w:rPr>
                <w:color w:val="334155"/>
                <w:sz w:val="18"/>
                <w:szCs w:val="18"/>
              </w:rPr>
              <w:t xml:space="preserve">Express server port (default: 3002)</w:t>
            </w:r>
          </w:p>
        </w:tc>
      </w:tr>
    </w:tbl>
    <w:p>
      <w:pPr>
        <w:pBdr>
          <w:bottom w:val="single" w:color="E2E8F0" w:sz="6"/>
        </w:pBdr>
        <w:spacing w:after="160"/>
      </w:pPr>
    </w:p>
    <w:p>
      <w:pPr>
        <w:pStyle w:val="Heading1"/>
        <w:spacing w:after="160" w:before="400"/>
      </w:pPr>
      <w:r>
        <w:t xml:space="preserve">12. Key Design Decisions &amp; Rationale</w:t>
      </w:r>
      <w:r>
        <w:rPr>
          <w:rFonts w:ascii="Calibri" w:cs="Calibri" w:eastAsia="Calibri" w:hAnsi="Calibri"/>
          <w:b/>
          <w:bCs/>
          <w:color w:val="1E3A5F"/>
          <w:sz w:val="52"/>
          <w:szCs w:val="52"/>
        </w:rPr>
        <w:t xml:space="preserve">12. Key Design Decisions &amp; Rationale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shd w:color="1E293B" w:val="solid"/>
            <w:tcMar>
              <w:top w:type="dxa" w:w="80"/>
              <w:left w:type="dxa" w:w="100"/>
              <w:bottom w:type="dxa" w:w="80"/>
              <w:right w:type="dxa" w:w="100"/>
            </w:tcMar>
          </w:tcPr>
          <w:p>
            <w:pPr>
              <w:jc w:val="left"/>
            </w:pPr>
            <w:r>
              <w:rPr>
                <w:rFonts w:ascii="Calibri" w:cs="Calibri" w:eastAsia="Calibri" w:hAnsi="Calibri"/>
                <w:b/>
                <w:bCs/>
                <w:color w:val="FFFFFF"/>
                <w:sz w:val="18"/>
                <w:szCs w:val="18"/>
              </w:rPr>
              <w:t xml:space="preserve">Decision</w:t>
            </w:r>
          </w:p>
        </w:tc>
        <w:tc>
          <w:tcPr>
            <w:shd w:color="1E293B" w:val="solid"/>
            <w:tcMar>
              <w:top w:type="dxa" w:w="80"/>
              <w:left w:type="dxa" w:w="100"/>
              <w:bottom w:type="dxa" w:w="80"/>
              <w:right w:type="dxa" w:w="100"/>
            </w:tcMar>
          </w:tcPr>
          <w:p>
            <w:pPr>
              <w:jc w:val="left"/>
            </w:pPr>
            <w:r>
              <w:rPr>
                <w:rFonts w:ascii="Calibri" w:cs="Calibri" w:eastAsia="Calibri" w:hAnsi="Calibri"/>
                <w:b/>
                <w:bCs/>
                <w:color w:val="FFFFFF"/>
                <w:sz w:val="18"/>
                <w:szCs w:val="18"/>
              </w:rPr>
              <w:t xml:space="preserve">Why</w:t>
            </w:r>
          </w:p>
        </w:tc>
      </w:tr>
      <w:tr>
        <w:tc>
          <w:tcPr>
            <w:tcMar>
              <w:top w:type="dxa" w:w="60"/>
              <w:left w:type="dxa" w:w="100"/>
              <w:bottom w:type="dxa" w:w="60"/>
              <w:right w:type="dxa" w:w="100"/>
            </w:tcMar>
          </w:tcPr>
          <w:p>
            <w:r>
              <w:rPr>
                <w:color w:val="334155"/>
                <w:sz w:val="18"/>
                <w:szCs w:val="18"/>
              </w:rPr>
              <w:t xml:space="preserve">Monorepo (frontend + backend in same package.json)</w:t>
            </w:r>
          </w:p>
        </w:tc>
        <w:tc>
          <w:tcPr>
            <w:tcMar>
              <w:top w:type="dxa" w:w="60"/>
              <w:left w:type="dxa" w:w="100"/>
              <w:bottom w:type="dxa" w:w="60"/>
              <w:right w:type="dxa" w:w="100"/>
            </w:tcMar>
          </w:tcPr>
          <w:p>
            <w:r>
              <w:rPr>
                <w:color w:val="334155"/>
                <w:sz w:val="18"/>
                <w:szCs w:val="18"/>
              </w:rPr>
              <w:t xml:space="preserve">Vite builds to dist/ which Express serves statically. Both run on the same port, eliminating CORS issues entirely.</w:t>
            </w:r>
          </w:p>
        </w:tc>
      </w:tr>
      <w:tr>
        <w:tc>
          <w:tcPr>
            <w:shd w:color="EFF6FF" w:val="solid"/>
            <w:tcMar>
              <w:top w:type="dxa" w:w="60"/>
              <w:left w:type="dxa" w:w="100"/>
              <w:bottom w:type="dxa" w:w="60"/>
              <w:right w:type="dxa" w:w="100"/>
            </w:tcMar>
          </w:tcPr>
          <w:p>
            <w:r>
              <w:rPr>
                <w:color w:val="334155"/>
                <w:sz w:val="18"/>
                <w:szCs w:val="18"/>
              </w:rPr>
              <w:t xml:space="preserve">Stateless JWT auth (no sessions)</w:t>
            </w:r>
          </w:p>
        </w:tc>
        <w:tc>
          <w:tcPr>
            <w:shd w:color="EFF6FF" w:val="solid"/>
            <w:tcMar>
              <w:top w:type="dxa" w:w="60"/>
              <w:left w:type="dxa" w:w="100"/>
              <w:bottom w:type="dxa" w:w="60"/>
              <w:right w:type="dxa" w:w="100"/>
            </w:tcMar>
          </w:tcPr>
          <w:p>
            <w:r>
              <w:rPr>
                <w:color w:val="334155"/>
                <w:sz w:val="18"/>
                <w:szCs w:val="18"/>
              </w:rPr>
              <w:t xml:space="preserve">No session store needed. Any server instance can verify tokens. Works naturally with a single-server setup.</w:t>
            </w:r>
          </w:p>
        </w:tc>
      </w:tr>
      <w:tr>
        <w:tc>
          <w:tcPr>
            <w:tcMar>
              <w:top w:type="dxa" w:w="60"/>
              <w:left w:type="dxa" w:w="100"/>
              <w:bottom w:type="dxa" w:w="60"/>
              <w:right w:type="dxa" w:w="100"/>
            </w:tcMar>
          </w:tcPr>
          <w:p>
            <w:r>
              <w:rPr>
                <w:color w:val="334155"/>
                <w:sz w:val="18"/>
                <w:szCs w:val="18"/>
              </w:rPr>
              <w:t xml:space="preserve">ON CONFLICT DO NOTHING for all inserts</w:t>
            </w:r>
          </w:p>
        </w:tc>
        <w:tc>
          <w:tcPr>
            <w:tcMar>
              <w:top w:type="dxa" w:w="60"/>
              <w:left w:type="dxa" w:w="100"/>
              <w:bottom w:type="dxa" w:w="60"/>
              <w:right w:type="dxa" w:w="100"/>
            </w:tcMar>
          </w:tcPr>
          <w:p>
            <w:r>
              <w:rPr>
                <w:color w:val="334155"/>
                <w:sz w:val="18"/>
                <w:szCs w:val="18"/>
              </w:rPr>
              <w:t xml:space="preserve">Makes every sync idempotent. Re-running cron jobs or manual syncs never corrupts or duplicates data.</w:t>
            </w:r>
          </w:p>
        </w:tc>
      </w:tr>
      <w:tr>
        <w:tc>
          <w:tcPr>
            <w:shd w:color="EFF6FF" w:val="solid"/>
            <w:tcMar>
              <w:top w:type="dxa" w:w="60"/>
              <w:left w:type="dxa" w:w="100"/>
              <w:bottom w:type="dxa" w:w="60"/>
              <w:right w:type="dxa" w:w="100"/>
            </w:tcMar>
          </w:tcPr>
          <w:p>
            <w:r>
              <w:rPr>
                <w:color w:val="334155"/>
                <w:sz w:val="18"/>
                <w:szCs w:val="18"/>
              </w:rPr>
              <w:t xml:space="preserve">Dual-trigger for warehouse sync (Chokidar + 08:30 cron)</w:t>
            </w:r>
          </w:p>
        </w:tc>
        <w:tc>
          <w:tcPr>
            <w:shd w:color="EFF6FF" w:val="solid"/>
            <w:tcMar>
              <w:top w:type="dxa" w:w="60"/>
              <w:left w:type="dxa" w:w="100"/>
              <w:bottom w:type="dxa" w:w="60"/>
              <w:right w:type="dxa" w:w="100"/>
            </w:tcMar>
          </w:tcPr>
          <w:p>
            <w:r>
              <w:rPr>
                <w:color w:val="334155"/>
                <w:sz w:val="18"/>
                <w:szCs w:val="18"/>
              </w:rPr>
              <w:t xml:space="preserve">OneDrive on Windows suppresses filesystem events intermittently. Cron fallback guarantees data is current by trading open.</w:t>
            </w:r>
          </w:p>
        </w:tc>
      </w:tr>
      <w:tr>
        <w:tc>
          <w:tcPr>
            <w:tcMar>
              <w:top w:type="dxa" w:w="60"/>
              <w:left w:type="dxa" w:w="100"/>
              <w:bottom w:type="dxa" w:w="60"/>
              <w:right w:type="dxa" w:w="100"/>
            </w:tcMar>
          </w:tcPr>
          <w:p>
            <w:r>
              <w:rPr>
                <w:color w:val="334155"/>
                <w:sz w:val="18"/>
                <w:szCs w:val="18"/>
              </w:rPr>
              <w:t xml:space="preserve">Positional column mapping for CFTC CSV</w:t>
            </w:r>
          </w:p>
        </w:tc>
        <w:tc>
          <w:tcPr>
            <w:tcMar>
              <w:top w:type="dxa" w:w="60"/>
              <w:left w:type="dxa" w:w="100"/>
              <w:bottom w:type="dxa" w:w="60"/>
              <w:right w:type="dxa" w:w="100"/>
            </w:tcMar>
          </w:tcPr>
          <w:p>
            <w:r>
              <w:rPr>
                <w:color w:val="334155"/>
                <w:sz w:val="18"/>
                <w:szCs w:val="18"/>
              </w:rPr>
              <w:t xml:space="preserve">The CFTC f_disagg.txt file has no header row and columns must be mapped by index. The ALL_DB_COLS array provides this mapping explicitly and is version-controlled.</w:t>
            </w:r>
          </w:p>
        </w:tc>
      </w:tr>
      <w:tr>
        <w:tc>
          <w:tcPr>
            <w:shd w:color="EFF6FF" w:val="solid"/>
            <w:tcMar>
              <w:top w:type="dxa" w:w="60"/>
              <w:left w:type="dxa" w:w="100"/>
              <w:bottom w:type="dxa" w:w="60"/>
              <w:right w:type="dxa" w:w="100"/>
            </w:tcMar>
          </w:tcPr>
          <w:p>
            <w:r>
              <w:rPr>
                <w:color w:val="334155"/>
                <w:sz w:val="18"/>
                <w:szCs w:val="18"/>
              </w:rPr>
              <w:t xml:space="preserve">types.setTypeParser(1082) for DATE columns</w:t>
            </w:r>
          </w:p>
        </w:tc>
        <w:tc>
          <w:tcPr>
            <w:shd w:color="EFF6FF" w:val="solid"/>
            <w:tcMar>
              <w:top w:type="dxa" w:w="60"/>
              <w:left w:type="dxa" w:w="100"/>
              <w:bottom w:type="dxa" w:w="60"/>
              <w:right w:type="dxa" w:w="100"/>
            </w:tcMar>
          </w:tcPr>
          <w:p>
            <w:r>
              <w:rPr>
                <w:color w:val="334155"/>
                <w:sz w:val="18"/>
                <w:szCs w:val="18"/>
              </w:rPr>
              <w:t xml:space="preserve">Prevents a one-day off-by-one bug caused by pg converting DATE to JS Date objects which shift when serialized to JSON in non-UTC timezones.</w:t>
            </w:r>
          </w:p>
        </w:tc>
      </w:tr>
      <w:tr>
        <w:tc>
          <w:tcPr>
            <w:tcMar>
              <w:top w:type="dxa" w:w="60"/>
              <w:left w:type="dxa" w:w="100"/>
              <w:bottom w:type="dxa" w:w="60"/>
              <w:right w:type="dxa" w:w="100"/>
            </w:tcMar>
          </w:tcPr>
          <w:p>
            <w:r>
              <w:rPr>
                <w:color w:val="334155"/>
                <w:sz w:val="18"/>
                <w:szCs w:val="18"/>
              </w:rPr>
              <w:t xml:space="preserve">Contract-level OI reconciliation</w:t>
            </w:r>
          </w:p>
        </w:tc>
        <w:tc>
          <w:tcPr>
            <w:tcMar>
              <w:top w:type="dxa" w:w="60"/>
              <w:left w:type="dxa" w:w="100"/>
              <w:bottom w:type="dxa" w:w="60"/>
              <w:right w:type="dxa" w:w="100"/>
            </w:tcMar>
          </w:tcPr>
          <w:p>
            <w:r>
              <w:rPr>
                <w:color w:val="334155"/>
                <w:sz w:val="18"/>
                <w:szCs w:val="18"/>
              </w:rPr>
              <w:t xml:space="preserve">Naively subtracting total OI created false negative spikes when contracts expired. Only contracts present on both consecutive days are included in delta computation.</w:t>
            </w:r>
          </w:p>
        </w:tc>
      </w:tr>
      <w:tr>
        <w:tc>
          <w:tcPr>
            <w:shd w:color="EFF6FF" w:val="solid"/>
            <w:tcMar>
              <w:top w:type="dxa" w:w="60"/>
              <w:left w:type="dxa" w:w="100"/>
              <w:bottom w:type="dxa" w:w="60"/>
              <w:right w:type="dxa" w:w="100"/>
            </w:tcMar>
          </w:tcPr>
          <w:p>
            <w:r>
              <w:rPr>
                <w:color w:val="334155"/>
                <w:sz w:val="18"/>
                <w:szCs w:val="18"/>
              </w:rPr>
              <w:t xml:space="preserve">Chart data filtered to 2026-01-01+</w:t>
            </w:r>
          </w:p>
        </w:tc>
        <w:tc>
          <w:tcPr>
            <w:shd w:color="EFF6FF" w:val="solid"/>
            <w:tcMar>
              <w:top w:type="dxa" w:w="60"/>
              <w:left w:type="dxa" w:w="100"/>
              <w:bottom w:type="dxa" w:w="60"/>
              <w:right w:type="dxa" w:w="100"/>
            </w:tcMar>
          </w:tcPr>
          <w:p>
            <w:r>
              <w:rPr>
                <w:color w:val="334155"/>
                <w:sz w:val="18"/>
                <w:szCs w:val="18"/>
              </w:rPr>
              <w:t xml:space="preserve">Full historical data (years of CFTC data) is too dense for weekly combo charts. Current year provides the relevant trend context for traders.</w:t>
            </w:r>
          </w:p>
        </w:tc>
      </w:tr>
      <w:tr>
        <w:tc>
          <w:tcPr>
            <w:tcMar>
              <w:top w:type="dxa" w:w="60"/>
              <w:left w:type="dxa" w:w="100"/>
              <w:bottom w:type="dxa" w:w="60"/>
              <w:right w:type="dxa" w:w="100"/>
            </w:tcMar>
          </w:tcPr>
          <w:p>
            <w:r>
              <w:rPr>
                <w:color w:val="334155"/>
                <w:sz w:val="18"/>
                <w:szCs w:val="18"/>
              </w:rPr>
              <w:t xml:space="preserve">Separate IceChartModal + IceComboChart components</w:t>
            </w:r>
          </w:p>
        </w:tc>
        <w:tc>
          <w:tcPr>
            <w:tcMar>
              <w:top w:type="dxa" w:w="60"/>
              <w:left w:type="dxa" w:w="100"/>
              <w:bottom w:type="dxa" w:w="60"/>
              <w:right w:type="dxa" w:w="100"/>
            </w:tcMar>
          </w:tcPr>
          <w:p>
            <w:r>
              <w:rPr>
                <w:color w:val="334155"/>
                <w:sz w:val="18"/>
                <w:szCs w:val="18"/>
              </w:rPr>
              <w:t xml:space="preserve">Original code reused CftcChartModal for ICE, which called the wrong API endpoint (cftc-data instead of ice-data). Separate components make the data source explicit.</w:t>
            </w:r>
          </w:p>
        </w:tc>
      </w:tr>
      <w:tr>
        <w:tc>
          <w:tcPr>
            <w:shd w:color="EFF6FF" w:val="solid"/>
            <w:tcMar>
              <w:top w:type="dxa" w:w="60"/>
              <w:left w:type="dxa" w:w="100"/>
              <w:bottom w:type="dxa" w:w="60"/>
              <w:right w:type="dxa" w:w="100"/>
            </w:tcMar>
          </w:tcPr>
          <w:p>
            <w:r>
              <w:rPr>
                <w:color w:val="334155"/>
                <w:sz w:val="18"/>
                <w:szCs w:val="18"/>
              </w:rPr>
              <w:t xml:space="preserve">Adaptive Card chunking (max 25 per card)</w:t>
            </w:r>
          </w:p>
        </w:tc>
        <w:tc>
          <w:tcPr>
            <w:shd w:color="EFF6FF" w:val="solid"/>
            <w:tcMar>
              <w:top w:type="dxa" w:w="60"/>
              <w:left w:type="dxa" w:w="100"/>
              <w:bottom w:type="dxa" w:w="60"/>
              <w:right w:type="dxa" w:w="100"/>
            </w:tcMar>
          </w:tcPr>
          <w:p>
            <w:r>
              <w:rPr>
                <w:color w:val="334155"/>
                <w:sz w:val="18"/>
                <w:szCs w:val="18"/>
              </w:rPr>
              <w:t xml:space="preserve">Teams has payload size limits. When many Rho breaks occur simultaneously, alerts are split across multiple cards with a (Part N/N) header.</w:t>
            </w:r>
          </w:p>
        </w:tc>
      </w:tr>
    </w:tbl>
    <w:p>
      <w:pPr>
        <w:pBdr>
          <w:bottom w:val="single" w:color="E2E8F0" w:sz="6"/>
        </w:pBdr>
        <w:spacing w:after="160"/>
      </w:pPr>
    </w:p>
    <w:p>
      <w:pPr>
        <w:pStyle w:val="Heading1"/>
        <w:spacing w:after="160" w:before="400"/>
      </w:pPr>
      <w:r>
        <w:t xml:space="preserve">13. Interview Questions &amp; Detailed Answers</w:t>
      </w:r>
      <w:r>
        <w:rPr>
          <w:rFonts w:ascii="Calibri" w:cs="Calibri" w:eastAsia="Calibri" w:hAnsi="Calibri"/>
          <w:b/>
          <w:bCs/>
          <w:color w:val="1E3A5F"/>
          <w:sz w:val="52"/>
          <w:szCs w:val="52"/>
        </w:rPr>
        <w:t xml:space="preserve">13. Interview Questions &amp; Detailed Answers</w:t>
      </w:r>
    </w:p>
    <w:p>
      <w:pPr>
        <w:pStyle w:val="Heading3"/>
        <w:spacing w:after="80" w:before="240"/>
      </w:pPr>
      <w:r>
        <w:rPr>
          <w:rFonts w:ascii="Calibri" w:cs="Calibri" w:eastAsia="Calibri" w:hAnsi="Calibri"/>
          <w:b/>
          <w:bCs/>
          <w:color w:val="1E3A5F"/>
          <w:sz w:val="28"/>
          <w:szCs w:val="28"/>
        </w:rPr>
        <w:t xml:space="preserve">Q1: Describe the overall architecture of SpreadCharts.</w:t>
      </w:r>
    </w:p>
    <w:p>
      <w:pPr>
        <w:spacing w:after="100" w:before="40"/>
      </w:pPr>
      <w:r>
        <w:rPr>
          <w:color w:val="0F172A"/>
          <w:sz w:val="20"/>
          <w:szCs w:val="20"/>
        </w:rPr>
        <w:t xml:space="preserve">SpreadCharts is a full-stack monolithic web application. The backend is a single Node.js process running Express 5, which serves three roles simultaneously: it handles REST API requests (market data, warehouse data, user auth), it serves the React frontend as compiled static files from the dist/ directory, and it runs all background scheduled tasks via node-cron within the same process. The database is PostgreSQL hosted on Neon serverless, accessed via the pg connection pool. For external access without firewall changes, a Cloudflare tunnel exposes port 3002 to the internet via a temporary *.trycloudflare.com URL.</w:t>
      </w:r>
    </w:p>
    <w:p>
      <w:pPr>
        <w:pStyle w:val="Heading3"/>
        <w:spacing w:after="80" w:before="240"/>
      </w:pPr>
      <w:r>
        <w:rPr>
          <w:rFonts w:ascii="Calibri" w:cs="Calibri" w:eastAsia="Calibri" w:hAnsi="Calibri"/>
          <w:b/>
          <w:bCs/>
          <w:color w:val="1E3A5F"/>
          <w:sz w:val="28"/>
          <w:szCs w:val="28"/>
        </w:rPr>
        <w:t xml:space="preserve">Q2: How does the JWT authentication system work?</w:t>
      </w:r>
    </w:p>
    <w:p>
      <w:pPr>
        <w:spacing w:after="100" w:before="40"/>
      </w:pPr>
      <w:r>
        <w:rPr>
          <w:color w:val="0F172A"/>
          <w:sz w:val="20"/>
          <w:szCs w:val="20"/>
        </w:rPr>
        <w:t xml:space="preserve">When a user logs in, the server retrieves their record from the users PostgreSQL table using a parameterised query to prevent SQL injection. It then calls bcrypt.compare() to verify the submitted password against the stored hash. If valid, it calls jwt.sign() with the user ID and username, signed using HS256 algorithm with a secret key from the environment, set to expire in 24 hours. The resulting token is sent to the browser, stored in localStorage and Redux. Every subsequent API call includes this token in the Authorization: Bearer header. The authenticateToken middleware — applied to all /api/* routes — calls jwt.verify() on the token. If verification fails (expired, tampered, missing), it returns HTTP 401 or 403.</w:t>
      </w:r>
    </w:p>
    <w:p>
      <w:pPr>
        <w:pStyle w:val="Heading3"/>
        <w:spacing w:after="80" w:before="240"/>
      </w:pPr>
      <w:r>
        <w:rPr>
          <w:rFonts w:ascii="Calibri" w:cs="Calibri" w:eastAsia="Calibri" w:hAnsi="Calibri"/>
          <w:b/>
          <w:bCs/>
          <w:color w:val="1E3A5F"/>
          <w:sz w:val="28"/>
          <w:szCs w:val="28"/>
        </w:rPr>
        <w:t xml:space="preserve">Q3: Why did you use JWT instead of server-side sessions?</w:t>
      </w:r>
    </w:p>
    <w:p>
      <w:pPr>
        <w:spacing w:after="100" w:before="40"/>
      </w:pPr>
      <w:r>
        <w:rPr>
          <w:color w:val="0F172A"/>
          <w:sz w:val="20"/>
          <w:szCs w:val="20"/>
        </w:rPr>
        <w:t xml:space="preserve">JWT is stateless — the server does not need to maintain any session state. All identity information is embedded directly in the token and cryptographically signed, so any server instance can verify it independently. Server-side sessions require a shared session store (like Redis) when scaling horizontally, which adds infrastructure complexity. For this application with a single server, JWT is simpler to implement, requires no additional infrastructure, and works naturally with a React SPA that stores the token in localStorage.</w:t>
      </w:r>
    </w:p>
    <w:p>
      <w:pPr>
        <w:pStyle w:val="Heading3"/>
        <w:spacing w:after="80" w:before="240"/>
      </w:pPr>
      <w:r>
        <w:rPr>
          <w:rFonts w:ascii="Calibri" w:cs="Calibri" w:eastAsia="Calibri" w:hAnsi="Calibri"/>
          <w:b/>
          <w:bCs/>
          <w:color w:val="1E3A5F"/>
          <w:sz w:val="28"/>
          <w:szCs w:val="28"/>
        </w:rPr>
        <w:t xml:space="preserve">Q4: Why does bcrypt take longer than SHA256? Isn't slower bad?</w:t>
      </w:r>
    </w:p>
    <w:p>
      <w:pPr>
        <w:spacing w:after="100" w:before="40"/>
      </w:pPr>
      <w:r>
        <w:rPr>
          <w:color w:val="0F172A"/>
          <w:sz w:val="20"/>
          <w:szCs w:val="20"/>
        </w:rPr>
        <w:t xml:space="preserve">For password hashing, intentional slowness is a security feature, not a bug. SHA256 is a general-purpose hash function designed to be as fast as possible — a modern GPU can compute billions of SHA256 hashes per second, making brute-force attacks trivial. bcrypt is designed specifically for passwords: its work factor (salt rounds) makes each hash computation intentionally expensive (~100ms). Even with a leaked database, an attacker would need years to crack bcrypt hashes via brute force. We use 10 salt rounds, which is the current OWASP recommended minimum.</w:t>
      </w:r>
    </w:p>
    <w:p>
      <w:pPr>
        <w:pStyle w:val="Heading3"/>
        <w:spacing w:after="80" w:before="240"/>
      </w:pPr>
      <w:r>
        <w:rPr>
          <w:rFonts w:ascii="Calibri" w:cs="Calibri" w:eastAsia="Calibri" w:hAnsi="Calibri"/>
          <w:b/>
          <w:bCs/>
          <w:color w:val="1E3A5F"/>
          <w:sz w:val="28"/>
          <w:szCs w:val="28"/>
        </w:rPr>
        <w:t xml:space="preserve">Q5: How does the CFTC data ingestion pipeline work end-to-end?</w:t>
      </w:r>
    </w:p>
    <w:p>
      <w:pPr>
        <w:spacing w:after="100" w:before="40"/>
      </w:pPr>
      <w:r>
        <w:rPr>
          <w:color w:val="0F172A"/>
          <w:sz w:val="20"/>
          <w:szCs w:val="20"/>
        </w:rPr>
        <w:t xml:space="preserve">The CFTC publishes a raw text file (f_disagg.txt) at a public URL every week, usually on Fridays. Our cron job at 08:00 AM daily downloads this file using Axios. The csv-parse library parses it into arrays of 188 values per row — there is no header row, so all columns must be identified by their positional index, which we have mapped explicitly in the ALL_DB_COLS array. Each value is then type-coerced: text columns stay as strings, percentage/concentration columns become floats, all others become integers. Commas are stripped from numeric values before parsing. Before inserting, we load the last 200 dates per table into a JavaScript Set and skip any row whose date is already present. New rows are inserted. If a new week has been published, the insert succeeds; otherwise nothing happens. This makes the job safe to run multiple times daily.</w:t>
      </w:r>
    </w:p>
    <w:p>
      <w:pPr>
        <w:pStyle w:val="Heading3"/>
        <w:spacing w:after="80" w:before="240"/>
      </w:pPr>
      <w:r>
        <w:rPr>
          <w:rFonts w:ascii="Calibri" w:cs="Calibri" w:eastAsia="Calibri" w:hAnsi="Calibri"/>
          <w:b/>
          <w:bCs/>
          <w:color w:val="1E3A5F"/>
          <w:sz w:val="28"/>
          <w:szCs w:val="28"/>
        </w:rPr>
        <w:t xml:space="preserve">Q6: What was the Cocoa warehouse sync problem and how did you fix it?</w:t>
      </w:r>
    </w:p>
    <w:p>
      <w:pPr>
        <w:spacing w:after="100" w:before="40"/>
      </w:pPr>
      <w:r>
        <w:rPr>
          <w:color w:val="0F172A"/>
          <w:sz w:val="20"/>
          <w:szCs w:val="20"/>
        </w:rPr>
        <w:t xml:space="preserve">The original system used only Chokidar (a Node.js file system watcher) to detect when OneDrive-synced Excel files changed and trigger the warehouse sync. On Windows with OneDrive, this was unreliable for two reasons: OneDrive creates temporary .tmp files during cloud sync which triggered events prematurely, and sometimes the actual file modification event was suppressed entirely, especially over a network-mapped drive. The fix was to add a second trigger layer — a dedicated node-cron job at 08:30 AM every morning that runs all four warehouse sync operations (London bags, US bags, Ivory Coast arrivals, London stock by origin) unconditionally. Since all inserts use ON CONFLICT DO NOTHING, running these syncs when data already exists is completely harmless. The file watcher still runs for immediate reactive updates, but the cron fallback guarantees data is always fresh by market open.</w:t>
      </w:r>
    </w:p>
    <w:p>
      <w:pPr>
        <w:pStyle w:val="Heading3"/>
        <w:spacing w:after="80" w:before="240"/>
      </w:pPr>
      <w:r>
        <w:rPr>
          <w:rFonts w:ascii="Calibri" w:cs="Calibri" w:eastAsia="Calibri" w:hAnsi="Calibri"/>
          <w:b/>
          <w:bCs/>
          <w:color w:val="1E3A5F"/>
          <w:sz w:val="28"/>
          <w:szCs w:val="28"/>
        </w:rPr>
        <w:t xml:space="preserve">Q7: What is Pearson rolling correlation and why does it matter in trading?</w:t>
      </w:r>
    </w:p>
    <w:p>
      <w:pPr>
        <w:spacing w:after="100" w:before="40"/>
      </w:pPr>
      <w:r>
        <w:rPr>
          <w:color w:val="0F172A"/>
          <w:sz w:val="20"/>
          <w:szCs w:val="20"/>
        </w:rPr>
        <w:t xml:space="preserve">Pearson correlation measures the linear relationship between two return series, ranging from -1 (perfect inverse relationship) to +1 (perfect positive relationship). In commodity trading, calendar spreads (e.g., May-July) typically move in close correlation with the outright contract (e.g., May). When this correlation is high (rho &gt;= 80%), a spread hedge against an outright position is effective. When the correlation breaks down (rho falls to 50% or below), the hedge may no longer be working as expected, which is a signal that the trader needs to review their position. We compute a rolling 15-day Pearson correlation so we can track how the relationship has evolved recently, rather than looking at static long-term correlation which would not detect recent changes.</w:t>
      </w:r>
    </w:p>
    <w:p>
      <w:pPr>
        <w:pStyle w:val="Heading3"/>
        <w:spacing w:after="80" w:before="240"/>
      </w:pPr>
      <w:r>
        <w:rPr>
          <w:rFonts w:ascii="Calibri" w:cs="Calibri" w:eastAsia="Calibri" w:hAnsi="Calibri"/>
          <w:b/>
          <w:bCs/>
          <w:color w:val="1E3A5F"/>
          <w:sz w:val="28"/>
          <w:szCs w:val="28"/>
        </w:rPr>
        <w:t xml:space="preserve">Q8: Explain the expired-contract OI delta bug and how you fixed it.</w:t>
      </w:r>
    </w:p>
    <w:p>
      <w:pPr>
        <w:spacing w:after="100" w:before="40"/>
      </w:pPr>
      <w:r>
        <w:rPr>
          <w:color w:val="0F172A"/>
          <w:sz w:val="20"/>
          <w:szCs w:val="20"/>
        </w:rPr>
        <w:t xml:space="preserve">When computing daily change in Open Interest, the original code simply subtracted yesterday's total OI from today's total OI. The problem occurs when a contract expires: on the expiry day, that contract's OI goes from, say, 50,000 to 0. This zero is included in today's total, making the day's change appear as a large artificial negative drop even though no actual selling occurred — the contract simply matured. The fix was to compute the delta only for contracts present on both the current and previous trading day. If a contract exists today but not yesterday (new issuance), it is excluded from the delta. If a contract existed yesterday but not today (expired), it is excluded from the delta. This way, only genuine position changes between existing contracts are reflected in the daily OI change chart.</w:t>
      </w:r>
    </w:p>
    <w:p>
      <w:pPr>
        <w:pStyle w:val="Heading3"/>
        <w:spacing w:after="80" w:before="240"/>
      </w:pPr>
      <w:r>
        <w:rPr>
          <w:rFonts w:ascii="Calibri" w:cs="Calibri" w:eastAsia="Calibri" w:hAnsi="Calibri"/>
          <w:b/>
          <w:bCs/>
          <w:color w:val="1E3A5F"/>
          <w:sz w:val="28"/>
          <w:szCs w:val="28"/>
        </w:rPr>
        <w:t xml:space="preserve">Q9: How do you prevent duplicate Teams alerts from being sent?</w:t>
      </w:r>
    </w:p>
    <w:p>
      <w:pPr>
        <w:spacing w:after="100" w:before="40"/>
      </w:pPr>
      <w:r>
        <w:rPr>
          <w:color w:val="0F172A"/>
          <w:sz w:val="20"/>
          <w:szCs w:val="20"/>
        </w:rPr>
        <w:t xml:space="preserve">For Rho alerts, every alert that is sent is logged to the rho_alert_log table with the product, spread label, and alert date. Before firing any alert, we query this table for the most recent alert for the same product+spread combination. If the most recent alert was within the last 7 days, we suppress the new alert. This 7-day silence window ensures that if a correlation stays broken for multiple consecutive days, the team does not receive the same notification every day. For CFTC ATH/ATL alerts, a similar cftc_alert_log table with its own deduplication logic is used.</w:t>
      </w:r>
    </w:p>
    <w:p>
      <w:pPr>
        <w:pStyle w:val="Heading3"/>
        <w:spacing w:after="80" w:before="240"/>
      </w:pPr>
      <w:r>
        <w:rPr>
          <w:rFonts w:ascii="Calibri" w:cs="Calibri" w:eastAsia="Calibri" w:hAnsi="Calibri"/>
          <w:b/>
          <w:bCs/>
          <w:color w:val="1E3A5F"/>
          <w:sz w:val="28"/>
          <w:szCs w:val="28"/>
        </w:rPr>
        <w:t xml:space="preserve">Q10: How is the React frontend deployed alongside the Express backend?</w:t>
      </w:r>
    </w:p>
    <w:p>
      <w:pPr>
        <w:spacing w:after="100" w:before="40"/>
      </w:pPr>
      <w:r>
        <w:rPr>
          <w:color w:val="0F172A"/>
          <w:sz w:val="20"/>
          <w:szCs w:val="20"/>
        </w:rPr>
        <w:t xml:space="preserve">Running npm run build causes Vite to compile and bundle the entire React application into a dist/ directory containing an index.html file and hashed asset files (JavaScript, CSS). The Express server uses express.static(distPath) to serve these files directly. A catch-all route — app.get("/{*splat}") — returns index.html for any URL that does not start with /api, which allows React Router to handle all client-side navigation. Both frontend and backend run on the same domain and port (3002), so there are no cross-origin issues. After a code change, the workflow is: npm run build → pm2 restart backend → hard refresh browser.</w:t>
      </w:r>
    </w:p>
    <w:p>
      <w:pPr>
        <w:pStyle w:val="Heading3"/>
        <w:spacing w:after="80" w:before="240"/>
      </w:pPr>
      <w:r>
        <w:rPr>
          <w:rFonts w:ascii="Calibri" w:cs="Calibri" w:eastAsia="Calibri" w:hAnsi="Calibri"/>
          <w:b/>
          <w:bCs/>
          <w:color w:val="1E3A5F"/>
          <w:sz w:val="28"/>
          <w:szCs w:val="28"/>
        </w:rPr>
        <w:t xml:space="preserve">Q11: What would you improve or change if given more time?</w:t>
      </w:r>
    </w:p>
    <w:p>
      <w:pPr>
        <w:spacing w:after="100" w:before="40"/>
      </w:pPr>
      <w:r>
        <w:rPr>
          <w:color w:val="0F172A"/>
          <w:sz w:val="20"/>
          <w:szCs w:val="20"/>
        </w:rPr>
        <w:t xml:space="preserve">There are several improvements I would make with more time:</w:t>
      </w:r>
    </w:p>
    <w:p>
      <w:pPr>
        <w:pStyle w:val="ListParagraph"/>
        <w:numPr>
          <w:ilvl w:val="0"/>
          <w:numId w:val="1"/>
        </w:numPr>
        <w:spacing w:after="60"/>
      </w:pPr>
      <w:r>
        <w:rPr>
          <w:color w:val="334155"/>
          <w:sz w:val="20"/>
          <w:szCs w:val="20"/>
        </w:rPr>
        <w:t xml:space="preserve">Replace the temporary Cloudflare tunnel URL with a named Cloudflare tunnel that has a fixed custom domain. This eliminates the need to share a new URL after every PC restart.</w:t>
      </w:r>
    </w:p>
    <w:p>
      <w:pPr>
        <w:pStyle w:val="ListParagraph"/>
        <w:numPr>
          <w:ilvl w:val="0"/>
          <w:numId w:val="1"/>
        </w:numPr>
        <w:spacing w:after="60"/>
      </w:pPr>
      <w:r>
        <w:rPr>
          <w:color w:val="334155"/>
          <w:sz w:val="20"/>
          <w:szCs w:val="20"/>
        </w:rPr>
        <w:t xml:space="preserve">Set PM2 to start as a Windows Service using pm2-windows-startup, so the server starts automatically without requiring a user login.</w:t>
      </w:r>
    </w:p>
    <w:p>
      <w:pPr>
        <w:pStyle w:val="ListParagraph"/>
        <w:numPr>
          <w:ilvl w:val="0"/>
          <w:numId w:val="1"/>
        </w:numPr>
        <w:spacing w:after="60"/>
      </w:pPr>
      <w:r>
        <w:rPr>
          <w:color w:val="334155"/>
          <w:sz w:val="20"/>
          <w:szCs w:val="20"/>
        </w:rPr>
        <w:t xml:space="preserve">Add a proper database migration framework (such as db-migrate or Flyway) instead of ad-hoc migration scripts that run on server startup.</w:t>
      </w:r>
    </w:p>
    <w:p>
      <w:pPr>
        <w:pStyle w:val="ListParagraph"/>
        <w:numPr>
          <w:ilvl w:val="0"/>
          <w:numId w:val="1"/>
        </w:numPr>
        <w:spacing w:after="60"/>
      </w:pPr>
      <w:r>
        <w:rPr>
          <w:color w:val="334155"/>
          <w:sz w:val="20"/>
          <w:szCs w:val="20"/>
        </w:rPr>
        <w:t xml:space="preserve">Write unit tests for the critical calculation functions — specifically the Pearson correlation formula, the OI delta reconciliation logic, and the CFTC CSV parsing row mapper.</w:t>
      </w:r>
    </w:p>
    <w:p>
      <w:pPr>
        <w:pStyle w:val="ListParagraph"/>
        <w:numPr>
          <w:ilvl w:val="0"/>
          <w:numId w:val="1"/>
        </w:numPr>
        <w:spacing w:after="60"/>
      </w:pPr>
      <w:r>
        <w:rPr>
          <w:color w:val="334155"/>
          <w:sz w:val="20"/>
          <w:szCs w:val="20"/>
        </w:rPr>
        <w:t xml:space="preserve">Add React Error Boundaries so that a crash in one dashboard section does not take down the entire application.</w:t>
      </w:r>
    </w:p>
    <w:p>
      <w:pPr>
        <w:pStyle w:val="ListParagraph"/>
        <w:numPr>
          <w:ilvl w:val="0"/>
          <w:numId w:val="1"/>
        </w:numPr>
        <w:spacing w:after="60"/>
      </w:pPr>
      <w:r>
        <w:rPr>
          <w:color w:val="334155"/>
          <w:sz w:val="20"/>
          <w:szCs w:val="20"/>
        </w:rPr>
        <w:t xml:space="preserve">Consider WebSocket-based live updates for the OI and warehouse sections instead of requiring a manual page refresh.</w:t>
      </w:r>
    </w:p>
    <w:p>
      <w:pPr>
        <w:pStyle w:val="ListParagraph"/>
        <w:numPr>
          <w:ilvl w:val="0"/>
          <w:numId w:val="1"/>
        </w:numPr>
        <w:spacing w:after="60"/>
      </w:pPr>
      <w:r>
        <w:rPr>
          <w:color w:val="334155"/>
          <w:sz w:val="20"/>
          <w:szCs w:val="20"/>
        </w:rPr>
        <w:t xml:space="preserve">Move the Cloudflare tunnel management into the PM2 process list so it starts and restarts automatically alongside the backend.</w:t>
      </w:r>
    </w:p>
    <w:p>
      <w:pPr>
        <w:pBdr>
          <w:bottom w:val="single" w:color="E2E8F0" w:sz="6"/>
        </w:pBdr>
        <w:spacing w:after="160"/>
      </w:pPr>
    </w:p>
    <w:sectPr>
      <w:pgSz w:w="11906" w:h="16838" w:orient="portrait"/>
      <w:pgMar w:top="1440" w:right="1440"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SpreadCharts Technical Documentation</dc:title>
  <dc:creator>Ajit Yadav</dc:creator>
  <dc:description>Full technical documentation of the SpreadCharts internal trading analytics platform</dc:description>
  <cp:lastModifiedBy>Un-named</cp:lastModifiedBy>
  <cp:revision>1</cp:revision>
  <dcterms:created xsi:type="dcterms:W3CDTF">2026-06-25T08:51:38.533Z</dcterms:created>
  <dcterms:modified xsi:type="dcterms:W3CDTF">2026-06-25T08:51:38.533Z</dcterms:modified>
</cp:coreProperties>
</file>

<file path=docProps/custom.xml><?xml version="1.0" encoding="utf-8"?>
<Properties xmlns="http://schemas.openxmlformats.org/officeDocument/2006/custom-properties" xmlns:vt="http://schemas.openxmlformats.org/officeDocument/2006/docPropsVTypes"/>
</file>