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onsolas" w:hAnsi="Consolas"/>
          <w:b/>
          <w:color w:val="C47400"/>
          <w:sz w:val="22"/>
        </w:rPr>
        <w:t>AWS LANDING ZONE STUDIO</w:t>
      </w:r>
    </w:p>
    <w:p>
      <w:pPr>
        <w:spacing w:after="40"/>
      </w:pPr>
      <w:r>
        <w:rPr>
          <w:b/>
          <w:color w:val="232F3E"/>
          <w:sz w:val="68"/>
        </w:rPr>
        <w:t>Technical Manual</w:t>
      </w:r>
    </w:p>
    <w:p>
      <w:r>
        <w:rPr>
          <w:color w:val="6E7A8C"/>
          <w:sz w:val="24"/>
        </w:rPr>
        <w:t>Interactive multi-account Landing Zone design simulator, Well-Architected assessor, IaC generator, and AI advisor</w:t>
      </w:r>
    </w:p>
    <w:p/>
    <w:tbl>
      <w:tblPr>
        <w:tblW w:type="auto" w:w="0"/>
        <w:tblLook w:firstColumn="1" w:firstRow="1" w:lastColumn="0" w:lastRow="0" w:noHBand="0" w:noVBand="1" w:val="04A0"/>
      </w:tblPr>
      <w:tblGrid>
        <w:gridCol w:w="4320"/>
        <w:gridCol w:w="4320"/>
      </w:tblGrid>
      <w:tr>
        <w:tc>
          <w:tcPr>
            <w:tcW w:type="dxa" w:w="4320"/>
          </w:tcPr>
          <w:p>
            <w:r>
              <w:rPr>
                <w:b/>
                <w:sz w:val="20"/>
              </w:rPr>
              <w:t>Document</w:t>
            </w:r>
          </w:p>
        </w:tc>
        <w:tc>
          <w:tcPr>
            <w:tcW w:type="dxa" w:w="4320"/>
          </w:tcPr>
          <w:p>
            <w:r>
              <w:rPr>
                <w:sz w:val="20"/>
              </w:rPr>
              <w:t>Technical Manual / Architecture &amp; Operations Guide</w:t>
            </w:r>
          </w:p>
        </w:tc>
      </w:tr>
      <w:tr>
        <w:tc>
          <w:tcPr>
            <w:tcW w:type="dxa" w:w="4320"/>
          </w:tcPr>
          <w:p>
            <w:r>
              <w:rPr>
                <w:b/>
                <w:sz w:val="20"/>
              </w:rPr>
              <w:t>Application</w:t>
            </w:r>
          </w:p>
        </w:tc>
        <w:tc>
          <w:tcPr>
            <w:tcW w:type="dxa" w:w="4320"/>
          </w:tcPr>
          <w:p>
            <w:r>
              <w:rPr>
                <w:sz w:val="20"/>
              </w:rPr>
              <w:t>AWS Landing Zone Studio (Streamlit)</w:t>
            </w:r>
          </w:p>
        </w:tc>
      </w:tr>
      <w:tr>
        <w:tc>
          <w:tcPr>
            <w:tcW w:type="dxa" w:w="4320"/>
          </w:tcPr>
          <w:p>
            <w:r>
              <w:rPr>
                <w:b/>
                <w:sz w:val="20"/>
              </w:rPr>
              <w:t>Repository</w:t>
            </w:r>
          </w:p>
        </w:tc>
        <w:tc>
          <w:tcPr>
            <w:tcW w:type="dxa" w:w="4320"/>
          </w:tcPr>
          <w:p>
            <w:r>
              <w:rPr>
                <w:sz w:val="20"/>
              </w:rPr>
              <w:t>github.com/ajittgosavii/awslz</w:t>
            </w:r>
          </w:p>
        </w:tc>
      </w:tr>
      <w:tr>
        <w:tc>
          <w:tcPr>
            <w:tcW w:type="dxa" w:w="4320"/>
          </w:tcPr>
          <w:p>
            <w:r>
              <w:rPr>
                <w:b/>
                <w:sz w:val="20"/>
              </w:rPr>
              <w:t>Version</w:t>
            </w:r>
          </w:p>
        </w:tc>
        <w:tc>
          <w:tcPr>
            <w:tcW w:type="dxa" w:w="4320"/>
          </w:tcPr>
          <w:p>
            <w:r>
              <w:rPr>
                <w:sz w:val="20"/>
              </w:rPr>
              <w:t>1.0</w:t>
            </w:r>
          </w:p>
        </w:tc>
      </w:tr>
      <w:tr>
        <w:tc>
          <w:tcPr>
            <w:tcW w:type="dxa" w:w="4320"/>
          </w:tcPr>
          <w:p>
            <w:r>
              <w:rPr>
                <w:b/>
                <w:sz w:val="20"/>
              </w:rPr>
              <w:t>Date</w:t>
            </w:r>
          </w:p>
        </w:tc>
        <w:tc>
          <w:tcPr>
            <w:tcW w:type="dxa" w:w="4320"/>
          </w:tcPr>
          <w:p>
            <w:r>
              <w:rPr>
                <w:sz w:val="20"/>
              </w:rPr>
              <w:t>2026-06-14</w:t>
            </w:r>
          </w:p>
        </w:tc>
      </w:tr>
      <w:tr>
        <w:tc>
          <w:tcPr>
            <w:tcW w:type="dxa" w:w="4320"/>
          </w:tcPr>
          <w:p>
            <w:r>
              <w:rPr>
                <w:b/>
                <w:sz w:val="20"/>
              </w:rPr>
              <w:t>Audience</w:t>
            </w:r>
          </w:p>
        </w:tc>
        <w:tc>
          <w:tcPr>
            <w:tcW w:type="dxa" w:w="4320"/>
          </w:tcPr>
          <w:p>
            <w:r>
              <w:rPr>
                <w:sz w:val="20"/>
              </w:rPr>
              <w:t>Cloud architects, platform engineers, maintainers</w:t>
            </w:r>
          </w:p>
        </w:tc>
      </w:tr>
    </w:tbl>
    <w:p/>
    <w:p>
      <w:pPr>
        <w:spacing w:after="120"/>
      </w:pPr>
      <w:r>
        <w:rPr>
          <w:b w:val="0"/>
          <w:i/>
          <w:color w:val="6E7A8C"/>
          <w:sz w:val="19"/>
        </w:rPr>
        <w:t>Scores and costs produced by the tool are transparent planning estimates for exploring trade-offs — not a substitute for the official AWS Well-Architected Tool, the AWS Pricing Calculator, or your security/compliance review.</w:t>
      </w:r>
    </w:p>
    <w:p>
      <w:r>
        <w:br w:type="page"/>
      </w:r>
    </w:p>
    <w:p>
      <w:pPr>
        <w:pStyle w:val="Heading1"/>
      </w:pPr>
      <w:r>
        <w:t>1. Introduction</w:t>
      </w:r>
    </w:p>
    <w:p>
      <w:pPr>
        <w:spacing w:after="120"/>
      </w:pPr>
      <w:r>
        <w:rPr>
          <w:b w:val="0"/>
          <w:i w:val="0"/>
        </w:rPr>
        <w:t>AWS Landing Zone Studio is a Streamlit web application that helps cloud architects design, simulate, score, and operationalize AWS multi-account Landing Zones. Unlike diagramming tools (which visualize existing infrastructure) or deployment tools (which provision it), the Studio targets the design-and-decide phase: it lets an architect model account strategies, network patterns, identity and governance choices, and instantly see the resulting organization structure, guardrails, a six-pillar Well-Architected score, and a sourced cost estimate — then generate Infrastructure-as-Code and an AI-reviewed report.</w:t>
      </w:r>
    </w:p>
    <w:p>
      <w:pPr>
        <w:pStyle w:val="Heading2"/>
      </w:pPr>
      <w:r>
        <w:t>1.1 Capability summary</w:t>
      </w:r>
    </w:p>
    <w:tbl>
      <w:tblPr>
        <w:tblStyle w:val="LightGrid-Accent1"/>
        <w:tblW w:type="auto" w:w="0"/>
        <w:jc w:val="left"/>
        <w:tblLook w:firstColumn="1" w:firstRow="1" w:lastColumn="0" w:lastRow="0" w:noHBand="0" w:noVBand="1" w:val="04A0"/>
      </w:tblPr>
      <w:tblGrid>
        <w:gridCol w:w="4320"/>
        <w:gridCol w:w="4320"/>
      </w:tblGrid>
      <w:tr>
        <w:tc>
          <w:tcPr>
            <w:tcW w:type="dxa" w:w="2304"/>
          </w:tcPr>
          <w:p>
            <w:r/>
            <w:r>
              <w:rPr>
                <w:b/>
                <w:sz w:val="19"/>
              </w:rPr>
              <w:t>Area</w:t>
            </w:r>
          </w:p>
        </w:tc>
        <w:tc>
          <w:tcPr>
            <w:tcW w:type="dxa" w:w="6624"/>
          </w:tcPr>
          <w:p>
            <w:r/>
            <w:r>
              <w:rPr>
                <w:b/>
                <w:sz w:val="19"/>
              </w:rPr>
              <w:t>What it provides</w:t>
            </w:r>
          </w:p>
        </w:tc>
      </w:tr>
      <w:tr>
        <w:tc>
          <w:tcPr>
            <w:tcW w:type="dxa" w:w="2304"/>
          </w:tcPr>
          <w:p>
            <w:r/>
            <w:r>
              <w:rPr>
                <w:sz w:val="19"/>
              </w:rPr>
              <w:t>Design Studio</w:t>
            </w:r>
          </w:p>
        </w:tc>
        <w:tc>
          <w:tcPr>
            <w:tcW w:type="dxa" w:w="6624"/>
          </w:tcPr>
          <w:p>
            <w:r/>
            <w:r>
              <w:rPr>
                <w:sz w:val="19"/>
              </w:rPr>
              <w:t>Live org/OU tree, network topology, guardrail (SCP) table, 5-dimension scorecard, sourced cost breakdown, maturity level</w:t>
            </w:r>
          </w:p>
        </w:tc>
      </w:tr>
      <w:tr>
        <w:tc>
          <w:tcPr>
            <w:tcW w:type="dxa" w:w="2304"/>
          </w:tcPr>
          <w:p>
            <w:r/>
            <w:r>
              <w:rPr>
                <w:sz w:val="19"/>
              </w:rPr>
              <w:t>Simulator</w:t>
            </w:r>
          </w:p>
        </w:tc>
        <w:tc>
          <w:tcPr>
            <w:tcW w:type="dxa" w:w="6624"/>
          </w:tcPr>
          <w:p>
            <w:r/>
            <w:r>
              <w:rPr>
                <w:sz w:val="19"/>
              </w:rPr>
              <w:t>Side-by-side comparison of all account strategies + growth stress-test</w:t>
            </w:r>
          </w:p>
        </w:tc>
      </w:tr>
      <w:tr>
        <w:tc>
          <w:tcPr>
            <w:tcW w:type="dxa" w:w="2304"/>
          </w:tcPr>
          <w:p>
            <w:r/>
            <w:r>
              <w:rPr>
                <w:sz w:val="19"/>
              </w:rPr>
              <w:t>Playbooks</w:t>
            </w:r>
          </w:p>
        </w:tc>
        <w:tc>
          <w:tcPr>
            <w:tcW w:type="dxa" w:w="6624"/>
          </w:tcPr>
          <w:p>
            <w:r/>
            <w:r>
              <w:rPr>
                <w:sz w:val="19"/>
              </w:rPr>
              <w:t>Scenario lifecycle simulations: M&amp;A integration (DX+SD-WAN connect, MGN VM migration), replicate/absorb, hybrid network, divestiture, expansion, compliance, scale-out; one-click replication IaC</w:t>
            </w:r>
          </w:p>
        </w:tc>
      </w:tr>
      <w:tr>
        <w:tc>
          <w:tcPr>
            <w:tcW w:type="dxa" w:w="2304"/>
          </w:tcPr>
          <w:p>
            <w:r/>
            <w:r>
              <w:rPr>
                <w:sz w:val="19"/>
              </w:rPr>
              <w:t>Guide</w:t>
            </w:r>
          </w:p>
        </w:tc>
        <w:tc>
          <w:tcPr>
            <w:tcW w:type="dxa" w:w="6624"/>
          </w:tcPr>
          <w:p>
            <w:r/>
            <w:r>
              <w:rPr>
                <w:sz w:val="19"/>
              </w:rPr>
              <w:t>In-app user guide: quick start, per-tab how-to, workflows, FAQ</w:t>
            </w:r>
          </w:p>
        </w:tc>
      </w:tr>
      <w:tr>
        <w:tc>
          <w:tcPr>
            <w:tcW w:type="dxa" w:w="2304"/>
          </w:tcPr>
          <w:p>
            <w:r/>
            <w:r>
              <w:rPr>
                <w:sz w:val="19"/>
              </w:rPr>
              <w:t>CIDR</w:t>
            </w:r>
          </w:p>
        </w:tc>
        <w:tc>
          <w:tcPr>
            <w:tcW w:type="dxa" w:w="6624"/>
          </w:tcPr>
          <w:p>
            <w:r/>
            <w:r>
              <w:rPr>
                <w:sz w:val="19"/>
              </w:rPr>
              <w:t>IP address planner: allocate supernet→VPC→subnet with a utilization treemap, overlap check, inspect, subdivide</w:t>
            </w:r>
          </w:p>
        </w:tc>
      </w:tr>
      <w:tr>
        <w:tc>
          <w:tcPr>
            <w:tcW w:type="dxa" w:w="2304"/>
          </w:tcPr>
          <w:p>
            <w:r/>
            <w:r>
              <w:rPr>
                <w:sz w:val="19"/>
              </w:rPr>
              <w:t>Well-Architected</w:t>
            </w:r>
          </w:p>
        </w:tc>
        <w:tc>
          <w:tcPr>
            <w:tcW w:type="dxa" w:w="6624"/>
          </w:tcPr>
          <w:p>
            <w:r/>
            <w:r>
              <w:rPr>
                <w:sz w:val="19"/>
              </w:rPr>
              <w:t>25 weighted checks across 6 pillars, each mapped to an official best practice; one-click remediations</w:t>
            </w:r>
          </w:p>
        </w:tc>
      </w:tr>
      <w:tr>
        <w:tc>
          <w:tcPr>
            <w:tcW w:type="dxa" w:w="2304"/>
          </w:tcPr>
          <w:p>
            <w:r/>
            <w:r>
              <w:rPr>
                <w:sz w:val="19"/>
              </w:rPr>
              <w:t>IaC</w:t>
            </w:r>
          </w:p>
        </w:tc>
        <w:tc>
          <w:tcPr>
            <w:tcW w:type="dxa" w:w="6624"/>
          </w:tcPr>
          <w:p>
            <w:r/>
            <w:r>
              <w:rPr>
                <w:sz w:val="19"/>
              </w:rPr>
              <w:t>Export Terraform / LZA config / Control Tower checklist; reverse-import and score existing IaC</w:t>
            </w:r>
          </w:p>
        </w:tc>
      </w:tr>
      <w:tr>
        <w:tc>
          <w:tcPr>
            <w:tcW w:type="dxa" w:w="2304"/>
          </w:tcPr>
          <w:p>
            <w:r/>
            <w:r>
              <w:rPr>
                <w:sz w:val="19"/>
              </w:rPr>
              <w:t>Live Estate</w:t>
            </w:r>
          </w:p>
        </w:tc>
        <w:tc>
          <w:tcPr>
            <w:tcW w:type="dxa" w:w="6624"/>
          </w:tcPr>
          <w:p>
            <w:r/>
            <w:r>
              <w:rPr>
                <w:sz w:val="19"/>
              </w:rPr>
              <w:t>Read-only AWS Organizations scan with confidence-rated signals; Control Tower confirmed via API</w:t>
            </w:r>
          </w:p>
        </w:tc>
      </w:tr>
      <w:tr>
        <w:tc>
          <w:tcPr>
            <w:tcW w:type="dxa" w:w="2304"/>
          </w:tcPr>
          <w:p>
            <w:r/>
            <w:r>
              <w:rPr>
                <w:sz w:val="19"/>
              </w:rPr>
              <w:t>Drift &amp; History</w:t>
            </w:r>
          </w:p>
        </w:tc>
        <w:tc>
          <w:tcPr>
            <w:tcW w:type="dxa" w:w="6624"/>
          </w:tcPr>
          <w:p>
            <w:r/>
            <w:r>
              <w:rPr>
                <w:sz w:val="19"/>
              </w:rPr>
              <w:t>Target/actual snapshots over time, scheduled collection, target-vs-actual gap</w:t>
            </w:r>
          </w:p>
        </w:tc>
      </w:tr>
      <w:tr>
        <w:tc>
          <w:tcPr>
            <w:tcW w:type="dxa" w:w="2304"/>
          </w:tcPr>
          <w:p>
            <w:r/>
            <w:r>
              <w:rPr>
                <w:sz w:val="19"/>
              </w:rPr>
              <w:t>Scenarios</w:t>
            </w:r>
          </w:p>
        </w:tc>
        <w:tc>
          <w:tcPr>
            <w:tcW w:type="dxa" w:w="6624"/>
          </w:tcPr>
          <w:p>
            <w:r/>
            <w:r>
              <w:rPr>
                <w:sz w:val="19"/>
              </w:rPr>
              <w:t>Durable saved designs, A/B comparison, JSON import/export, shareable links, comments</w:t>
            </w:r>
          </w:p>
        </w:tc>
      </w:tr>
      <w:tr>
        <w:tc>
          <w:tcPr>
            <w:tcW w:type="dxa" w:w="2304"/>
          </w:tcPr>
          <w:p>
            <w:r/>
            <w:r>
              <w:rPr>
                <w:sz w:val="19"/>
              </w:rPr>
              <w:t>AI Advisor</w:t>
            </w:r>
          </w:p>
        </w:tc>
        <w:tc>
          <w:tcPr>
            <w:tcW w:type="dxa" w:w="6624"/>
          </w:tcPr>
          <w:p>
            <w:r/>
            <w:r>
              <w:rPr>
                <w:sz w:val="19"/>
              </w:rPr>
              <w:t>Streaming design review, best-practice comparison, roadmap (Claude / OpenAI)</w:t>
            </w:r>
          </w:p>
        </w:tc>
      </w:tr>
    </w:tbl>
    <w:p>
      <w:pPr>
        <w:spacing w:after="40"/>
      </w:pPr>
    </w:p>
    <w:p>
      <w:pPr>
        <w:pStyle w:val="Heading2"/>
      </w:pPr>
      <w:r>
        <w:t>1.2 Technology stack</w:t>
      </w:r>
    </w:p>
    <w:p>
      <w:pPr>
        <w:pStyle w:val="ListBullet"/>
      </w:pPr>
      <w:r>
        <w:rPr>
          <w:b/>
        </w:rPr>
        <w:t xml:space="preserve">Frontend / runtime: </w:t>
      </w:r>
      <w:r>
        <w:t>Streamlit (Python), Plotly charts, Graphviz + streamlit-agraph diagrams</w:t>
      </w:r>
    </w:p>
    <w:p>
      <w:pPr>
        <w:pStyle w:val="ListBullet"/>
      </w:pPr>
      <w:r>
        <w:rPr>
          <w:b/>
        </w:rPr>
        <w:t xml:space="preserve">Domain logic: </w:t>
      </w:r>
      <w:r>
        <w:t>Pure-Python modules (dataclasses), unit-testable and UI-agnostic</w:t>
      </w:r>
    </w:p>
    <w:p>
      <w:pPr>
        <w:pStyle w:val="ListBullet"/>
      </w:pPr>
      <w:r>
        <w:rPr>
          <w:b/>
        </w:rPr>
        <w:t xml:space="preserve">AI: </w:t>
      </w:r>
      <w:r>
        <w:t>Anthropic Claude (default, streaming) and OpenAI GPT-4o fallback</w:t>
      </w:r>
    </w:p>
    <w:p>
      <w:pPr>
        <w:pStyle w:val="ListBullet"/>
      </w:pPr>
      <w:r>
        <w:rPr>
          <w:b/>
        </w:rPr>
        <w:t xml:space="preserve">AWS integration: </w:t>
      </w:r>
      <w:r>
        <w:t>boto3 (read-only Organizations / Control Tower / Pricing)</w:t>
      </w:r>
    </w:p>
    <w:p>
      <w:pPr>
        <w:pStyle w:val="ListBullet"/>
      </w:pPr>
      <w:r>
        <w:rPr>
          <w:b/>
        </w:rPr>
        <w:t xml:space="preserve">Persistence: </w:t>
      </w:r>
      <w:r>
        <w:t>Pluggable PostgreSQL or SQLite behind one API</w:t>
      </w:r>
    </w:p>
    <w:p>
      <w:pPr>
        <w:pStyle w:val="ListBullet"/>
      </w:pPr>
      <w:r>
        <w:rPr>
          <w:b/>
        </w:rPr>
        <w:t xml:space="preserve">Reporting: </w:t>
      </w:r>
      <w:r>
        <w:t>fpdf2 (branded PDF), python-docx (this manual)</w:t>
      </w:r>
    </w:p>
    <w:p>
      <w:pPr>
        <w:pStyle w:val="ListBullet"/>
      </w:pPr>
      <w:r>
        <w:rPr>
          <w:b/>
        </w:rPr>
        <w:t xml:space="preserve">CI/CD: </w:t>
      </w:r>
      <w:r>
        <w:t>GitHub Actions — compile + store tests against real Postgres; scheduled drift collector via OIDC</w:t>
      </w:r>
    </w:p>
    <w:p>
      <w:pPr>
        <w:pStyle w:val="Heading1"/>
      </w:pPr>
      <w:r>
        <w:t>2. Architecture</w:t>
      </w:r>
    </w:p>
    <w:p>
      <w:pPr>
        <w:spacing w:after="120"/>
      </w:pPr>
      <w:r>
        <w:rPr>
          <w:b w:val="0"/>
          <w:i w:val="0"/>
        </w:rPr>
        <w:t>The application is layered: a thin Streamlit presentation layer (app.py + ui.py) over stateless, pure-Python domain modules, with side-effecting integrations (AWS, LLM, database) isolated in their own modules. All domain logic is deterministic and independently testable; nothing in lz_core/waf/pricing imports Streamlit.</w:t>
      </w:r>
    </w:p>
    <w:p>
      <w:pPr>
        <w:pStyle w:val="Heading2"/>
      </w:pPr>
      <w:r>
        <w:t>2.1 Layer map</w:t>
      </w:r>
    </w:p>
    <w:tbl>
      <w:tblPr>
        <w:tblStyle w:val="LightGrid-Accent1"/>
        <w:tblW w:type="auto" w:w="0"/>
        <w:jc w:val="left"/>
        <w:tblLook w:firstColumn="1" w:firstRow="1" w:lastColumn="0" w:lastRow="0" w:noHBand="0" w:noVBand="1" w:val="04A0"/>
      </w:tblPr>
      <w:tblGrid>
        <w:gridCol w:w="2880"/>
        <w:gridCol w:w="2880"/>
        <w:gridCol w:w="2880"/>
      </w:tblGrid>
      <w:tr>
        <w:tc>
          <w:tcPr>
            <w:tcW w:type="dxa" w:w="1872"/>
          </w:tcPr>
          <w:p>
            <w:r/>
            <w:r>
              <w:rPr>
                <w:b/>
                <w:sz w:val="19"/>
              </w:rPr>
              <w:t>Layer</w:t>
            </w:r>
          </w:p>
        </w:tc>
        <w:tc>
          <w:tcPr>
            <w:tcW w:type="dxa" w:w="3888"/>
          </w:tcPr>
          <w:p>
            <w:r/>
            <w:r>
              <w:rPr>
                <w:b/>
                <w:sz w:val="19"/>
              </w:rPr>
              <w:t>Modules</w:t>
            </w:r>
          </w:p>
        </w:tc>
        <w:tc>
          <w:tcPr>
            <w:tcW w:type="dxa" w:w="3744"/>
          </w:tcPr>
          <w:p>
            <w:r/>
            <w:r>
              <w:rPr>
                <w:b/>
                <w:sz w:val="19"/>
              </w:rPr>
              <w:t>Responsibility</w:t>
            </w:r>
          </w:p>
        </w:tc>
      </w:tr>
      <w:tr>
        <w:tc>
          <w:tcPr>
            <w:tcW w:type="dxa" w:w="1872"/>
          </w:tcPr>
          <w:p>
            <w:r/>
            <w:r>
              <w:rPr>
                <w:sz w:val="19"/>
              </w:rPr>
              <w:t>Presentation</w:t>
            </w:r>
          </w:p>
        </w:tc>
        <w:tc>
          <w:tcPr>
            <w:tcW w:type="dxa" w:w="3888"/>
          </w:tcPr>
          <w:p>
            <w:r/>
            <w:r>
              <w:rPr>
                <w:sz w:val="19"/>
              </w:rPr>
              <w:t>app.py, ui.py</w:t>
            </w:r>
          </w:p>
        </w:tc>
        <w:tc>
          <w:tcPr>
            <w:tcW w:type="dxa" w:w="3744"/>
          </w:tcPr>
          <w:p>
            <w:r/>
            <w:r>
              <w:rPr>
                <w:sz w:val="19"/>
              </w:rPr>
              <w:t>Tabs, charts, chat, theme, login gate, session state</w:t>
            </w:r>
          </w:p>
        </w:tc>
      </w:tr>
      <w:tr>
        <w:tc>
          <w:tcPr>
            <w:tcW w:type="dxa" w:w="1872"/>
          </w:tcPr>
          <w:p>
            <w:r/>
            <w:r>
              <w:rPr>
                <w:sz w:val="19"/>
              </w:rPr>
              <w:t>Domain</w:t>
            </w:r>
          </w:p>
        </w:tc>
        <w:tc>
          <w:tcPr>
            <w:tcW w:type="dxa" w:w="3888"/>
          </w:tcPr>
          <w:p>
            <w:r/>
            <w:r>
              <w:rPr>
                <w:sz w:val="19"/>
              </w:rPr>
              <w:t>lz_core.py, waf.py, pricing.py, maturity.py, fixes.py, roadmap.py</w:t>
            </w:r>
          </w:p>
        </w:tc>
        <w:tc>
          <w:tcPr>
            <w:tcW w:type="dxa" w:w="3744"/>
          </w:tcPr>
          <w:p>
            <w:r/>
            <w:r>
              <w:rPr>
                <w:sz w:val="19"/>
              </w:rPr>
              <w:t>Account math, scoring, cost, WAF assessment, maturity, remediations</w:t>
            </w:r>
          </w:p>
        </w:tc>
      </w:tr>
      <w:tr>
        <w:tc>
          <w:tcPr>
            <w:tcW w:type="dxa" w:w="1872"/>
          </w:tcPr>
          <w:p>
            <w:r/>
            <w:r>
              <w:rPr>
                <w:sz w:val="19"/>
              </w:rPr>
              <w:t>Generation</w:t>
            </w:r>
          </w:p>
        </w:tc>
        <w:tc>
          <w:tcPr>
            <w:tcW w:type="dxa" w:w="3888"/>
          </w:tcPr>
          <w:p>
            <w:r/>
            <w:r>
              <w:rPr>
                <w:sz w:val="19"/>
              </w:rPr>
              <w:t>iac.py, iac_import.py, diagrams.py, interactive_diagrams.py, report.py</w:t>
            </w:r>
          </w:p>
        </w:tc>
        <w:tc>
          <w:tcPr>
            <w:tcW w:type="dxa" w:w="3744"/>
          </w:tcPr>
          <w:p>
            <w:r/>
            <w:r>
              <w:rPr>
                <w:sz w:val="19"/>
              </w:rPr>
              <w:t>IaC export/import, diagrams, PDF report</w:t>
            </w:r>
          </w:p>
        </w:tc>
      </w:tr>
      <w:tr>
        <w:tc>
          <w:tcPr>
            <w:tcW w:type="dxa" w:w="1872"/>
          </w:tcPr>
          <w:p>
            <w:r/>
            <w:r>
              <w:rPr>
                <w:sz w:val="19"/>
              </w:rPr>
              <w:t>Integration</w:t>
            </w:r>
          </w:p>
        </w:tc>
        <w:tc>
          <w:tcPr>
            <w:tcW w:type="dxa" w:w="3888"/>
          </w:tcPr>
          <w:p>
            <w:r/>
            <w:r>
              <w:rPr>
                <w:sz w:val="19"/>
              </w:rPr>
              <w:t>live_aws.py, drift_collector.py, llm.py, store.py, sharing.py</w:t>
            </w:r>
          </w:p>
        </w:tc>
        <w:tc>
          <w:tcPr>
            <w:tcW w:type="dxa" w:w="3744"/>
          </w:tcPr>
          <w:p>
            <w:r/>
            <w:r>
              <w:rPr>
                <w:sz w:val="19"/>
              </w:rPr>
              <w:t>AWS scan, scheduled collection, LLM, persistence, share links</w:t>
            </w:r>
          </w:p>
        </w:tc>
      </w:tr>
    </w:tbl>
    <w:p>
      <w:pPr>
        <w:spacing w:after="40"/>
      </w:pPr>
    </w:p>
    <w:p>
      <w:pPr>
        <w:pStyle w:val="Heading2"/>
      </w:pPr>
      <w:r>
        <w:t>2.2 Request / data flow</w:t>
      </w:r>
    </w:p>
    <w:p>
      <w:pPr>
        <w:spacing w:after="120"/>
      </w:pPr>
      <w:r>
        <w:rPr>
          <w:b w:val="0"/>
          <w:i w:val="0"/>
        </w:rPr>
        <w:t>On each interaction Streamlit re-runs app.py top-to-bottom. The current design lives in st.session_state as an LZDesign dataclass. Derived values (scores, cost, accounts, WAF assessment) are recomputed each run from that single source of truth:</w:t>
      </w:r>
    </w:p>
    <w:p>
      <w:pPr>
        <w:spacing w:before="80" w:after="160"/>
        <w:ind w:left="173"/>
        <w:shd w:val="clear" w:fill="F4F6F9"/>
      </w:pPr>
      <w:r>
        <w:rPr>
          <w:rFonts w:ascii="Consolas" w:hAnsi="Consolas"/>
          <w:color w:val="1A242E"/>
          <w:sz w:val="18"/>
        </w:rPr>
        <w:t>LZDesign (session_state)</w:t>
        <w:br/>
      </w:r>
      <w:r>
        <w:rPr>
          <w:rFonts w:ascii="Consolas" w:hAnsi="Consolas"/>
          <w:color w:val="1A242E"/>
          <w:sz w:val="18"/>
        </w:rPr>
        <w:t xml:space="preserve">      │</w:t>
        <w:br/>
      </w:r>
      <w:r>
        <w:rPr>
          <w:rFonts w:ascii="Consolas" w:hAnsi="Consolas"/>
          <w:color w:val="1A242E"/>
          <w:sz w:val="18"/>
        </w:rPr>
        <w:t xml:space="preserve">      ├─ score_design()        → 5-dimension scorecard (+ explain_scores)</w:t>
        <w:br/>
      </w:r>
      <w:r>
        <w:rPr>
          <w:rFonts w:ascii="Consolas" w:hAnsi="Consolas"/>
          <w:color w:val="1A242E"/>
          <w:sz w:val="18"/>
        </w:rPr>
        <w:t xml:space="preserve">      ├─ estimate_monthly_cost() → cost items + traceable basis</w:t>
        <w:br/>
      </w:r>
      <w:r>
        <w:rPr>
          <w:rFonts w:ascii="Consolas" w:hAnsi="Consolas"/>
          <w:color w:val="1A242E"/>
          <w:sz w:val="18"/>
        </w:rPr>
        <w:t xml:space="preserve">      ├─ total_accounts()      → org account math</w:t>
        <w:br/>
      </w:r>
      <w:r>
        <w:rPr>
          <w:rFonts w:ascii="Consolas" w:hAnsi="Consolas"/>
          <w:color w:val="1A242E"/>
          <w:sz w:val="18"/>
        </w:rPr>
        <w:t xml:space="preserve">      └─ waf.assess()          → 6 pillars × weighted checks</w:t>
        <w:br/>
      </w:r>
      <w:r>
        <w:rPr>
          <w:rFonts w:ascii="Consolas" w:hAnsi="Consolas"/>
          <w:color w:val="1A242E"/>
          <w:sz w:val="18"/>
        </w:rPr>
        <w:t xml:space="preserve">                                   │</w:t>
        <w:br/>
      </w:r>
      <w:r>
        <w:rPr>
          <w:rFonts w:ascii="Consolas" w:hAnsi="Consolas"/>
          <w:color w:val="1A242E"/>
          <w:sz w:val="18"/>
        </w:rPr>
        <w:t xml:space="preserve">                                   ├─ fixes.apply_fix()  (one-click remediation)</w:t>
        <w:br/>
      </w:r>
      <w:r>
        <w:rPr>
          <w:rFonts w:ascii="Consolas" w:hAnsi="Consolas"/>
          <w:color w:val="1A242E"/>
          <w:sz w:val="18"/>
        </w:rPr>
        <w:t xml:space="preserve">                                   ├─ report.build_pdf_report()</w:t>
        <w:br/>
      </w:r>
      <w:r>
        <w:rPr>
          <w:rFonts w:ascii="Consolas" w:hAnsi="Consolas"/>
          <w:color w:val="1A242E"/>
          <w:sz w:val="18"/>
        </w:rPr>
        <w:t xml:space="preserve">                                   └─ llm.stream_completion()  (AI advisor)</w:t>
        <w:br/>
      </w:r>
    </w:p>
    <w:p>
      <w:pPr>
        <w:pStyle w:val="Heading1"/>
      </w:pPr>
      <w:r>
        <w:t>3. Module reference</w:t>
      </w:r>
    </w:p>
    <w:tbl>
      <w:tblPr>
        <w:tblStyle w:val="LightGrid-Accent1"/>
        <w:tblW w:type="auto" w:w="0"/>
        <w:jc w:val="left"/>
        <w:tblLook w:firstColumn="1" w:firstRow="1" w:lastColumn="0" w:lastRow="0" w:noHBand="0" w:noVBand="1" w:val="04A0"/>
      </w:tblPr>
      <w:tblGrid>
        <w:gridCol w:w="4320"/>
        <w:gridCol w:w="4320"/>
      </w:tblGrid>
      <w:tr>
        <w:tc>
          <w:tcPr>
            <w:tcW w:type="dxa" w:w="2448"/>
          </w:tcPr>
          <w:p>
            <w:r/>
            <w:r>
              <w:rPr>
                <w:b/>
                <w:sz w:val="19"/>
              </w:rPr>
              <w:t>Module</w:t>
            </w:r>
          </w:p>
        </w:tc>
        <w:tc>
          <w:tcPr>
            <w:tcW w:type="dxa" w:w="6480"/>
          </w:tcPr>
          <w:p>
            <w:r/>
            <w:r>
              <w:rPr>
                <w:b/>
                <w:sz w:val="19"/>
              </w:rPr>
              <w:t>Purpose</w:t>
            </w:r>
          </w:p>
        </w:tc>
      </w:tr>
      <w:tr>
        <w:tc>
          <w:tcPr>
            <w:tcW w:type="dxa" w:w="2448"/>
          </w:tcPr>
          <w:p>
            <w:r/>
            <w:r>
              <w:rPr>
                <w:sz w:val="19"/>
              </w:rPr>
              <w:t>app.py</w:t>
            </w:r>
          </w:p>
        </w:tc>
        <w:tc>
          <w:tcPr>
            <w:tcW w:type="dxa" w:w="6480"/>
          </w:tcPr>
          <w:p>
            <w:r/>
            <w:r>
              <w:rPr>
                <w:sz w:val="19"/>
              </w:rPr>
              <w:t>Streamlit UI — all tabs, charts, chat, session wiring, one-click fixes</w:t>
            </w:r>
          </w:p>
        </w:tc>
      </w:tr>
      <w:tr>
        <w:tc>
          <w:tcPr>
            <w:tcW w:type="dxa" w:w="2448"/>
          </w:tcPr>
          <w:p>
            <w:r/>
            <w:r>
              <w:rPr>
                <w:sz w:val="19"/>
              </w:rPr>
              <w:t>ui.py</w:t>
            </w:r>
          </w:p>
        </w:tc>
        <w:tc>
          <w:tcPr>
            <w:tcW w:type="dxa" w:w="6480"/>
          </w:tcPr>
          <w:p>
            <w:r/>
            <w:r>
              <w:rPr>
                <w:sz w:val="19"/>
              </w:rPr>
              <w:t>Enterprise theme (CSS), branded chrome, animated login gate (single/multi-user)</w:t>
            </w:r>
          </w:p>
        </w:tc>
      </w:tr>
      <w:tr>
        <w:tc>
          <w:tcPr>
            <w:tcW w:type="dxa" w:w="2448"/>
          </w:tcPr>
          <w:p>
            <w:r/>
            <w:r>
              <w:rPr>
                <w:sz w:val="19"/>
              </w:rPr>
              <w:t>lz_core.py</w:t>
            </w:r>
          </w:p>
        </w:tc>
        <w:tc>
          <w:tcPr>
            <w:tcW w:type="dxa" w:w="6480"/>
          </w:tcPr>
          <w:p>
            <w:r/>
            <w:r>
              <w:rPr>
                <w:sz w:val="19"/>
              </w:rPr>
              <w:t>Domain core: account math, transparent scoring, sourced cost model, SCP recommendations, rule-based design suggester</w:t>
            </w:r>
          </w:p>
        </w:tc>
      </w:tr>
      <w:tr>
        <w:tc>
          <w:tcPr>
            <w:tcW w:type="dxa" w:w="2448"/>
          </w:tcPr>
          <w:p>
            <w:r/>
            <w:r>
              <w:rPr>
                <w:sz w:val="19"/>
              </w:rPr>
              <w:t>pricing.py</w:t>
            </w:r>
          </w:p>
        </w:tc>
        <w:tc>
          <w:tcPr>
            <w:tcW w:type="dxa" w:w="6480"/>
          </w:tcPr>
          <w:p>
            <w:r/>
            <w:r>
              <w:rPr>
                <w:sz w:val="19"/>
              </w:rPr>
              <w:t>Sourced AWS list prices + stated usage assumptions + optional live Price List API overlay</w:t>
            </w:r>
          </w:p>
        </w:tc>
      </w:tr>
      <w:tr>
        <w:tc>
          <w:tcPr>
            <w:tcW w:type="dxa" w:w="2448"/>
          </w:tcPr>
          <w:p>
            <w:r/>
            <w:r>
              <w:rPr>
                <w:sz w:val="19"/>
              </w:rPr>
              <w:t>waf.py</w:t>
            </w:r>
          </w:p>
        </w:tc>
        <w:tc>
          <w:tcPr>
            <w:tcW w:type="dxa" w:w="6480"/>
          </w:tcPr>
          <w:p>
            <w:r/>
            <w:r>
              <w:rPr>
                <w:sz w:val="19"/>
              </w:rPr>
              <w:t>Well-Architected engine — 25 weighted checks, official best-practice mapping (exact/adapted)</w:t>
            </w:r>
          </w:p>
        </w:tc>
      </w:tr>
      <w:tr>
        <w:tc>
          <w:tcPr>
            <w:tcW w:type="dxa" w:w="2448"/>
          </w:tcPr>
          <w:p>
            <w:r/>
            <w:r>
              <w:rPr>
                <w:sz w:val="19"/>
              </w:rPr>
              <w:t>fixes.py</w:t>
            </w:r>
          </w:p>
        </w:tc>
        <w:tc>
          <w:tcPr>
            <w:tcW w:type="dxa" w:w="6480"/>
          </w:tcPr>
          <w:p>
            <w:r/>
            <w:r>
              <w:rPr>
                <w:sz w:val="19"/>
              </w:rPr>
              <w:t>One-click remediation engine — maps findings to design mutations</w:t>
            </w:r>
          </w:p>
        </w:tc>
      </w:tr>
      <w:tr>
        <w:tc>
          <w:tcPr>
            <w:tcW w:type="dxa" w:w="2448"/>
          </w:tcPr>
          <w:p>
            <w:r/>
            <w:r>
              <w:rPr>
                <w:sz w:val="19"/>
              </w:rPr>
              <w:t>maturity.py</w:t>
            </w:r>
          </w:p>
        </w:tc>
        <w:tc>
          <w:tcPr>
            <w:tcW w:type="dxa" w:w="6480"/>
          </w:tcPr>
          <w:p>
            <w:r/>
            <w:r>
              <w:rPr>
                <w:sz w:val="19"/>
              </w:rPr>
              <w:t>Maturity levels, next-best-action, peer benchmark profiles</w:t>
            </w:r>
          </w:p>
        </w:tc>
      </w:tr>
      <w:tr>
        <w:tc>
          <w:tcPr>
            <w:tcW w:type="dxa" w:w="2448"/>
          </w:tcPr>
          <w:p>
            <w:r/>
            <w:r>
              <w:rPr>
                <w:sz w:val="19"/>
              </w:rPr>
              <w:t>playbooks.py</w:t>
            </w:r>
          </w:p>
        </w:tc>
        <w:tc>
          <w:tcPr>
            <w:tcW w:type="dxa" w:w="6480"/>
          </w:tcPr>
          <w:p>
            <w:r/>
            <w:r>
              <w:rPr>
                <w:sz w:val="19"/>
              </w:rPr>
              <w:t>Scenario lifecycle simulations (M&amp;A, divestiture, expansion, compliance, scale-out) with grounded runbooks</w:t>
            </w:r>
          </w:p>
        </w:tc>
      </w:tr>
      <w:tr>
        <w:tc>
          <w:tcPr>
            <w:tcW w:type="dxa" w:w="2448"/>
          </w:tcPr>
          <w:p>
            <w:r/>
            <w:r>
              <w:rPr>
                <w:sz w:val="19"/>
              </w:rPr>
              <w:t>guide.py</w:t>
            </w:r>
          </w:p>
        </w:tc>
        <w:tc>
          <w:tcPr>
            <w:tcW w:type="dxa" w:w="6480"/>
          </w:tcPr>
          <w:p>
            <w:r/>
            <w:r>
              <w:rPr>
                <w:sz w:val="19"/>
              </w:rPr>
              <w:t>In-app user guide tab</w:t>
            </w:r>
          </w:p>
        </w:tc>
      </w:tr>
      <w:tr>
        <w:tc>
          <w:tcPr>
            <w:tcW w:type="dxa" w:w="2448"/>
          </w:tcPr>
          <w:p>
            <w:r/>
            <w:r>
              <w:rPr>
                <w:sz w:val="19"/>
              </w:rPr>
              <w:t>store.py</w:t>
            </w:r>
          </w:p>
        </w:tc>
        <w:tc>
          <w:tcPr>
            <w:tcW w:type="dxa" w:w="6480"/>
          </w:tcPr>
          <w:p>
            <w:r/>
            <w:r>
              <w:rPr>
                <w:sz w:val="19"/>
              </w:rPr>
              <w:t>Pluggable persistence (PostgreSQL/SQLite): scenarios, snapshots, comments</w:t>
            </w:r>
          </w:p>
        </w:tc>
      </w:tr>
      <w:tr>
        <w:tc>
          <w:tcPr>
            <w:tcW w:type="dxa" w:w="2448"/>
          </w:tcPr>
          <w:p>
            <w:r/>
            <w:r>
              <w:rPr>
                <w:sz w:val="19"/>
              </w:rPr>
              <w:t>live_aws.py</w:t>
            </w:r>
          </w:p>
        </w:tc>
        <w:tc>
          <w:tcPr>
            <w:tcW w:type="dxa" w:w="6480"/>
          </w:tcPr>
          <w:p>
            <w:r/>
            <w:r>
              <w:rPr>
                <w:sz w:val="19"/>
              </w:rPr>
              <w:t>Read-only AWS Organizations scanner + Control Tower confirmation + estate→design mapping</w:t>
            </w:r>
          </w:p>
        </w:tc>
      </w:tr>
      <w:tr>
        <w:tc>
          <w:tcPr>
            <w:tcW w:type="dxa" w:w="2448"/>
          </w:tcPr>
          <w:p>
            <w:r/>
            <w:r>
              <w:rPr>
                <w:sz w:val="19"/>
              </w:rPr>
              <w:t>drift_collector.py</w:t>
            </w:r>
          </w:p>
        </w:tc>
        <w:tc>
          <w:tcPr>
            <w:tcW w:type="dxa" w:w="6480"/>
          </w:tcPr>
          <w:p>
            <w:r/>
            <w:r>
              <w:rPr>
                <w:sz w:val="19"/>
              </w:rPr>
              <w:t>Headless CLI — scheduled read-only scan → 'actual' drift snapshot</w:t>
            </w:r>
          </w:p>
        </w:tc>
      </w:tr>
      <w:tr>
        <w:tc>
          <w:tcPr>
            <w:tcW w:type="dxa" w:w="2448"/>
          </w:tcPr>
          <w:p>
            <w:r/>
            <w:r>
              <w:rPr>
                <w:sz w:val="19"/>
              </w:rPr>
              <w:t>iac.py</w:t>
            </w:r>
          </w:p>
        </w:tc>
        <w:tc>
          <w:tcPr>
            <w:tcW w:type="dxa" w:w="6480"/>
          </w:tcPr>
          <w:p>
            <w:r/>
            <w:r>
              <w:rPr>
                <w:sz w:val="19"/>
              </w:rPr>
              <w:t>IaC exporters: Terraform / LZA / Control Tower; multi-org replication bundle (.zip); hybrid connectivity scaffold (DX + SD-WAN + TGW/Cloud WAN)</w:t>
            </w:r>
          </w:p>
        </w:tc>
      </w:tr>
      <w:tr>
        <w:tc>
          <w:tcPr>
            <w:tcW w:type="dxa" w:w="2448"/>
          </w:tcPr>
          <w:p>
            <w:r/>
            <w:r>
              <w:rPr>
                <w:sz w:val="19"/>
              </w:rPr>
              <w:t>iac_import.py</w:t>
            </w:r>
          </w:p>
        </w:tc>
        <w:tc>
          <w:tcPr>
            <w:tcW w:type="dxa" w:w="6480"/>
          </w:tcPr>
          <w:p>
            <w:r/>
            <w:r>
              <w:rPr>
                <w:sz w:val="19"/>
              </w:rPr>
              <w:t>Reverse mode — parse Terraform (python-hcl2 + regex fallback) / LZA / CloudFormation → scored design</w:t>
            </w:r>
          </w:p>
        </w:tc>
      </w:tr>
      <w:tr>
        <w:tc>
          <w:tcPr>
            <w:tcW w:type="dxa" w:w="2448"/>
          </w:tcPr>
          <w:p>
            <w:r/>
            <w:r>
              <w:rPr>
                <w:sz w:val="19"/>
              </w:rPr>
              <w:t>sharing.py</w:t>
            </w:r>
          </w:p>
        </w:tc>
        <w:tc>
          <w:tcPr>
            <w:tcW w:type="dxa" w:w="6480"/>
          </w:tcPr>
          <w:p>
            <w:r/>
            <w:r>
              <w:rPr>
                <w:sz w:val="19"/>
              </w:rPr>
              <w:t>Encode/decode a design to a URL-safe shareable token</w:t>
            </w:r>
          </w:p>
        </w:tc>
      </w:tr>
      <w:tr>
        <w:tc>
          <w:tcPr>
            <w:tcW w:type="dxa" w:w="2448"/>
          </w:tcPr>
          <w:p>
            <w:r/>
            <w:r>
              <w:rPr>
                <w:sz w:val="19"/>
              </w:rPr>
              <w:t>wizard.py</w:t>
            </w:r>
          </w:p>
        </w:tc>
        <w:tc>
          <w:tcPr>
            <w:tcW w:type="dxa" w:w="6480"/>
          </w:tcPr>
          <w:p>
            <w:r/>
            <w:r>
              <w:rPr>
                <w:sz w:val="19"/>
              </w:rPr>
              <w:t>Guided 3-step onboarding setup flow</w:t>
            </w:r>
          </w:p>
        </w:tc>
      </w:tr>
      <w:tr>
        <w:tc>
          <w:tcPr>
            <w:tcW w:type="dxa" w:w="2448"/>
          </w:tcPr>
          <w:p>
            <w:r/>
            <w:r>
              <w:rPr>
                <w:sz w:val="19"/>
              </w:rPr>
              <w:t>interactive_diagrams.py</w:t>
            </w:r>
          </w:p>
        </w:tc>
        <w:tc>
          <w:tcPr>
            <w:tcW w:type="dxa" w:w="6480"/>
          </w:tcPr>
          <w:p>
            <w:r/>
            <w:r>
              <w:rPr>
                <w:sz w:val="19"/>
              </w:rPr>
              <w:t>Clickable streamlit-agraph org graph with node drill-down</w:t>
            </w:r>
          </w:p>
        </w:tc>
      </w:tr>
      <w:tr>
        <w:tc>
          <w:tcPr>
            <w:tcW w:type="dxa" w:w="2448"/>
          </w:tcPr>
          <w:p>
            <w:r/>
            <w:r>
              <w:rPr>
                <w:sz w:val="19"/>
              </w:rPr>
              <w:t>gv_diagrams.py</w:t>
            </w:r>
          </w:p>
        </w:tc>
        <w:tc>
          <w:tcPr>
            <w:tcW w:type="dxa" w:w="6480"/>
          </w:tcPr>
          <w:p>
            <w:r/>
            <w:r>
              <w:rPr>
                <w:sz w:val="19"/>
              </w:rPr>
              <w:t>Graphviz builders for org structure + network topology (renamed to free the 'diagrams' name for the icon library)</w:t>
            </w:r>
          </w:p>
        </w:tc>
      </w:tr>
      <w:tr>
        <w:tc>
          <w:tcPr>
            <w:tcW w:type="dxa" w:w="2448"/>
          </w:tcPr>
          <w:p>
            <w:r/>
            <w:r>
              <w:rPr>
                <w:sz w:val="19"/>
              </w:rPr>
              <w:t>roadmap.py</w:t>
            </w:r>
          </w:p>
        </w:tc>
        <w:tc>
          <w:tcPr>
            <w:tcW w:type="dxa" w:w="6480"/>
          </w:tcPr>
          <w:p>
            <w:r/>
            <w:r>
              <w:rPr>
                <w:sz w:val="19"/>
              </w:rPr>
              <w:t>Day 0 / 1 / 2 phased implementation plan + Gantt</w:t>
            </w:r>
          </w:p>
        </w:tc>
      </w:tr>
      <w:tr>
        <w:tc>
          <w:tcPr>
            <w:tcW w:type="dxa" w:w="2448"/>
          </w:tcPr>
          <w:p>
            <w:r/>
            <w:r>
              <w:rPr>
                <w:sz w:val="19"/>
              </w:rPr>
              <w:t>report.py</w:t>
            </w:r>
          </w:p>
        </w:tc>
        <w:tc>
          <w:tcPr>
            <w:tcW w:type="dxa" w:w="6480"/>
          </w:tcPr>
          <w:p>
            <w:r/>
            <w:r>
              <w:rPr>
                <w:sz w:val="19"/>
              </w:rPr>
              <w:t>Branded PDF design report (fpdf2) with optional AI executive summary</w:t>
            </w:r>
          </w:p>
        </w:tc>
      </w:tr>
      <w:tr>
        <w:tc>
          <w:tcPr>
            <w:tcW w:type="dxa" w:w="2448"/>
          </w:tcPr>
          <w:p>
            <w:r/>
            <w:r>
              <w:rPr>
                <w:sz w:val="19"/>
              </w:rPr>
              <w:t>llm.py</w:t>
            </w:r>
          </w:p>
        </w:tc>
        <w:tc>
          <w:tcPr>
            <w:tcW w:type="dxa" w:w="6480"/>
          </w:tcPr>
          <w:p>
            <w:r/>
            <w:r>
              <w:rPr>
                <w:sz w:val="19"/>
              </w:rPr>
              <w:t>Provider layer: Claude (Anthropic SDK, streaming) + OpenAI fallback</w:t>
            </w:r>
          </w:p>
        </w:tc>
      </w:tr>
    </w:tbl>
    <w:p>
      <w:pPr>
        <w:spacing w:after="40"/>
      </w:pPr>
    </w:p>
    <w:p>
      <w:pPr>
        <w:pStyle w:val="Heading1"/>
      </w:pPr>
      <w:r>
        <w:t>4. Data model — LZDesign</w:t>
      </w:r>
    </w:p>
    <w:p>
      <w:pPr>
        <w:spacing w:after="120"/>
      </w:pPr>
      <w:r>
        <w:rPr>
          <w:b w:val="0"/>
          <w:i w:val="0"/>
        </w:rPr>
        <w:t>A single dataclass (lz_core.LZDesign) captures the entire design. Every computation in the app is a pure function of this object.</w:t>
      </w:r>
    </w:p>
    <w:tbl>
      <w:tblPr>
        <w:tblStyle w:val="LightGrid-Accent1"/>
        <w:tblW w:type="auto" w:w="0"/>
        <w:jc w:val="left"/>
        <w:tblLook w:firstColumn="1" w:firstRow="1" w:lastColumn="0" w:lastRow="0" w:noHBand="0" w:noVBand="1" w:val="04A0"/>
      </w:tblPr>
      <w:tblGrid>
        <w:gridCol w:w="2880"/>
        <w:gridCol w:w="2880"/>
        <w:gridCol w:w="2880"/>
      </w:tblGrid>
      <w:tr>
        <w:tc>
          <w:tcPr>
            <w:tcW w:type="dxa" w:w="2304"/>
          </w:tcPr>
          <w:p>
            <w:r/>
            <w:r>
              <w:rPr>
                <w:b/>
                <w:sz w:val="19"/>
              </w:rPr>
              <w:t>Field</w:t>
            </w:r>
          </w:p>
        </w:tc>
        <w:tc>
          <w:tcPr>
            <w:tcW w:type="dxa" w:w="1008"/>
          </w:tcPr>
          <w:p>
            <w:r/>
            <w:r>
              <w:rPr>
                <w:b/>
                <w:sz w:val="19"/>
              </w:rPr>
              <w:t>Type</w:t>
            </w:r>
          </w:p>
        </w:tc>
        <w:tc>
          <w:tcPr>
            <w:tcW w:type="dxa" w:w="6480"/>
          </w:tcPr>
          <w:p>
            <w:r/>
            <w:r>
              <w:rPr>
                <w:b/>
                <w:sz w:val="19"/>
              </w:rPr>
              <w:t>Meaning / domain</w:t>
            </w:r>
          </w:p>
        </w:tc>
      </w:tr>
      <w:tr>
        <w:tc>
          <w:tcPr>
            <w:tcW w:type="dxa" w:w="2304"/>
          </w:tcPr>
          <w:p>
            <w:r/>
            <w:r>
              <w:rPr>
                <w:sz w:val="19"/>
              </w:rPr>
              <w:t>org_size</w:t>
            </w:r>
          </w:p>
        </w:tc>
        <w:tc>
          <w:tcPr>
            <w:tcW w:type="dxa" w:w="1008"/>
          </w:tcPr>
          <w:p>
            <w:r/>
            <w:r>
              <w:rPr>
                <w:sz w:val="19"/>
              </w:rPr>
              <w:t>str</w:t>
            </w:r>
          </w:p>
        </w:tc>
        <w:tc>
          <w:tcPr>
            <w:tcW w:type="dxa" w:w="6480"/>
          </w:tcPr>
          <w:p>
            <w:r/>
            <w:r>
              <w:rPr>
                <w:sz w:val="19"/>
              </w:rPr>
              <w:t>Startup | SMB | Mid-market | Enterprise</w:t>
            </w:r>
          </w:p>
        </w:tc>
      </w:tr>
      <w:tr>
        <w:tc>
          <w:tcPr>
            <w:tcW w:type="dxa" w:w="2304"/>
          </w:tcPr>
          <w:p>
            <w:r/>
            <w:r>
              <w:rPr>
                <w:sz w:val="19"/>
              </w:rPr>
              <w:t>compliance</w:t>
            </w:r>
          </w:p>
        </w:tc>
        <w:tc>
          <w:tcPr>
            <w:tcW w:type="dxa" w:w="1008"/>
          </w:tcPr>
          <w:p>
            <w:r/>
            <w:r>
              <w:rPr>
                <w:sz w:val="19"/>
              </w:rPr>
              <w:t>list</w:t>
            </w:r>
          </w:p>
        </w:tc>
        <w:tc>
          <w:tcPr>
            <w:tcW w:type="dxa" w:w="6480"/>
          </w:tcPr>
          <w:p>
            <w:r/>
            <w:r>
              <w:rPr>
                <w:sz w:val="19"/>
              </w:rPr>
              <w:t>PCI-DSS, HIPAA, SOC 2, ISO 27001, FedRAMP, APRA CPS 234, GDPR, NIST 800-53, HITRUST, CIS</w:t>
            </w:r>
          </w:p>
        </w:tc>
      </w:tr>
      <w:tr>
        <w:tc>
          <w:tcPr>
            <w:tcW w:type="dxa" w:w="2304"/>
          </w:tcPr>
          <w:p>
            <w:r/>
            <w:r>
              <w:rPr>
                <w:sz w:val="19"/>
              </w:rPr>
              <w:t>num_teams</w:t>
            </w:r>
          </w:p>
        </w:tc>
        <w:tc>
          <w:tcPr>
            <w:tcW w:type="dxa" w:w="1008"/>
          </w:tcPr>
          <w:p>
            <w:r/>
            <w:r>
              <w:rPr>
                <w:sz w:val="19"/>
              </w:rPr>
              <w:t>int</w:t>
            </w:r>
          </w:p>
        </w:tc>
        <w:tc>
          <w:tcPr>
            <w:tcW w:type="dxa" w:w="6480"/>
          </w:tcPr>
          <w:p>
            <w:r/>
            <w:r>
              <w:rPr>
                <w:sz w:val="19"/>
              </w:rPr>
              <w:t>Application teams (1–50)</w:t>
            </w:r>
          </w:p>
        </w:tc>
      </w:tr>
      <w:tr>
        <w:tc>
          <w:tcPr>
            <w:tcW w:type="dxa" w:w="2304"/>
          </w:tcPr>
          <w:p>
            <w:r/>
            <w:r>
              <w:rPr>
                <w:sz w:val="19"/>
              </w:rPr>
              <w:t>num_workloads</w:t>
            </w:r>
          </w:p>
        </w:tc>
        <w:tc>
          <w:tcPr>
            <w:tcW w:type="dxa" w:w="1008"/>
          </w:tcPr>
          <w:p>
            <w:r/>
            <w:r>
              <w:rPr>
                <w:sz w:val="19"/>
              </w:rPr>
              <w:t>int</w:t>
            </w:r>
          </w:p>
        </w:tc>
        <w:tc>
          <w:tcPr>
            <w:tcW w:type="dxa" w:w="6480"/>
          </w:tcPr>
          <w:p>
            <w:r/>
            <w:r>
              <w:rPr>
                <w:sz w:val="19"/>
              </w:rPr>
              <w:t>Workloads / applications (1–60)</w:t>
            </w:r>
          </w:p>
        </w:tc>
      </w:tr>
      <w:tr>
        <w:tc>
          <w:tcPr>
            <w:tcW w:type="dxa" w:w="2304"/>
          </w:tcPr>
          <w:p>
            <w:r/>
            <w:r>
              <w:rPr>
                <w:sz w:val="19"/>
              </w:rPr>
              <w:t>environments</w:t>
            </w:r>
          </w:p>
        </w:tc>
        <w:tc>
          <w:tcPr>
            <w:tcW w:type="dxa" w:w="1008"/>
          </w:tcPr>
          <w:p>
            <w:r/>
            <w:r>
              <w:rPr>
                <w:sz w:val="19"/>
              </w:rPr>
              <w:t>list</w:t>
            </w:r>
          </w:p>
        </w:tc>
        <w:tc>
          <w:tcPr>
            <w:tcW w:type="dxa" w:w="6480"/>
          </w:tcPr>
          <w:p>
            <w:r/>
            <w:r>
              <w:rPr>
                <w:sz w:val="19"/>
              </w:rPr>
              <w:t>dev | test | staging | prod</w:t>
            </w:r>
          </w:p>
        </w:tc>
      </w:tr>
      <w:tr>
        <w:tc>
          <w:tcPr>
            <w:tcW w:type="dxa" w:w="2304"/>
          </w:tcPr>
          <w:p>
            <w:r/>
            <w:r>
              <w:rPr>
                <w:sz w:val="19"/>
              </w:rPr>
              <w:t>regions</w:t>
            </w:r>
          </w:p>
        </w:tc>
        <w:tc>
          <w:tcPr>
            <w:tcW w:type="dxa" w:w="1008"/>
          </w:tcPr>
          <w:p>
            <w:r/>
            <w:r>
              <w:rPr>
                <w:sz w:val="19"/>
              </w:rPr>
              <w:t>list</w:t>
            </w:r>
          </w:p>
        </w:tc>
        <w:tc>
          <w:tcPr>
            <w:tcW w:type="dxa" w:w="6480"/>
          </w:tcPr>
          <w:p>
            <w:r/>
            <w:r>
              <w:rPr>
                <w:sz w:val="19"/>
              </w:rPr>
              <w:t>Active AWS regions</w:t>
            </w:r>
          </w:p>
        </w:tc>
      </w:tr>
      <w:tr>
        <w:tc>
          <w:tcPr>
            <w:tcW w:type="dxa" w:w="2304"/>
          </w:tcPr>
          <w:p>
            <w:r/>
            <w:r>
              <w:rPr>
                <w:sz w:val="19"/>
              </w:rPr>
              <w:t>account_strategy</w:t>
            </w:r>
          </w:p>
        </w:tc>
        <w:tc>
          <w:tcPr>
            <w:tcW w:type="dxa" w:w="1008"/>
          </w:tcPr>
          <w:p>
            <w:r/>
            <w:r>
              <w:rPr>
                <w:sz w:val="19"/>
              </w:rPr>
              <w:t>str</w:t>
            </w:r>
          </w:p>
        </w:tc>
        <w:tc>
          <w:tcPr>
            <w:tcW w:type="dxa" w:w="6480"/>
          </w:tcPr>
          <w:p>
            <w:r/>
            <w:r>
              <w:rPr>
                <w:sz w:val="19"/>
              </w:rPr>
              <w:t>Single / per-environment / per-workload / per-workload-per-environment</w:t>
            </w:r>
          </w:p>
        </w:tc>
      </w:tr>
      <w:tr>
        <w:tc>
          <w:tcPr>
            <w:tcW w:type="dxa" w:w="2304"/>
          </w:tcPr>
          <w:p>
            <w:r/>
            <w:r>
              <w:rPr>
                <w:sz w:val="19"/>
              </w:rPr>
              <w:t>network_pattern</w:t>
            </w:r>
          </w:p>
        </w:tc>
        <w:tc>
          <w:tcPr>
            <w:tcW w:type="dxa" w:w="1008"/>
          </w:tcPr>
          <w:p>
            <w:r/>
            <w:r>
              <w:rPr>
                <w:sz w:val="19"/>
              </w:rPr>
              <w:t>str</w:t>
            </w:r>
          </w:p>
        </w:tc>
        <w:tc>
          <w:tcPr>
            <w:tcW w:type="dxa" w:w="6480"/>
          </w:tcPr>
          <w:p>
            <w:r/>
            <w:r>
              <w:rPr>
                <w:sz w:val="19"/>
              </w:rPr>
              <w:t>Flat peering / TGW hub-and-spoke / Centralized egress + TGW / Cloud WAN</w:t>
            </w:r>
          </w:p>
        </w:tc>
      </w:tr>
      <w:tr>
        <w:tc>
          <w:tcPr>
            <w:tcW w:type="dxa" w:w="2304"/>
          </w:tcPr>
          <w:p>
            <w:r/>
            <w:r>
              <w:rPr>
                <w:sz w:val="19"/>
              </w:rPr>
              <w:t>identity_model</w:t>
            </w:r>
          </w:p>
        </w:tc>
        <w:tc>
          <w:tcPr>
            <w:tcW w:type="dxa" w:w="1008"/>
          </w:tcPr>
          <w:p>
            <w:r/>
            <w:r>
              <w:rPr>
                <w:sz w:val="19"/>
              </w:rPr>
              <w:t>str</w:t>
            </w:r>
          </w:p>
        </w:tc>
        <w:tc>
          <w:tcPr>
            <w:tcW w:type="dxa" w:w="6480"/>
          </w:tcPr>
          <w:p>
            <w:r/>
            <w:r>
              <w:rPr>
                <w:sz w:val="19"/>
              </w:rPr>
              <w:t>IAM users / IAM Identity Center / External IdP federation</w:t>
            </w:r>
          </w:p>
        </w:tc>
      </w:tr>
      <w:tr>
        <w:tc>
          <w:tcPr>
            <w:tcW w:type="dxa" w:w="2304"/>
          </w:tcPr>
          <w:p>
            <w:r/>
            <w:r>
              <w:rPr>
                <w:sz w:val="19"/>
              </w:rPr>
              <w:t>governance</w:t>
            </w:r>
          </w:p>
        </w:tc>
        <w:tc>
          <w:tcPr>
            <w:tcW w:type="dxa" w:w="1008"/>
          </w:tcPr>
          <w:p>
            <w:r/>
            <w:r>
              <w:rPr>
                <w:sz w:val="19"/>
              </w:rPr>
              <w:t>str</w:t>
            </w:r>
          </w:p>
        </w:tc>
        <w:tc>
          <w:tcPr>
            <w:tcW w:type="dxa" w:w="6480"/>
          </w:tcPr>
          <w:p>
            <w:r/>
            <w:r>
              <w:rPr>
                <w:sz w:val="19"/>
              </w:rPr>
              <w:t>Control Tower / LZA / Custom Organizations+SCPs / None</w:t>
            </w:r>
          </w:p>
        </w:tc>
      </w:tr>
      <w:tr>
        <w:tc>
          <w:tcPr>
            <w:tcW w:type="dxa" w:w="2304"/>
          </w:tcPr>
          <w:p>
            <w:r/>
            <w:r>
              <w:rPr>
                <w:sz w:val="19"/>
              </w:rPr>
              <w:t>centralized_logging</w:t>
            </w:r>
          </w:p>
        </w:tc>
        <w:tc>
          <w:tcPr>
            <w:tcW w:type="dxa" w:w="1008"/>
          </w:tcPr>
          <w:p>
            <w:r/>
            <w:r>
              <w:rPr>
                <w:sz w:val="19"/>
              </w:rPr>
              <w:t>bool</w:t>
            </w:r>
          </w:p>
        </w:tc>
        <w:tc>
          <w:tcPr>
            <w:tcW w:type="dxa" w:w="6480"/>
          </w:tcPr>
          <w:p>
            <w:r/>
            <w:r>
              <w:rPr>
                <w:sz w:val="19"/>
              </w:rPr>
              <w:t>Log Archive account enabled</w:t>
            </w:r>
          </w:p>
        </w:tc>
      </w:tr>
      <w:tr>
        <w:tc>
          <w:tcPr>
            <w:tcW w:type="dxa" w:w="2304"/>
          </w:tcPr>
          <w:p>
            <w:r/>
            <w:r>
              <w:rPr>
                <w:sz w:val="19"/>
              </w:rPr>
              <w:t>security_tooling</w:t>
            </w:r>
          </w:p>
        </w:tc>
        <w:tc>
          <w:tcPr>
            <w:tcW w:type="dxa" w:w="1008"/>
          </w:tcPr>
          <w:p>
            <w:r/>
            <w:r>
              <w:rPr>
                <w:sz w:val="19"/>
              </w:rPr>
              <w:t>bool</w:t>
            </w:r>
          </w:p>
        </w:tc>
        <w:tc>
          <w:tcPr>
            <w:tcW w:type="dxa" w:w="6480"/>
          </w:tcPr>
          <w:p>
            <w:r/>
            <w:r>
              <w:rPr>
                <w:sz w:val="19"/>
              </w:rPr>
              <w:t>Org-wide GuardDuty / Security Hub / Config</w:t>
            </w:r>
          </w:p>
        </w:tc>
      </w:tr>
      <w:tr>
        <w:tc>
          <w:tcPr>
            <w:tcW w:type="dxa" w:w="2304"/>
          </w:tcPr>
          <w:p>
            <w:r/>
            <w:r>
              <w:rPr>
                <w:sz w:val="19"/>
              </w:rPr>
              <w:t>backup_dr</w:t>
            </w:r>
          </w:p>
        </w:tc>
        <w:tc>
          <w:tcPr>
            <w:tcW w:type="dxa" w:w="1008"/>
          </w:tcPr>
          <w:p>
            <w:r/>
            <w:r>
              <w:rPr>
                <w:sz w:val="19"/>
              </w:rPr>
              <w:t>bool</w:t>
            </w:r>
          </w:p>
        </w:tc>
        <w:tc>
          <w:tcPr>
            <w:tcW w:type="dxa" w:w="6480"/>
          </w:tcPr>
          <w:p>
            <w:r/>
            <w:r>
              <w:rPr>
                <w:sz w:val="19"/>
              </w:rPr>
              <w:t>Centralized backup &amp; DR</w:t>
            </w:r>
          </w:p>
        </w:tc>
      </w:tr>
    </w:tbl>
    <w:p>
      <w:pPr>
        <w:spacing w:after="40"/>
      </w:pPr>
    </w:p>
    <w:p>
      <w:pPr>
        <w:pStyle w:val="Heading1"/>
      </w:pPr>
      <w:r>
        <w:t>5. Scoring model</w:t>
      </w:r>
    </w:p>
    <w:p>
      <w:pPr>
        <w:spacing w:after="120"/>
      </w:pPr>
      <w:r>
        <w:rPr>
          <w:b w:val="0"/>
          <w:i w:val="0"/>
        </w:rPr>
        <w:t>score_design() returns five 0–100 dimension scores. The model is a transparent rubric: every dimension starts from a base tied to the account strategy and applies named adjustments. explain_scores() returns the per-factor breakdown shown in the UI, so no score is opaque.</w:t>
      </w:r>
    </w:p>
    <w:tbl>
      <w:tblPr>
        <w:tblStyle w:val="LightGrid-Accent1"/>
        <w:tblW w:type="auto" w:w="0"/>
        <w:jc w:val="left"/>
        <w:tblLook w:firstColumn="1" w:firstRow="1" w:lastColumn="0" w:lastRow="0" w:noHBand="0" w:noVBand="1" w:val="04A0"/>
      </w:tblPr>
      <w:tblGrid>
        <w:gridCol w:w="4320"/>
        <w:gridCol w:w="4320"/>
      </w:tblGrid>
      <w:tr>
        <w:tc>
          <w:tcPr>
            <w:tcW w:type="dxa" w:w="2880"/>
          </w:tcPr>
          <w:p>
            <w:r/>
            <w:r>
              <w:rPr>
                <w:b/>
                <w:sz w:val="19"/>
              </w:rPr>
              <w:t>Dimension</w:t>
            </w:r>
          </w:p>
        </w:tc>
        <w:tc>
          <w:tcPr>
            <w:tcW w:type="dxa" w:w="6048"/>
          </w:tcPr>
          <w:p>
            <w:r/>
            <w:r>
              <w:rPr>
                <w:b/>
                <w:sz w:val="19"/>
              </w:rPr>
              <w:t>Primary drivers</w:t>
            </w:r>
          </w:p>
        </w:tc>
      </w:tr>
      <w:tr>
        <w:tc>
          <w:tcPr>
            <w:tcW w:type="dxa" w:w="2880"/>
          </w:tcPr>
          <w:p>
            <w:r/>
            <w:r>
              <w:rPr>
                <w:sz w:val="19"/>
              </w:rPr>
              <w:t>Security &amp; Blast Radius</w:t>
            </w:r>
          </w:p>
        </w:tc>
        <w:tc>
          <w:tcPr>
            <w:tcW w:type="dxa" w:w="6048"/>
          </w:tcPr>
          <w:p>
            <w:r/>
            <w:r>
              <w:rPr>
                <w:sz w:val="19"/>
              </w:rPr>
              <w:t>Account isolation strategy, security tooling, logging, identity model, governance</w:t>
            </w:r>
          </w:p>
        </w:tc>
      </w:tr>
      <w:tr>
        <w:tc>
          <w:tcPr>
            <w:tcW w:type="dxa" w:w="2880"/>
          </w:tcPr>
          <w:p>
            <w:r/>
            <w:r>
              <w:rPr>
                <w:sz w:val="19"/>
              </w:rPr>
              <w:t>Scalability</w:t>
            </w:r>
          </w:p>
        </w:tc>
        <w:tc>
          <w:tcPr>
            <w:tcW w:type="dxa" w:w="6048"/>
          </w:tcPr>
          <w:p>
            <w:r/>
            <w:r>
              <w:rPr>
                <w:sz w:val="19"/>
              </w:rPr>
              <w:t>Account strategy, network pattern (peering penalised, Cloud WAN/TGW rewarded), account vending</w:t>
            </w:r>
          </w:p>
        </w:tc>
      </w:tr>
      <w:tr>
        <w:tc>
          <w:tcPr>
            <w:tcW w:type="dxa" w:w="2880"/>
          </w:tcPr>
          <w:p>
            <w:r/>
            <w:r>
              <w:rPr>
                <w:sz w:val="19"/>
              </w:rPr>
              <w:t>Operational Simplicity</w:t>
            </w:r>
          </w:p>
        </w:tc>
        <w:tc>
          <w:tcPr>
            <w:tcW w:type="dxa" w:w="6048"/>
          </w:tcPr>
          <w:p>
            <w:r/>
            <w:r>
              <w:rPr>
                <w:sz w:val="19"/>
              </w:rPr>
              <w:t>Fleet size penalty, managed governance (Control Tower/LZA), identity sprawl, multi-region</w:t>
            </w:r>
          </w:p>
        </w:tc>
      </w:tr>
      <w:tr>
        <w:tc>
          <w:tcPr>
            <w:tcW w:type="dxa" w:w="2880"/>
          </w:tcPr>
          <w:p>
            <w:r/>
            <w:r>
              <w:rPr>
                <w:sz w:val="19"/>
              </w:rPr>
              <w:t>Cost Efficiency</w:t>
            </w:r>
          </w:p>
        </w:tc>
        <w:tc>
          <w:tcPr>
            <w:tcW w:type="dxa" w:w="6048"/>
          </w:tcPr>
          <w:p>
            <w:r/>
            <w:r>
              <w:rPr>
                <w:sz w:val="19"/>
              </w:rPr>
              <w:t>Platform overhead as a share of modeled total spend (see §6)</w:t>
            </w:r>
          </w:p>
        </w:tc>
      </w:tr>
      <w:tr>
        <w:tc>
          <w:tcPr>
            <w:tcW w:type="dxa" w:w="2880"/>
          </w:tcPr>
          <w:p>
            <w:r/>
            <w:r>
              <w:rPr>
                <w:sz w:val="19"/>
              </w:rPr>
              <w:t>Compliance Readiness</w:t>
            </w:r>
          </w:p>
        </w:tc>
        <w:tc>
          <w:tcPr>
            <w:tcW w:type="dxa" w:w="6048"/>
          </w:tcPr>
          <w:p>
            <w:r/>
            <w:r>
              <w:rPr>
                <w:sz w:val="19"/>
              </w:rPr>
              <w:t>Logging, threat detection, isolation, managed controls, heavy-framework penalties</w:t>
            </w:r>
          </w:p>
        </w:tc>
      </w:tr>
    </w:tbl>
    <w:p>
      <w:pPr>
        <w:spacing w:after="40"/>
      </w:pPr>
    </w:p>
    <w:p>
      <w:pPr>
        <w:spacing w:after="120"/>
      </w:pPr>
      <w:r>
        <w:rPr>
          <w:b w:val="0"/>
          <w:i w:val="0"/>
        </w:rPr>
        <w:t>Cost Efficiency uses a documented workload-spend proxy (pricing.WORKLOAD_SPEND_PROXY_PER_MONTH = $2,500/workload) as the denominator of the overhead ratio, so a lean design scores high and a wasteful one (high overhead, little workload value) scores low.</w:t>
      </w:r>
    </w:p>
    <w:p>
      <w:pPr>
        <w:pStyle w:val="Heading1"/>
      </w:pPr>
      <w:r>
        <w:t>6. Cost model</w:t>
      </w:r>
    </w:p>
    <w:p>
      <w:pPr>
        <w:spacing w:after="120"/>
      </w:pPr>
      <w:r>
        <w:rPr>
          <w:b w:val="0"/>
          <w:i w:val="0"/>
        </w:rPr>
        <w:t>estimate_monthly_cost() derives every line item as published AWS list price × a stated usage assumption — no magic constants. The return value includes a 'basis' list giving the formula and price source for each item, surfaced in the UI and PDF. Data-transfer/processing is included, and a per-region price index scales the whole estimate.</w:t>
      </w:r>
    </w:p>
    <w:p>
      <w:pPr>
        <w:pStyle w:val="ListBullet"/>
      </w:pPr>
      <w:r>
        <w:rPr>
          <w:b/>
        </w:rPr>
        <w:t xml:space="preserve">Sourced prices: </w:t>
      </w:r>
      <w:r>
        <w:t>pricing.LIST_PRICES — each entry carries value, unit, source, note (e.g. NAT gateway $0.045/hr, TGW attachment $0.05/hr, Cloud WAN core edge $0.50/hr).</w:t>
      </w:r>
    </w:p>
    <w:p>
      <w:pPr>
        <w:pStyle w:val="ListBullet"/>
      </w:pPr>
      <w:r>
        <w:rPr>
          <w:b/>
        </w:rPr>
        <w:t xml:space="preserve">Usage assumptions: </w:t>
      </w:r>
      <w:r>
        <w:t>pricing.USAGE — explicit, editable per-account/per-VPC volumes that turn usage-based services (GuardDuty/Config/Security Hub) into monthly figures.</w:t>
      </w:r>
    </w:p>
    <w:p>
      <w:pPr>
        <w:pStyle w:val="ListBullet"/>
      </w:pPr>
      <w:r>
        <w:rPr>
          <w:b/>
        </w:rPr>
        <w:t xml:space="preserve">Live overlay: </w:t>
      </w:r>
      <w:r>
        <w:t>pricing.fetch_live_prices() queries the AWS Price List Query API (read-only) for clean hourly SKUs and overrides the list prices for the caller's region; degrades gracefully.</w:t>
      </w:r>
    </w:p>
    <w:p>
      <w:pPr>
        <w:pStyle w:val="ListBullet"/>
      </w:pPr>
      <w:r>
        <w:rPr>
          <w:b/>
        </w:rPr>
        <w:t xml:space="preserve">Region index: </w:t>
      </w:r>
      <w:r>
        <w:t>pricing.REGION_PRICE_INDEX scales the estimate (e.g. sa-east-1 ≈ 1.35× us-east-1).</w:t>
      </w:r>
    </w:p>
    <w:p>
      <w:pPr>
        <w:pStyle w:val="Heading1"/>
      </w:pPr>
      <w:r>
        <w:t>7. Well-Architected engine</w:t>
      </w:r>
    </w:p>
    <w:p>
      <w:pPr>
        <w:spacing w:after="120"/>
      </w:pPr>
      <w:r>
        <w:rPr>
          <w:b w:val="0"/>
          <w:i w:val="0"/>
        </w:rPr>
        <w:t>waf.assess() evaluates the design against 25 landing-zone-relevant checks across the six pillars. Critical practices weigh double in the pillar score. Each check returns PASS / WARN / FAIL with a finding and remediation, and is enriched with the closest official AWS Well-Architected best practice plus a match flag — 'exact' or 'adapted' — so results are never mistaken for an official audit.</w:t>
      </w:r>
    </w:p>
    <w:tbl>
      <w:tblPr>
        <w:tblStyle w:val="LightGrid-Accent1"/>
        <w:tblW w:type="auto" w:w="0"/>
        <w:jc w:val="left"/>
        <w:tblLook w:firstColumn="1" w:firstRow="1" w:lastColumn="0" w:lastRow="0" w:noHBand="0" w:noVBand="1" w:val="04A0"/>
      </w:tblPr>
      <w:tblGrid>
        <w:gridCol w:w="4320"/>
        <w:gridCol w:w="4320"/>
      </w:tblGrid>
      <w:tr>
        <w:tc>
          <w:tcPr>
            <w:tcW w:type="dxa" w:w="2736"/>
          </w:tcPr>
          <w:p>
            <w:r/>
            <w:r>
              <w:rPr>
                <w:b/>
                <w:sz w:val="19"/>
              </w:rPr>
              <w:t>Pillar</w:t>
            </w:r>
          </w:p>
        </w:tc>
        <w:tc>
          <w:tcPr>
            <w:tcW w:type="dxa" w:w="6192"/>
          </w:tcPr>
          <w:p>
            <w:r/>
            <w:r>
              <w:rPr>
                <w:b/>
                <w:sz w:val="19"/>
              </w:rPr>
              <w:t>Example checks</w:t>
            </w:r>
          </w:p>
        </w:tc>
      </w:tr>
      <w:tr>
        <w:tc>
          <w:tcPr>
            <w:tcW w:type="dxa" w:w="2736"/>
          </w:tcPr>
          <w:p>
            <w:r/>
            <w:r>
              <w:rPr>
                <w:sz w:val="19"/>
              </w:rPr>
              <w:t>Operational Excellence</w:t>
            </w:r>
          </w:p>
        </w:tc>
        <w:tc>
          <w:tcPr>
            <w:tcW w:type="dxa" w:w="6192"/>
          </w:tcPr>
          <w:p>
            <w:r/>
            <w:r>
              <w:rPr>
                <w:sz w:val="19"/>
              </w:rPr>
              <w:t>Account vending automation, landing zone as code, account-to-team ratio, multi-region standardization</w:t>
            </w:r>
          </w:p>
        </w:tc>
      </w:tr>
      <w:tr>
        <w:tc>
          <w:tcPr>
            <w:tcW w:type="dxa" w:w="2736"/>
          </w:tcPr>
          <w:p>
            <w:r/>
            <w:r>
              <w:rPr>
                <w:sz w:val="19"/>
              </w:rPr>
              <w:t>Security</w:t>
            </w:r>
          </w:p>
        </w:tc>
        <w:tc>
          <w:tcPr>
            <w:tcW w:type="dxa" w:w="6192"/>
          </w:tcPr>
          <w:p>
            <w:r/>
            <w:r>
              <w:rPr>
                <w:sz w:val="19"/>
              </w:rPr>
              <w:t>Account isolation, root/baseline controls, centralized IdP, central logging, org-wide threat detection, residency, incident containment</w:t>
            </w:r>
          </w:p>
        </w:tc>
      </w:tr>
      <w:tr>
        <w:tc>
          <w:tcPr>
            <w:tcW w:type="dxa" w:w="2736"/>
          </w:tcPr>
          <w:p>
            <w:r/>
            <w:r>
              <w:rPr>
                <w:sz w:val="19"/>
              </w:rPr>
              <w:t>Reliability</w:t>
            </w:r>
          </w:p>
        </w:tc>
        <w:tc>
          <w:tcPr>
            <w:tcW w:type="dxa" w:w="6192"/>
          </w:tcPr>
          <w:p>
            <w:r/>
            <w:r>
              <w:rPr>
                <w:sz w:val="19"/>
              </w:rPr>
              <w:t>Blast radius, HA network topology, centralized backup/DR, multi-location, service quotas</w:t>
            </w:r>
          </w:p>
        </w:tc>
      </w:tr>
      <w:tr>
        <w:tc>
          <w:tcPr>
            <w:tcW w:type="dxa" w:w="2736"/>
          </w:tcPr>
          <w:p>
            <w:r/>
            <w:r>
              <w:rPr>
                <w:sz w:val="19"/>
              </w:rPr>
              <w:t>Performance Efficiency</w:t>
            </w:r>
          </w:p>
        </w:tc>
        <w:tc>
          <w:tcPr>
            <w:tcW w:type="dxa" w:w="6192"/>
          </w:tcPr>
          <w:p>
            <w:r/>
            <w:r>
              <w:rPr>
                <w:sz w:val="19"/>
              </w:rPr>
              <w:t>Network pattern fit, region proximity, shared services</w:t>
            </w:r>
          </w:p>
        </w:tc>
      </w:tr>
      <w:tr>
        <w:tc>
          <w:tcPr>
            <w:tcW w:type="dxa" w:w="2736"/>
          </w:tcPr>
          <w:p>
            <w:r/>
            <w:r>
              <w:rPr>
                <w:sz w:val="19"/>
              </w:rPr>
              <w:t>Cost Optimization</w:t>
            </w:r>
          </w:p>
        </w:tc>
        <w:tc>
          <w:tcPr>
            <w:tcW w:type="dxa" w:w="6192"/>
          </w:tcPr>
          <w:p>
            <w:r/>
            <w:r>
              <w:rPr>
                <w:sz w:val="19"/>
              </w:rPr>
              <w:t>Cost allocation by account, shared egress, proportionate overhead, sandbox cost controls</w:t>
            </w:r>
          </w:p>
        </w:tc>
      </w:tr>
      <w:tr>
        <w:tc>
          <w:tcPr>
            <w:tcW w:type="dxa" w:w="2736"/>
          </w:tcPr>
          <w:p>
            <w:r/>
            <w:r>
              <w:rPr>
                <w:sz w:val="19"/>
              </w:rPr>
              <w:t>Sustainability</w:t>
            </w:r>
          </w:p>
        </w:tc>
        <w:tc>
          <w:tcPr>
            <w:tcW w:type="dxa" w:w="6192"/>
          </w:tcPr>
          <w:p>
            <w:r/>
            <w:r>
              <w:rPr>
                <w:sz w:val="19"/>
              </w:rPr>
              <w:t>Region footprint, shared infrastructure, utilization visibility</w:t>
            </w:r>
          </w:p>
        </w:tc>
      </w:tr>
    </w:tbl>
    <w:p>
      <w:pPr>
        <w:spacing w:after="40"/>
      </w:pPr>
    </w:p>
    <w:p>
      <w:pPr>
        <w:spacing w:after="120"/>
      </w:pPr>
      <w:r>
        <w:rPr>
          <w:b w:val="0"/>
          <w:i w:val="0"/>
        </w:rPr>
        <w:t>waf.mapping_table() produces the full Studio-check → official-best-practice mapping shown in the UI and documented for auditors. WAF_DISCLAIMER and WAF_REFERENCE_URL accompany it.</w:t>
      </w:r>
    </w:p>
    <w:p>
      <w:pPr>
        <w:pStyle w:val="Heading1"/>
      </w:pPr>
      <w:r>
        <w:t>8. Persistence (store.py)</w:t>
      </w:r>
    </w:p>
    <w:p>
      <w:pPr>
        <w:spacing w:after="120"/>
      </w:pPr>
      <w:r>
        <w:rPr>
          <w:b w:val="0"/>
          <w:i w:val="0"/>
        </w:rPr>
        <w:t>store.py exposes one API (scenarios, snapshots, comments) over a backend chosen at runtime. ON CONFLICT upserts are shared by both engines; only the parameter placeholder differs (? for SQLite, %s for PostgreSQL).</w:t>
      </w:r>
    </w:p>
    <w:tbl>
      <w:tblPr>
        <w:tblStyle w:val="LightGrid-Accent1"/>
        <w:tblW w:type="auto" w:w="0"/>
        <w:jc w:val="left"/>
        <w:tblLook w:firstColumn="1" w:firstRow="1" w:lastColumn="0" w:lastRow="0" w:noHBand="0" w:noVBand="1" w:val="04A0"/>
      </w:tblPr>
      <w:tblGrid>
        <w:gridCol w:w="2880"/>
        <w:gridCol w:w="2880"/>
        <w:gridCol w:w="2880"/>
      </w:tblGrid>
      <w:tr>
        <w:tc>
          <w:tcPr>
            <w:tcW w:type="dxa" w:w="1728"/>
          </w:tcPr>
          <w:p>
            <w:r/>
            <w:r>
              <w:rPr>
                <w:b/>
                <w:sz w:val="19"/>
              </w:rPr>
              <w:t>Backend</w:t>
            </w:r>
          </w:p>
        </w:tc>
        <w:tc>
          <w:tcPr>
            <w:tcW w:type="dxa" w:w="4320"/>
          </w:tcPr>
          <w:p>
            <w:r/>
            <w:r>
              <w:rPr>
                <w:b/>
                <w:sz w:val="19"/>
              </w:rPr>
              <w:t>Selected when</w:t>
            </w:r>
          </w:p>
        </w:tc>
        <w:tc>
          <w:tcPr>
            <w:tcW w:type="dxa" w:w="2880"/>
          </w:tcPr>
          <w:p>
            <w:r/>
            <w:r>
              <w:rPr>
                <w:b/>
                <w:sz w:val="19"/>
              </w:rPr>
              <w:t>Notes</w:t>
            </w:r>
          </w:p>
        </w:tc>
      </w:tr>
      <w:tr>
        <w:tc>
          <w:tcPr>
            <w:tcW w:type="dxa" w:w="1728"/>
          </w:tcPr>
          <w:p>
            <w:r/>
            <w:r>
              <w:rPr>
                <w:sz w:val="19"/>
              </w:rPr>
              <w:t>PostgreSQL</w:t>
            </w:r>
          </w:p>
        </w:tc>
        <w:tc>
          <w:tcPr>
            <w:tcW w:type="dxa" w:w="4320"/>
          </w:tcPr>
          <w:p>
            <w:r/>
            <w:r>
              <w:rPr>
                <w:sz w:val="19"/>
              </w:rPr>
              <w:t>LZ_DATABASE_URL set (app copies it from st.secrets['DATABASE_URL'])</w:t>
            </w:r>
          </w:p>
        </w:tc>
        <w:tc>
          <w:tcPr>
            <w:tcW w:type="dxa" w:w="2880"/>
          </w:tcPr>
          <w:p>
            <w:r/>
            <w:r>
              <w:rPr>
                <w:sz w:val="19"/>
              </w:rPr>
              <w:t>Durable + shared with the collector; required on Streamlit Cloud</w:t>
            </w:r>
          </w:p>
        </w:tc>
      </w:tr>
      <w:tr>
        <w:tc>
          <w:tcPr>
            <w:tcW w:type="dxa" w:w="1728"/>
          </w:tcPr>
          <w:p>
            <w:r/>
            <w:r>
              <w:rPr>
                <w:sz w:val="19"/>
              </w:rPr>
              <w:t>SQLite</w:t>
            </w:r>
          </w:p>
        </w:tc>
        <w:tc>
          <w:tcPr>
            <w:tcW w:type="dxa" w:w="4320"/>
          </w:tcPr>
          <w:p>
            <w:r/>
            <w:r>
              <w:rPr>
                <w:sz w:val="19"/>
              </w:rPr>
              <w:t>Otherwise</w:t>
            </w:r>
          </w:p>
        </w:tc>
        <w:tc>
          <w:tcPr>
            <w:tcW w:type="dxa" w:w="2880"/>
          </w:tcPr>
          <w:p>
            <w:r/>
            <w:r>
              <w:rPr>
                <w:sz w:val="19"/>
              </w:rPr>
              <w:t>LZ_DB_PATH or ./lz_scenarios.db; great for local/persistent hosts</w:t>
            </w:r>
          </w:p>
        </w:tc>
      </w:tr>
    </w:tbl>
    <w:p>
      <w:pPr>
        <w:spacing w:after="40"/>
      </w:pPr>
    </w:p>
    <w:p>
      <w:pPr>
        <w:spacing w:after="120"/>
      </w:pPr>
      <w:r>
        <w:rPr>
          <w:b w:val="0"/>
          <w:i w:val="0"/>
        </w:rPr>
        <w:t>IMPORTANT — Streamlit Community Cloud: the container filesystem is ephemeral (wiped on redeploy/sleep). A local SQLite file there is NOT durable for app-side writes. Configure a managed Postgres (Neon/Supabase) via DATABASE_URL for real durability. The app shows a warning when running on SQLite.</w:t>
      </w:r>
    </w:p>
    <w:p>
      <w:pPr>
        <w:spacing w:after="120"/>
      </w:pPr>
      <w:r>
        <w:rPr>
          <w:b w:val="0"/>
          <w:i w:val="0"/>
        </w:rPr>
        <w:t>Tables: scenarios(username, name, data_json, updated_at) · snapshots(username, ts, label, kind, waf_overall, scores_json, data_json) · comments(scenario_key, ts, author, text). Snapshot timestamps use microsecond precision so rapid saves do not collide on the (username, ts) primary key.</w:t>
      </w:r>
    </w:p>
    <w:p>
      <w:pPr>
        <w:pStyle w:val="Heading1"/>
      </w:pPr>
      <w:r>
        <w:t>9. Live estate scan &amp; drift collection</w:t>
      </w:r>
    </w:p>
    <w:p>
      <w:pPr>
        <w:spacing w:after="120"/>
      </w:pPr>
      <w:r>
        <w:rPr>
          <w:b w:val="0"/>
          <w:i w:val="0"/>
        </w:rPr>
        <w:t>live_aws.scan_organization() performs a strictly read-only scan (List*/Describe* only). It confirms Control Tower via the real controltower API (status, version, drift, governed regions), infers account strategy from OU/naming structure, and rates every signal by confidence (Confirmed via API vs inferred). It maps the estate onto an LZDesign so the same WAF engine scores the real environment, and honestly lists what it cannot detect.</w:t>
      </w:r>
    </w:p>
    <w:p>
      <w:pPr>
        <w:spacing w:after="120"/>
      </w:pPr>
      <w:r>
        <w:rPr>
          <w:b w:val="0"/>
          <w:i w:val="0"/>
        </w:rPr>
        <w:t>When no explicit keys are passed, the scanner uses the default boto3 credential chain (environment, profile, or an EC2/ECS instance role) — this is what the headless collector relies on.</w:t>
      </w:r>
    </w:p>
    <w:p>
      <w:pPr>
        <w:pStyle w:val="Heading2"/>
      </w:pPr>
      <w:r>
        <w:t>9.1 Scheduled drift collector</w:t>
      </w:r>
    </w:p>
    <w:p>
      <w:pPr>
        <w:spacing w:after="120"/>
      </w:pPr>
      <w:r>
        <w:rPr>
          <w:b w:val="0"/>
          <w:i w:val="0"/>
        </w:rPr>
        <w:t>drift_collector.py runs the scan, scores the estate, and writes an 'actual' snapshot to the shared store. Point it at the same database as the app (LZ_DATABASE_URL or LZ_DB_PATH).</w:t>
      </w:r>
    </w:p>
    <w:p>
      <w:pPr>
        <w:spacing w:before="80" w:after="160"/>
        <w:ind w:left="173"/>
        <w:shd w:val="clear" w:fill="F4F6F9"/>
      </w:pPr>
      <w:r>
        <w:rPr>
          <w:rFonts w:ascii="Consolas" w:hAnsi="Consolas"/>
          <w:color w:val="1A242E"/>
          <w:sz w:val="18"/>
        </w:rPr>
        <w:t># instance role / env credentials, into a shared Postgres</w:t>
        <w:br/>
      </w:r>
      <w:r>
        <w:rPr>
          <w:rFonts w:ascii="Consolas" w:hAnsi="Consolas"/>
          <w:color w:val="1A242E"/>
          <w:sz w:val="18"/>
        </w:rPr>
        <w:t>LZ_DATABASE_URL=postgresql://… \</w:t>
        <w:br/>
      </w:r>
      <w:r>
        <w:rPr>
          <w:rFonts w:ascii="Consolas" w:hAnsi="Consolas"/>
          <w:color w:val="1A242E"/>
          <w:sz w:val="18"/>
        </w:rPr>
        <w:t xml:space="preserve">  python drift_collector.py --user operator --region us-east-1 --label nightly</w:t>
        <w:br/>
      </w:r>
    </w:p>
    <w:p>
      <w:pPr>
        <w:spacing w:after="120"/>
      </w:pPr>
      <w:r>
        <w:rPr>
          <w:b w:val="0"/>
          <w:i w:val="0"/>
        </w:rPr>
        <w:t>Read-only IAM required: AWSOrganizationsReadOnlyAccess plus controltower:ListLandingZones / GetLandingZone / ListEnabledControls.</w:t>
      </w:r>
    </w:p>
    <w:p>
      <w:pPr>
        <w:pStyle w:val="Heading1"/>
      </w:pPr>
      <w:r>
        <w:t>10. Infrastructure as Code</w:t>
      </w:r>
    </w:p>
    <w:p>
      <w:pPr>
        <w:pStyle w:val="Heading2"/>
      </w:pPr>
      <w:r>
        <w:t>10.1 Export (iac.py)</w:t>
      </w:r>
    </w:p>
    <w:p>
      <w:pPr>
        <w:pStyle w:val="ListBullet"/>
      </w:pPr>
      <w:r>
        <w:rPr>
          <w:b/>
        </w:rPr>
        <w:t xml:space="preserve">Terraform: </w:t>
      </w:r>
      <w:r>
        <w:t>AWS Organizations + OUs + accounts (for_each vending) + real SCP policy documents (deny-leave-org, region restriction, security-service tamper protection, IMDSv2, suspended deny-all).</w:t>
      </w:r>
    </w:p>
    <w:p>
      <w:pPr>
        <w:pStyle w:val="ListBullet"/>
      </w:pPr>
      <w:r>
        <w:rPr>
          <w:b/>
        </w:rPr>
        <w:t xml:space="preserve">LZA config: </w:t>
      </w:r>
      <w:r>
        <w:t>organization / accounts / global YAML fragments.</w:t>
      </w:r>
    </w:p>
    <w:p>
      <w:pPr>
        <w:pStyle w:val="ListBullet"/>
      </w:pPr>
      <w:r>
        <w:rPr>
          <w:b/>
        </w:rPr>
        <w:t xml:space="preserve">Control Tower checklist: </w:t>
      </w:r>
      <w:r>
        <w:t>Markdown setup checklist with Account Factory inputs.</w:t>
      </w:r>
    </w:p>
    <w:p>
      <w:pPr>
        <w:pStyle w:val="Heading2"/>
      </w:pPr>
      <w:r>
        <w:t>10.2 Reverse import (iac_import.py)</w:t>
      </w:r>
    </w:p>
    <w:p>
      <w:pPr>
        <w:spacing w:after="120"/>
      </w:pPr>
      <w:r>
        <w:rPr>
          <w:b w:val="0"/>
          <w:i w:val="0"/>
        </w:rPr>
        <w:t>Upload or paste a Terraform (.tf), LZA (.yaml), or CloudFormation (.yaml/.json) file; the parser infers an approximate design with a confidence-rated signal table and scores it with the WAF engine — a local, transparent take on the AWS WA IaC Analyzer. Terraform parsing prefers python-hcl2 (robust to formatting; quote-tolerant across hcl2 v4/v5+) and falls back to a dependency-free regex parser; the signal table reports which ran.</w:t>
      </w:r>
    </w:p>
    <w:p>
      <w:pPr>
        <w:pStyle w:val="Heading1"/>
      </w:pPr>
      <w:r>
        <w:t>11. Deployment</w:t>
      </w:r>
    </w:p>
    <w:p>
      <w:pPr>
        <w:pStyle w:val="Heading2"/>
      </w:pPr>
      <w:r>
        <w:t>11.1 Run locally</w:t>
      </w:r>
    </w:p>
    <w:p>
      <w:pPr>
        <w:spacing w:before="80" w:after="160"/>
        <w:ind w:left="173"/>
        <w:shd w:val="clear" w:fill="F4F6F9"/>
      </w:pPr>
      <w:r>
        <w:rPr>
          <w:rFonts w:ascii="Consolas" w:hAnsi="Consolas"/>
          <w:color w:val="1A242E"/>
          <w:sz w:val="18"/>
        </w:rPr>
        <w:t>pip install -r requirements.txt</w:t>
        <w:br/>
      </w:r>
      <w:r>
        <w:rPr>
          <w:rFonts w:ascii="Consolas" w:hAnsi="Consolas"/>
          <w:color w:val="1A242E"/>
          <w:sz w:val="18"/>
        </w:rPr>
        <w:t>cp .streamlit/secrets.toml.example .streamlit/secrets.toml   # add API key(s)</w:t>
        <w:br/>
      </w:r>
      <w:r>
        <w:rPr>
          <w:rFonts w:ascii="Consolas" w:hAnsi="Consolas"/>
          <w:color w:val="1A242E"/>
          <w:sz w:val="18"/>
        </w:rPr>
        <w:t>streamlit run app.py</w:t>
        <w:br/>
      </w:r>
    </w:p>
    <w:p>
      <w:pPr>
        <w:spacing w:after="120"/>
      </w:pPr>
      <w:r>
        <w:rPr>
          <w:b w:val="0"/>
          <w:i w:val="0"/>
        </w:rPr>
        <w:t>Graphviz binary is needed locally for diagrams (winget/brew/apt install graphviz). On Streamlit Cloud this is handled by packages.txt.</w:t>
      </w:r>
    </w:p>
    <w:p>
      <w:pPr>
        <w:pStyle w:val="Heading2"/>
      </w:pPr>
      <w:r>
        <w:t>11.2 Streamlit Community Cloud</w:t>
      </w:r>
    </w:p>
    <w:p>
      <w:pPr>
        <w:pStyle w:val="ListBullet"/>
      </w:pPr>
      <w:r>
        <w:t>Push to GitHub, create the app from the repo with main file app.py.</w:t>
      </w:r>
    </w:p>
    <w:p>
      <w:pPr>
        <w:pStyle w:val="ListBullet"/>
      </w:pPr>
      <w:r>
        <w:t>Add secrets (App settings → Secrets): API key(s), login key, and DATABASE_URL for durability.</w:t>
      </w:r>
    </w:p>
    <w:p>
      <w:pPr>
        <w:pStyle w:val="ListBullet"/>
      </w:pPr>
      <w:r>
        <w:t>requirements.txt (Python deps) and packages.txt (Graphviz) are picked up automatically.</w:t>
      </w:r>
    </w:p>
    <w:p>
      <w:pPr>
        <w:pStyle w:val="Heading2"/>
      </w:pPr>
      <w:r>
        <w:t>11.3 Secrets reference</w:t>
      </w:r>
    </w:p>
    <w:tbl>
      <w:tblPr>
        <w:tblStyle w:val="LightGrid-Accent1"/>
        <w:tblW w:type="auto" w:w="0"/>
        <w:jc w:val="left"/>
        <w:tblLook w:firstColumn="1" w:firstRow="1" w:lastColumn="0" w:lastRow="0" w:noHBand="0" w:noVBand="1" w:val="04A0"/>
      </w:tblPr>
      <w:tblGrid>
        <w:gridCol w:w="4320"/>
        <w:gridCol w:w="4320"/>
      </w:tblGrid>
      <w:tr>
        <w:tc>
          <w:tcPr>
            <w:tcW w:type="dxa" w:w="2736"/>
          </w:tcPr>
          <w:p>
            <w:r/>
            <w:r>
              <w:rPr>
                <w:b/>
                <w:sz w:val="19"/>
              </w:rPr>
              <w:t>Secret</w:t>
            </w:r>
          </w:p>
        </w:tc>
        <w:tc>
          <w:tcPr>
            <w:tcW w:type="dxa" w:w="6192"/>
          </w:tcPr>
          <w:p>
            <w:r/>
            <w:r>
              <w:rPr>
                <w:b/>
                <w:sz w:val="19"/>
              </w:rPr>
              <w:t>Purpose</w:t>
            </w:r>
          </w:p>
        </w:tc>
      </w:tr>
      <w:tr>
        <w:tc>
          <w:tcPr>
            <w:tcW w:type="dxa" w:w="2736"/>
          </w:tcPr>
          <w:p>
            <w:r/>
            <w:r>
              <w:rPr>
                <w:sz w:val="19"/>
              </w:rPr>
              <w:t>ANTHROPIC_API_KEY</w:t>
            </w:r>
          </w:p>
        </w:tc>
        <w:tc>
          <w:tcPr>
            <w:tcW w:type="dxa" w:w="6192"/>
          </w:tcPr>
          <w:p>
            <w:r/>
            <w:r>
              <w:rPr>
                <w:sz w:val="19"/>
              </w:rPr>
              <w:t>Claude (default AI provider). Aliases: ANTHROPIC_KEY, CLAUDE_API_KEY</w:t>
            </w:r>
          </w:p>
        </w:tc>
      </w:tr>
      <w:tr>
        <w:tc>
          <w:tcPr>
            <w:tcW w:type="dxa" w:w="2736"/>
          </w:tcPr>
          <w:p>
            <w:r/>
            <w:r>
              <w:rPr>
                <w:sz w:val="19"/>
              </w:rPr>
              <w:t>OPENAI_API_KEY</w:t>
            </w:r>
          </w:p>
        </w:tc>
        <w:tc>
          <w:tcPr>
            <w:tcW w:type="dxa" w:w="6192"/>
          </w:tcPr>
          <w:p>
            <w:r/>
            <w:r>
              <w:rPr>
                <w:sz w:val="19"/>
              </w:rPr>
              <w:t>OpenAI fallback provider</w:t>
            </w:r>
          </w:p>
        </w:tc>
      </w:tr>
      <w:tr>
        <w:tc>
          <w:tcPr>
            <w:tcW w:type="dxa" w:w="2736"/>
          </w:tcPr>
          <w:p>
            <w:r/>
            <w:r>
              <w:rPr>
                <w:sz w:val="19"/>
              </w:rPr>
              <w:t>APP_PASSWORD</w:t>
            </w:r>
          </w:p>
        </w:tc>
        <w:tc>
          <w:tcPr>
            <w:tcW w:type="dxa" w:w="6192"/>
          </w:tcPr>
          <w:p>
            <w:r/>
            <w:r>
              <w:rPr>
                <w:sz w:val="19"/>
              </w:rPr>
              <w:t>Single-key login gate (demo key 'awslz' if omitted)</w:t>
            </w:r>
          </w:p>
        </w:tc>
      </w:tr>
      <w:tr>
        <w:tc>
          <w:tcPr>
            <w:tcW w:type="dxa" w:w="2736"/>
          </w:tcPr>
          <w:p>
            <w:r/>
            <w:r>
              <w:rPr>
                <w:sz w:val="19"/>
              </w:rPr>
              <w:t>[users] table</w:t>
            </w:r>
          </w:p>
        </w:tc>
        <w:tc>
          <w:tcPr>
            <w:tcW w:type="dxa" w:w="6192"/>
          </w:tcPr>
          <w:p>
            <w:r/>
            <w:r>
              <w:rPr>
                <w:sz w:val="19"/>
              </w:rPr>
              <w:t>Multi-user mode (username = passphrase); per-user scenario workspace</w:t>
            </w:r>
          </w:p>
        </w:tc>
      </w:tr>
      <w:tr>
        <w:tc>
          <w:tcPr>
            <w:tcW w:type="dxa" w:w="2736"/>
          </w:tcPr>
          <w:p>
            <w:r/>
            <w:r>
              <w:rPr>
                <w:sz w:val="19"/>
              </w:rPr>
              <w:t>DATABASE_URL</w:t>
            </w:r>
          </w:p>
        </w:tc>
        <w:tc>
          <w:tcPr>
            <w:tcW w:type="dxa" w:w="6192"/>
          </w:tcPr>
          <w:p>
            <w:r/>
            <w:r>
              <w:rPr>
                <w:sz w:val="19"/>
              </w:rPr>
              <w:t>PostgreSQL connection string for durable storage (required on Streamlit Cloud)</w:t>
            </w:r>
          </w:p>
        </w:tc>
      </w:tr>
    </w:tbl>
    <w:p>
      <w:pPr>
        <w:spacing w:after="40"/>
      </w:pPr>
    </w:p>
    <w:p>
      <w:pPr>
        <w:pStyle w:val="Heading1"/>
      </w:pPr>
      <w:r>
        <w:t>12. CI/CD &amp; automation</w:t>
      </w:r>
    </w:p>
    <w:tbl>
      <w:tblPr>
        <w:tblStyle w:val="LightGrid-Accent1"/>
        <w:tblW w:type="auto" w:w="0"/>
        <w:jc w:val="left"/>
        <w:tblLook w:firstColumn="1" w:firstRow="1" w:lastColumn="0" w:lastRow="0" w:noHBand="0" w:noVBand="1" w:val="04A0"/>
      </w:tblPr>
      <w:tblGrid>
        <w:gridCol w:w="2880"/>
        <w:gridCol w:w="2880"/>
        <w:gridCol w:w="2880"/>
      </w:tblGrid>
      <w:tr>
        <w:tc>
          <w:tcPr>
            <w:tcW w:type="dxa" w:w="3312"/>
          </w:tcPr>
          <w:p>
            <w:r/>
            <w:r>
              <w:rPr>
                <w:b/>
                <w:sz w:val="19"/>
              </w:rPr>
              <w:t>Workflow</w:t>
            </w:r>
          </w:p>
        </w:tc>
        <w:tc>
          <w:tcPr>
            <w:tcW w:type="dxa" w:w="1728"/>
          </w:tcPr>
          <w:p>
            <w:r/>
            <w:r>
              <w:rPr>
                <w:b/>
                <w:sz w:val="19"/>
              </w:rPr>
              <w:t>Trigger</w:t>
            </w:r>
          </w:p>
        </w:tc>
        <w:tc>
          <w:tcPr>
            <w:tcW w:type="dxa" w:w="3888"/>
          </w:tcPr>
          <w:p>
            <w:r/>
            <w:r>
              <w:rPr>
                <w:b/>
                <w:sz w:val="19"/>
              </w:rPr>
              <w:t>Does</w:t>
            </w:r>
          </w:p>
        </w:tc>
      </w:tr>
      <w:tr>
        <w:tc>
          <w:tcPr>
            <w:tcW w:type="dxa" w:w="3312"/>
          </w:tcPr>
          <w:p>
            <w:r/>
            <w:r>
              <w:rPr>
                <w:sz w:val="19"/>
              </w:rPr>
              <w:t>.github/workflows/ci.yml</w:t>
            </w:r>
          </w:p>
        </w:tc>
        <w:tc>
          <w:tcPr>
            <w:tcW w:type="dxa" w:w="1728"/>
          </w:tcPr>
          <w:p>
            <w:r/>
            <w:r>
              <w:rPr>
                <w:sz w:val="19"/>
              </w:rPr>
              <w:t>push / PR</w:t>
            </w:r>
          </w:p>
        </w:tc>
        <w:tc>
          <w:tcPr>
            <w:tcW w:type="dxa" w:w="3888"/>
          </w:tcPr>
          <w:p>
            <w:r/>
            <w:r>
              <w:rPr>
                <w:sz w:val="19"/>
              </w:rPr>
              <w:t>Byte-compiles all modules; runs the store test suite against SQLite AND a real PostgreSQL service container</w:t>
            </w:r>
          </w:p>
        </w:tc>
      </w:tr>
      <w:tr>
        <w:tc>
          <w:tcPr>
            <w:tcW w:type="dxa" w:w="3312"/>
          </w:tcPr>
          <w:p>
            <w:r/>
            <w:r>
              <w:rPr>
                <w:sz w:val="19"/>
              </w:rPr>
              <w:t>.github/workflows/drift-collector.yml</w:t>
            </w:r>
          </w:p>
        </w:tc>
        <w:tc>
          <w:tcPr>
            <w:tcW w:type="dxa" w:w="1728"/>
          </w:tcPr>
          <w:p>
            <w:r/>
            <w:r>
              <w:rPr>
                <w:sz w:val="19"/>
              </w:rPr>
              <w:t>nightly + manual</w:t>
            </w:r>
          </w:p>
        </w:tc>
        <w:tc>
          <w:tcPr>
            <w:tcW w:type="dxa" w:w="3888"/>
          </w:tcPr>
          <w:p>
            <w:r/>
            <w:r>
              <w:rPr>
                <w:sz w:val="19"/>
              </w:rPr>
              <w:t>OIDC assume-role → read-only scan → 'actual' snapshot (to Postgres, or committed SQLite DB)</w:t>
            </w:r>
          </w:p>
        </w:tc>
      </w:tr>
    </w:tbl>
    <w:p>
      <w:pPr>
        <w:spacing w:after="40"/>
      </w:pPr>
    </w:p>
    <w:p>
      <w:pPr>
        <w:spacing w:after="120"/>
      </w:pPr>
      <w:r>
        <w:rPr>
          <w:b w:val="0"/>
          <w:i w:val="0"/>
        </w:rPr>
        <w:t>CI no-ops cleanly until configured. The drift workflow requires repo secret AWS_OIDC_ROLE_ARN (and optionally LZ_DATABASE_URL to write straight to Postgres). The store test suite (tests/test_store.py) covers scenarios CRUD/upsert, snapshot history/ordering, and comment threads on both backends.</w:t>
      </w:r>
    </w:p>
    <w:p>
      <w:pPr>
        <w:pStyle w:val="Heading1"/>
      </w:pPr>
      <w:r>
        <w:t>13. Security considerations</w:t>
      </w:r>
    </w:p>
    <w:p>
      <w:pPr>
        <w:pStyle w:val="ListBullet"/>
      </w:pPr>
      <w:r>
        <w:rPr>
          <w:b/>
        </w:rPr>
        <w:t xml:space="preserve">Read-only AWS access: </w:t>
      </w:r>
      <w:r>
        <w:t>Live scan and collector use only List*/Describe* calls; the UI warns to use temporary, read-only credentials, which are never stored.</w:t>
      </w:r>
    </w:p>
    <w:p>
      <w:pPr>
        <w:pStyle w:val="ListBullet"/>
      </w:pPr>
      <w:r>
        <w:rPr>
          <w:b/>
        </w:rPr>
        <w:t xml:space="preserve">Least privilege: </w:t>
      </w:r>
      <w:r>
        <w:t>OIDC role for the GitHub Action is scoped to the repo and a read-only org/Control-Tower policy — no static keys.</w:t>
      </w:r>
    </w:p>
    <w:p>
      <w:pPr>
        <w:pStyle w:val="ListBullet"/>
      </w:pPr>
      <w:r>
        <w:rPr>
          <w:b/>
        </w:rPr>
        <w:t xml:space="preserve">Authentication: </w:t>
      </w:r>
      <w:r>
        <w:t>Login gate supports a single key or a multi-user table; demo mode otherwise.</w:t>
      </w:r>
    </w:p>
    <w:p>
      <w:pPr>
        <w:pStyle w:val="ListBullet"/>
      </w:pPr>
      <w:r>
        <w:rPr>
          <w:b/>
        </w:rPr>
        <w:t xml:space="preserve">Output escaping: </w:t>
      </w:r>
      <w:r>
        <w:t>User-supplied content (scenario comments) is HTML-escaped / rendered as literal text to prevent stored XSS in raw-HTML sinks.</w:t>
      </w:r>
    </w:p>
    <w:p>
      <w:pPr>
        <w:pStyle w:val="ListBullet"/>
      </w:pPr>
      <w:r>
        <w:rPr>
          <w:b/>
        </w:rPr>
        <w:t xml:space="preserve">Generated SCPs: </w:t>
      </w:r>
      <w:r>
        <w:t>Exported guardrails (deny-leave-org, region restriction, security-service tamper protection, IMDSv2, suspended deny-all) are starting points — always review before applying.</w:t>
      </w:r>
    </w:p>
    <w:p>
      <w:pPr>
        <w:pStyle w:val="ListBullet"/>
      </w:pPr>
      <w:r>
        <w:rPr>
          <w:b/>
        </w:rPr>
        <w:t xml:space="preserve">Secrets: </w:t>
      </w:r>
      <w:r>
        <w:t>API keys and DATABASE_URL live in Streamlit secrets / environment, never in code.</w:t>
      </w:r>
    </w:p>
    <w:p>
      <w:pPr>
        <w:pStyle w:val="Heading1"/>
      </w:pPr>
      <w:r>
        <w:t>14. Configuration reference (environment variables)</w:t>
      </w:r>
    </w:p>
    <w:tbl>
      <w:tblPr>
        <w:tblStyle w:val="LightGrid-Accent1"/>
        <w:tblW w:type="auto" w:w="0"/>
        <w:jc w:val="left"/>
        <w:tblLook w:firstColumn="1" w:firstRow="1" w:lastColumn="0" w:lastRow="0" w:noHBand="0" w:noVBand="1" w:val="04A0"/>
      </w:tblPr>
      <w:tblGrid>
        <w:gridCol w:w="2880"/>
        <w:gridCol w:w="2880"/>
        <w:gridCol w:w="2880"/>
      </w:tblGrid>
      <w:tr>
        <w:tc>
          <w:tcPr>
            <w:tcW w:type="dxa" w:w="3456"/>
          </w:tcPr>
          <w:p>
            <w:r/>
            <w:r>
              <w:rPr>
                <w:b/>
                <w:sz w:val="19"/>
              </w:rPr>
              <w:t>Variable</w:t>
            </w:r>
          </w:p>
        </w:tc>
        <w:tc>
          <w:tcPr>
            <w:tcW w:type="dxa" w:w="2160"/>
          </w:tcPr>
          <w:p>
            <w:r/>
            <w:r>
              <w:rPr>
                <w:b/>
                <w:sz w:val="19"/>
              </w:rPr>
              <w:t>Used by</w:t>
            </w:r>
          </w:p>
        </w:tc>
        <w:tc>
          <w:tcPr>
            <w:tcW w:type="dxa" w:w="3312"/>
          </w:tcPr>
          <w:p>
            <w:r/>
            <w:r>
              <w:rPr>
                <w:b/>
                <w:sz w:val="19"/>
              </w:rPr>
              <w:t>Effect</w:t>
            </w:r>
          </w:p>
        </w:tc>
      </w:tr>
      <w:tr>
        <w:tc>
          <w:tcPr>
            <w:tcW w:type="dxa" w:w="3456"/>
          </w:tcPr>
          <w:p>
            <w:r/>
            <w:r>
              <w:rPr>
                <w:sz w:val="19"/>
              </w:rPr>
              <w:t>LZ_DATABASE_URL</w:t>
            </w:r>
          </w:p>
        </w:tc>
        <w:tc>
          <w:tcPr>
            <w:tcW w:type="dxa" w:w="2160"/>
          </w:tcPr>
          <w:p>
            <w:r/>
            <w:r>
              <w:rPr>
                <w:sz w:val="19"/>
              </w:rPr>
              <w:t>store, app, collector</w:t>
            </w:r>
          </w:p>
        </w:tc>
        <w:tc>
          <w:tcPr>
            <w:tcW w:type="dxa" w:w="3312"/>
          </w:tcPr>
          <w:p>
            <w:r/>
            <w:r>
              <w:rPr>
                <w:sz w:val="19"/>
              </w:rPr>
              <w:t>PostgreSQL connection string; selects the Postgres backend</w:t>
            </w:r>
          </w:p>
        </w:tc>
      </w:tr>
      <w:tr>
        <w:tc>
          <w:tcPr>
            <w:tcW w:type="dxa" w:w="3456"/>
          </w:tcPr>
          <w:p>
            <w:r/>
            <w:r>
              <w:rPr>
                <w:sz w:val="19"/>
              </w:rPr>
              <w:t>LZ_DB_PATH</w:t>
            </w:r>
          </w:p>
        </w:tc>
        <w:tc>
          <w:tcPr>
            <w:tcW w:type="dxa" w:w="2160"/>
          </w:tcPr>
          <w:p>
            <w:r/>
            <w:r>
              <w:rPr>
                <w:sz w:val="19"/>
              </w:rPr>
              <w:t>store, collector</w:t>
            </w:r>
          </w:p>
        </w:tc>
        <w:tc>
          <w:tcPr>
            <w:tcW w:type="dxa" w:w="3312"/>
          </w:tcPr>
          <w:p>
            <w:r/>
            <w:r>
              <w:rPr>
                <w:sz w:val="19"/>
              </w:rPr>
              <w:t>SQLite file path (default ./lz_scenarios.db)</w:t>
            </w:r>
          </w:p>
        </w:tc>
      </w:tr>
      <w:tr>
        <w:tc>
          <w:tcPr>
            <w:tcW w:type="dxa" w:w="3456"/>
          </w:tcPr>
          <w:p>
            <w:r/>
            <w:r>
              <w:rPr>
                <w:sz w:val="19"/>
              </w:rPr>
              <w:t>LZ_USER</w:t>
            </w:r>
          </w:p>
        </w:tc>
        <w:tc>
          <w:tcPr>
            <w:tcW w:type="dxa" w:w="2160"/>
          </w:tcPr>
          <w:p>
            <w:r/>
            <w:r>
              <w:rPr>
                <w:sz w:val="19"/>
              </w:rPr>
              <w:t>collector / Action</w:t>
            </w:r>
          </w:p>
        </w:tc>
        <w:tc>
          <w:tcPr>
            <w:tcW w:type="dxa" w:w="3312"/>
          </w:tcPr>
          <w:p>
            <w:r/>
            <w:r>
              <w:rPr>
                <w:sz w:val="19"/>
              </w:rPr>
              <w:t>Snapshot owner (must match the app user)</w:t>
            </w:r>
          </w:p>
        </w:tc>
      </w:tr>
      <w:tr>
        <w:tc>
          <w:tcPr>
            <w:tcW w:type="dxa" w:w="3456"/>
          </w:tcPr>
          <w:p>
            <w:r/>
            <w:r>
              <w:rPr>
                <w:sz w:val="19"/>
              </w:rPr>
              <w:t>AWS_REGION / AWS_ACCESS_KEY_ID / AWS_SECRET_ACCESS_KEY / AWS_SESSION_TOKEN</w:t>
            </w:r>
          </w:p>
        </w:tc>
        <w:tc>
          <w:tcPr>
            <w:tcW w:type="dxa" w:w="2160"/>
          </w:tcPr>
          <w:p>
            <w:r/>
            <w:r>
              <w:rPr>
                <w:sz w:val="19"/>
              </w:rPr>
              <w:t>collector</w:t>
            </w:r>
          </w:p>
        </w:tc>
        <w:tc>
          <w:tcPr>
            <w:tcW w:type="dxa" w:w="3312"/>
          </w:tcPr>
          <w:p>
            <w:r/>
            <w:r>
              <w:rPr>
                <w:sz w:val="19"/>
              </w:rPr>
              <w:t>Standard AWS credential/region inputs (or use an instance role)</w:t>
            </w:r>
          </w:p>
        </w:tc>
      </w:tr>
    </w:tbl>
    <w:p>
      <w:pPr>
        <w:spacing w:after="40"/>
      </w:pPr>
    </w:p>
    <w:p>
      <w:pPr>
        <w:pStyle w:val="Heading1"/>
      </w:pPr>
      <w:r>
        <w:t>15. Extending the application</w:t>
      </w:r>
    </w:p>
    <w:p>
      <w:pPr>
        <w:pStyle w:val="ListBullet"/>
      </w:pPr>
      <w:r>
        <w:rPr>
          <w:b/>
        </w:rPr>
        <w:t xml:space="preserve">Add a WAF check: </w:t>
      </w:r>
      <w:r>
        <w:t>Add a _check(...) to the relevant pillar function in waf.py and a mapping entry in OFFICIAL_BP; optionally wire a one-click fix in fixes.FIX_ACTIONS.</w:t>
      </w:r>
    </w:p>
    <w:p>
      <w:pPr>
        <w:pStyle w:val="ListBullet"/>
      </w:pPr>
      <w:r>
        <w:rPr>
          <w:b/>
        </w:rPr>
        <w:t xml:space="preserve">Add a one-click fix: </w:t>
      </w:r>
      <w:r>
        <w:t>Add the check id → {label, changes} to fixes.FIX_ACTIONS; the WAF tab renders the button automatically.</w:t>
      </w:r>
    </w:p>
    <w:p>
      <w:pPr>
        <w:pStyle w:val="ListBullet"/>
      </w:pPr>
      <w:r>
        <w:rPr>
          <w:b/>
        </w:rPr>
        <w:t xml:space="preserve">Tune cost: </w:t>
      </w:r>
      <w:r>
        <w:t>Edit pricing.LIST_PRICES (sourced prices) or pricing.USAGE (assumptions); the basis table updates automatically.</w:t>
      </w:r>
    </w:p>
    <w:p>
      <w:pPr>
        <w:pStyle w:val="ListBullet"/>
      </w:pPr>
      <w:r>
        <w:rPr>
          <w:b/>
        </w:rPr>
        <w:t xml:space="preserve">Adjust scoring: </w:t>
      </w:r>
      <w:r>
        <w:t>Edit the labelled factors in lz_core._score_with_breakdown; explain_scores() keeps the UI in sync.</w:t>
      </w:r>
    </w:p>
    <w:p>
      <w:pPr>
        <w:pStyle w:val="ListBullet"/>
      </w:pPr>
      <w:r>
        <w:rPr>
          <w:b/>
        </w:rPr>
        <w:t xml:space="preserve">Add a backend: </w:t>
      </w:r>
      <w:r>
        <w:t>store.py isolates SQL behind _execute/_ph; add a branch in _connect and reuse the shared queries.</w:t>
      </w:r>
    </w:p>
    <w:p>
      <w:pPr>
        <w:pStyle w:val="ListBullet"/>
      </w:pPr>
      <w:r>
        <w:rPr>
          <w:b/>
        </w:rPr>
        <w:t xml:space="preserve">Add an IaC format: </w:t>
      </w:r>
      <w:r>
        <w:t>Add an exporter in iac.py and/or a parser branch in iac_import.parse_iac.</w:t>
      </w:r>
    </w:p>
    <w:p/>
    <w:p>
      <w:pPr>
        <w:spacing w:after="120"/>
      </w:pPr>
      <w:r>
        <w:rPr>
          <w:b w:val="0"/>
          <w:i/>
          <w:color w:val="6E7A8C"/>
        </w:rPr>
        <w:t>— End of manual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C474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32F3E"/>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32F3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