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003388"/>
          <w:sz w:val="80"/>
        </w:rPr>
        <w:t>TrustLayer AI</w:t>
      </w:r>
    </w:p>
    <w:p>
      <w:pPr>
        <w:jc w:val="center"/>
      </w:pPr>
      <w:r>
        <w:rPr>
          <w:rFonts w:ascii="Calibri" w:hAnsi="Calibri"/>
          <w:color w:val="0066FF"/>
          <w:sz w:val="40"/>
        </w:rPr>
        <w:t>Enterprise AI Reliability Platform</w:t>
      </w:r>
    </w:p>
    <w:p>
      <w:pPr>
        <w:spacing w:before="40" w:after="120"/>
        <w:pBdr>
          <w:bottom w:val="single" w:sz="20" w:space="1" w:color="0066FF"/>
        </w:pBdr>
      </w:pPr>
    </w:p>
    <w:p>
      <w:pPr>
        <w:jc w:val="center"/>
      </w:pPr>
      <w:r>
        <w:rPr>
          <w:rFonts w:ascii="Calibri" w:hAnsi="Calibri"/>
          <w:color w:val="64748B"/>
          <w:sz w:val="28"/>
        </w:rPr>
        <w:t>Comprehensive Technical Design Document</w:t>
      </w:r>
    </w:p>
    <w:p>
      <w:pPr>
        <w:jc w:val="center"/>
      </w:pPr>
      <w:r>
        <w:rPr>
          <w:rFonts w:ascii="Calibri" w:hAnsi="Calibri"/>
          <w:color w:val="003388"/>
          <w:sz w:val="26"/>
        </w:rPr>
        <w:t>Canada Hackathon 2026</w:t>
      </w:r>
    </w:p>
    <w:p>
      <w:pPr>
        <w:jc w:val="center"/>
      </w:pPr>
      <w:r>
        <w:rPr>
          <w:rFonts w:ascii="Calibri" w:hAnsi="Calibri"/>
          <w:color w:val="00B894"/>
          <w:sz w:val="24"/>
        </w:rPr>
        <w:t>Detect  ·  Prevent  ·  Govern</w:t>
      </w:r>
    </w:p>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88"/>
          </w:tcPr>
          <w:p>
            <w:pPr>
              <w:spacing w:before="120"/>
              <w:jc w:val="center"/>
            </w:pPr>
            <w:r>
              <w:rPr>
                <w:rFonts w:ascii="Calibri" w:hAnsi="Calibri"/>
                <w:b/>
                <w:color w:val="FFFFFF"/>
                <w:sz w:val="36"/>
              </w:rPr>
              <w:t>$67.4B</w:t>
              <w:br/>
            </w:r>
          </w:p>
          <w:p>
            <w:pPr>
              <w:spacing w:after="120"/>
              <w:jc w:val="center"/>
            </w:pPr>
            <w:r>
              <w:rPr>
                <w:rFonts w:ascii="Calibri" w:hAnsi="Calibri"/>
                <w:color w:val="94A3B8"/>
                <w:sz w:val="18"/>
              </w:rPr>
              <w:t>Annual AI hallucination losses</w:t>
            </w:r>
          </w:p>
        </w:tc>
        <w:tc>
          <w:tcPr>
            <w:tcW w:type="dxa" w:w="3120"/>
            <w:shd w:val="clear" w:color="auto" w:fill="003388"/>
          </w:tcPr>
          <w:p>
            <w:pPr>
              <w:spacing w:before="120"/>
              <w:jc w:val="center"/>
            </w:pPr>
            <w:r>
              <w:rPr>
                <w:rFonts w:ascii="Calibri" w:hAnsi="Calibri"/>
                <w:b/>
                <w:color w:val="FFFFFF"/>
                <w:sz w:val="36"/>
              </w:rPr>
              <w:t>$2.4M</w:t>
              <w:br/>
            </w:r>
          </w:p>
          <w:p>
            <w:pPr>
              <w:spacing w:after="120"/>
              <w:jc w:val="center"/>
            </w:pPr>
            <w:r>
              <w:rPr>
                <w:rFonts w:ascii="Calibri" w:hAnsi="Calibri"/>
                <w:color w:val="94A3B8"/>
                <w:sz w:val="18"/>
              </w:rPr>
              <w:t>Avg cost per incident</w:t>
            </w:r>
          </w:p>
        </w:tc>
        <w:tc>
          <w:tcPr>
            <w:tcW w:type="dxa" w:w="3120"/>
            <w:shd w:val="clear" w:color="auto" w:fill="003388"/>
          </w:tcPr>
          <w:p>
            <w:pPr>
              <w:spacing w:before="120"/>
              <w:jc w:val="center"/>
            </w:pPr>
            <w:r>
              <w:rPr>
                <w:rFonts w:ascii="Calibri" w:hAnsi="Calibri"/>
                <w:b/>
                <w:color w:val="FFFFFF"/>
                <w:sz w:val="36"/>
              </w:rPr>
              <w:t>77%</w:t>
              <w:br/>
            </w:r>
          </w:p>
          <w:p>
            <w:pPr>
              <w:spacing w:after="120"/>
              <w:jc w:val="center"/>
            </w:pPr>
            <w:r>
              <w:rPr>
                <w:rFonts w:ascii="Calibri" w:hAnsi="Calibri"/>
                <w:color w:val="94A3B8"/>
                <w:sz w:val="18"/>
              </w:rPr>
              <w:t>Enterprise leaders concerned</w:t>
            </w:r>
          </w:p>
        </w:tc>
      </w:tr>
      <w:tr>
        <w:tc>
          <w:tcPr>
            <w:tcW w:type="dxa" w:w="3120"/>
            <w:shd w:val="clear" w:color="auto" w:fill="005533"/>
          </w:tcPr>
          <w:p>
            <w:pPr>
              <w:spacing w:before="120"/>
              <w:jc w:val="center"/>
            </w:pPr>
            <w:r>
              <w:rPr>
                <w:rFonts w:ascii="Calibri" w:hAnsi="Calibri"/>
                <w:b/>
                <w:color w:val="FFFFFF"/>
                <w:sz w:val="36"/>
              </w:rPr>
              <w:t>92%</w:t>
              <w:br/>
            </w:r>
          </w:p>
          <w:p>
            <w:pPr>
              <w:spacing w:after="120"/>
              <w:jc w:val="center"/>
            </w:pPr>
            <w:r>
              <w:rPr>
                <w:rFonts w:ascii="Calibri" w:hAnsi="Calibri"/>
                <w:color w:val="94A3B8"/>
                <w:sz w:val="18"/>
              </w:rPr>
              <w:t>TrustLayer catch rate</w:t>
            </w:r>
          </w:p>
        </w:tc>
        <w:tc>
          <w:tcPr>
            <w:tcW w:type="dxa" w:w="3120"/>
            <w:shd w:val="clear" w:color="auto" w:fill="005533"/>
          </w:tcPr>
          <w:p>
            <w:pPr>
              <w:spacing w:before="120"/>
              <w:jc w:val="center"/>
            </w:pPr>
            <w:r>
              <w:rPr>
                <w:rFonts w:ascii="Calibri" w:hAnsi="Calibri"/>
                <w:b/>
                <w:color w:val="FFFFFF"/>
                <w:sz w:val="36"/>
              </w:rPr>
              <w:t>&lt;100ms</w:t>
              <w:br/>
            </w:r>
          </w:p>
          <w:p>
            <w:pPr>
              <w:spacing w:after="120"/>
              <w:jc w:val="center"/>
            </w:pPr>
            <w:r>
              <w:rPr>
                <w:rFonts w:ascii="Calibri" w:hAnsi="Calibri"/>
                <w:color w:val="94A3B8"/>
                <w:sz w:val="18"/>
              </w:rPr>
              <w:t>Detection latency</w:t>
            </w:r>
          </w:p>
        </w:tc>
        <w:tc>
          <w:tcPr>
            <w:tcW w:type="dxa" w:w="3120"/>
            <w:shd w:val="clear" w:color="auto" w:fill="005533"/>
          </w:tcPr>
          <w:p>
            <w:pPr>
              <w:spacing w:before="120"/>
              <w:jc w:val="center"/>
            </w:pPr>
            <w:r>
              <w:rPr>
                <w:rFonts w:ascii="Calibri" w:hAnsi="Calibri"/>
                <w:b/>
                <w:color w:val="FFFFFF"/>
                <w:sz w:val="36"/>
              </w:rPr>
              <w:t>&gt;400%</w:t>
              <w:br/>
            </w:r>
          </w:p>
          <w:p>
            <w:pPr>
              <w:spacing w:after="120"/>
              <w:jc w:val="center"/>
            </w:pPr>
            <w:r>
              <w:rPr>
                <w:rFonts w:ascii="Calibri" w:hAnsi="Calibri"/>
                <w:color w:val="94A3B8"/>
                <w:sz w:val="18"/>
              </w:rPr>
              <w:t>Typical year-1 ROI</w:t>
            </w:r>
          </w:p>
        </w:tc>
      </w:tr>
    </w:tbl>
    <w:p>
      <w:r>
        <w:br w:type="page"/>
      </w:r>
    </w:p>
    <w:p>
      <w:pPr>
        <w:pStyle w:val="Heading1"/>
      </w:pPr>
      <w:r>
        <w:rPr>
          <w:color w:val="003388"/>
        </w:rPr>
        <w:t>Table of Contents</w:t>
      </w:r>
    </w:p>
    <w:p>
      <w:pPr>
        <w:spacing w:after="40"/>
      </w:pPr>
      <w:r>
        <w:rPr>
          <w:rFonts w:ascii="Calibri" w:hAnsi="Calibri"/>
          <w:b/>
          <w:color w:val="0066FF"/>
          <w:sz w:val="20"/>
        </w:rPr>
        <w:t xml:space="preserve">1  </w:t>
      </w:r>
      <w:r>
        <w:rPr>
          <w:rFonts w:ascii="Calibri" w:hAnsi="Calibri"/>
          <w:sz w:val="20"/>
        </w:rPr>
        <w:t>Executive Summary</w:t>
      </w:r>
    </w:p>
    <w:p>
      <w:pPr>
        <w:spacing w:after="40"/>
      </w:pPr>
      <w:r>
        <w:rPr>
          <w:rFonts w:ascii="Calibri" w:hAnsi="Calibri"/>
          <w:b/>
          <w:color w:val="0066FF"/>
          <w:sz w:val="20"/>
        </w:rPr>
        <w:t xml:space="preserve">2  </w:t>
      </w:r>
      <w:r>
        <w:rPr>
          <w:rFonts w:ascii="Calibri" w:hAnsi="Calibri"/>
          <w:sz w:val="20"/>
        </w:rPr>
        <w:t>Problem Statement</w:t>
      </w:r>
    </w:p>
    <w:p>
      <w:pPr>
        <w:spacing w:after="40"/>
      </w:pPr>
      <w:r>
        <w:rPr>
          <w:rFonts w:ascii="Calibri" w:hAnsi="Calibri"/>
          <w:b/>
          <w:color w:val="0066FF"/>
          <w:sz w:val="20"/>
        </w:rPr>
        <w:t xml:space="preserve">2.1  </w:t>
      </w:r>
      <w:r>
        <w:rPr>
          <w:rFonts w:ascii="Calibri" w:hAnsi="Calibri"/>
          <w:sz w:val="20"/>
        </w:rPr>
        <w:t>Scale and Financial Impact</w:t>
      </w:r>
    </w:p>
    <w:p>
      <w:pPr>
        <w:spacing w:after="40"/>
      </w:pPr>
      <w:r>
        <w:rPr>
          <w:rFonts w:ascii="Calibri" w:hAnsi="Calibri"/>
          <w:b/>
          <w:color w:val="0066FF"/>
          <w:sz w:val="20"/>
        </w:rPr>
        <w:t xml:space="preserve">2.2  </w:t>
      </w:r>
      <w:r>
        <w:rPr>
          <w:rFonts w:ascii="Calibri" w:hAnsi="Calibri"/>
          <w:sz w:val="20"/>
        </w:rPr>
        <w:t>Root Cause Analysis</w:t>
      </w:r>
    </w:p>
    <w:p>
      <w:pPr>
        <w:spacing w:after="40"/>
      </w:pPr>
      <w:r>
        <w:rPr>
          <w:rFonts w:ascii="Calibri" w:hAnsi="Calibri"/>
          <w:b/>
          <w:color w:val="0066FF"/>
          <w:sz w:val="20"/>
        </w:rPr>
        <w:t xml:space="preserve">2.3  </w:t>
      </w:r>
      <w:r>
        <w:rPr>
          <w:rFonts w:ascii="Calibri" w:hAnsi="Calibri"/>
          <w:sz w:val="20"/>
        </w:rPr>
        <w:t>Regulatory Landscape</w:t>
      </w:r>
    </w:p>
    <w:p>
      <w:pPr>
        <w:spacing w:after="40"/>
      </w:pPr>
      <w:r>
        <w:rPr>
          <w:rFonts w:ascii="Calibri" w:hAnsi="Calibri"/>
          <w:b/>
          <w:color w:val="0066FF"/>
          <w:sz w:val="20"/>
        </w:rPr>
        <w:t xml:space="preserve">3  </w:t>
      </w:r>
      <w:r>
        <w:rPr>
          <w:rFonts w:ascii="Calibri" w:hAnsi="Calibri"/>
          <w:sz w:val="20"/>
        </w:rPr>
        <w:t>Solution Overview</w:t>
      </w:r>
    </w:p>
    <w:p>
      <w:pPr>
        <w:spacing w:after="40"/>
      </w:pPr>
      <w:r>
        <w:rPr>
          <w:rFonts w:ascii="Calibri" w:hAnsi="Calibri"/>
          <w:b/>
          <w:color w:val="0066FF"/>
          <w:sz w:val="20"/>
        </w:rPr>
        <w:t xml:space="preserve">3.1  </w:t>
      </w:r>
      <w:r>
        <w:rPr>
          <w:rFonts w:ascii="Calibri" w:hAnsi="Calibri"/>
          <w:sz w:val="20"/>
        </w:rPr>
        <w:t>Platform Description</w:t>
      </w:r>
    </w:p>
    <w:p>
      <w:pPr>
        <w:spacing w:after="40"/>
      </w:pPr>
      <w:r>
        <w:rPr>
          <w:rFonts w:ascii="Calibri" w:hAnsi="Calibri"/>
          <w:b/>
          <w:color w:val="0066FF"/>
          <w:sz w:val="20"/>
        </w:rPr>
        <w:t xml:space="preserve">3.2  </w:t>
      </w:r>
      <w:r>
        <w:rPr>
          <w:rFonts w:ascii="Calibri" w:hAnsi="Calibri"/>
          <w:sz w:val="20"/>
        </w:rPr>
        <w:t>Core Pipeline</w:t>
      </w:r>
    </w:p>
    <w:p>
      <w:pPr>
        <w:spacing w:after="40"/>
      </w:pPr>
      <w:r>
        <w:rPr>
          <w:rFonts w:ascii="Calibri" w:hAnsi="Calibri"/>
          <w:b/>
          <w:color w:val="0066FF"/>
          <w:sz w:val="20"/>
        </w:rPr>
        <w:t xml:space="preserve">3.3  </w:t>
      </w:r>
      <w:r>
        <w:rPr>
          <w:rFonts w:ascii="Calibri" w:hAnsi="Calibri"/>
          <w:sz w:val="20"/>
        </w:rPr>
        <w:t>Key Differentiators</w:t>
      </w:r>
    </w:p>
    <w:p>
      <w:pPr>
        <w:spacing w:after="40"/>
      </w:pPr>
      <w:r>
        <w:rPr>
          <w:rFonts w:ascii="Calibri" w:hAnsi="Calibri"/>
          <w:b/>
          <w:color w:val="0066FF"/>
          <w:sz w:val="20"/>
        </w:rPr>
        <w:t xml:space="preserve">4  </w:t>
      </w:r>
      <w:r>
        <w:rPr>
          <w:rFonts w:ascii="Calibri" w:hAnsi="Calibri"/>
          <w:sz w:val="20"/>
        </w:rPr>
        <w:t>System Architecture</w:t>
      </w:r>
    </w:p>
    <w:p>
      <w:pPr>
        <w:spacing w:after="40"/>
      </w:pPr>
      <w:r>
        <w:rPr>
          <w:rFonts w:ascii="Calibri" w:hAnsi="Calibri"/>
          <w:b/>
          <w:color w:val="0066FF"/>
          <w:sz w:val="20"/>
        </w:rPr>
        <w:t xml:space="preserve">4.1  </w:t>
      </w:r>
      <w:r>
        <w:rPr>
          <w:rFonts w:ascii="Calibri" w:hAnsi="Calibri"/>
          <w:sz w:val="20"/>
        </w:rPr>
        <w:t>High-Level Architecture</w:t>
      </w:r>
    </w:p>
    <w:p>
      <w:pPr>
        <w:spacing w:after="40"/>
      </w:pPr>
      <w:r>
        <w:rPr>
          <w:rFonts w:ascii="Calibri" w:hAnsi="Calibri"/>
          <w:b/>
          <w:color w:val="0066FF"/>
          <w:sz w:val="20"/>
        </w:rPr>
        <w:t xml:space="preserve">4.2  </w:t>
      </w:r>
      <w:r>
        <w:rPr>
          <w:rFonts w:ascii="Calibri" w:hAnsi="Calibri"/>
          <w:sz w:val="20"/>
        </w:rPr>
        <w:t>Request Lifecycle</w:t>
      </w:r>
    </w:p>
    <w:p>
      <w:pPr>
        <w:spacing w:after="40"/>
      </w:pPr>
      <w:r>
        <w:rPr>
          <w:rFonts w:ascii="Calibri" w:hAnsi="Calibri"/>
          <w:b/>
          <w:color w:val="0066FF"/>
          <w:sz w:val="20"/>
        </w:rPr>
        <w:t xml:space="preserve">4.3  </w:t>
      </w:r>
      <w:r>
        <w:rPr>
          <w:rFonts w:ascii="Calibri" w:hAnsi="Calibri"/>
          <w:sz w:val="20"/>
        </w:rPr>
        <w:t>Deployment Options</w:t>
      </w:r>
    </w:p>
    <w:p>
      <w:pPr>
        <w:spacing w:after="40"/>
      </w:pPr>
      <w:r>
        <w:rPr>
          <w:rFonts w:ascii="Calibri" w:hAnsi="Calibri"/>
          <w:b/>
          <w:color w:val="0066FF"/>
          <w:sz w:val="20"/>
        </w:rPr>
        <w:t xml:space="preserve">4.4  </w:t>
      </w:r>
      <w:r>
        <w:rPr>
          <w:rFonts w:ascii="Calibri" w:hAnsi="Calibri"/>
          <w:sz w:val="20"/>
        </w:rPr>
        <w:t>Latency Budget</w:t>
      </w:r>
    </w:p>
    <w:p>
      <w:pPr>
        <w:spacing w:after="40"/>
      </w:pPr>
      <w:r>
        <w:rPr>
          <w:rFonts w:ascii="Calibri" w:hAnsi="Calibri"/>
          <w:b/>
          <w:color w:val="0066FF"/>
          <w:sz w:val="20"/>
        </w:rPr>
        <w:t xml:space="preserve">4.5  </w:t>
      </w:r>
      <w:r>
        <w:rPr>
          <w:rFonts w:ascii="Calibri" w:hAnsi="Calibri"/>
          <w:sz w:val="20"/>
        </w:rPr>
        <w:t>Audit Log Schema</w:t>
      </w:r>
    </w:p>
    <w:p>
      <w:pPr>
        <w:spacing w:after="40"/>
      </w:pPr>
      <w:r>
        <w:rPr>
          <w:rFonts w:ascii="Calibri" w:hAnsi="Calibri"/>
          <w:b/>
          <w:color w:val="0066FF"/>
          <w:sz w:val="20"/>
        </w:rPr>
        <w:t xml:space="preserve">5  </w:t>
      </w:r>
      <w:r>
        <w:rPr>
          <w:rFonts w:ascii="Calibri" w:hAnsi="Calibri"/>
          <w:sz w:val="20"/>
        </w:rPr>
        <w:t>Detection Engine</w:t>
      </w:r>
    </w:p>
    <w:p>
      <w:pPr>
        <w:spacing w:after="40"/>
      </w:pPr>
      <w:r>
        <w:rPr>
          <w:rFonts w:ascii="Calibri" w:hAnsi="Calibri"/>
          <w:b/>
          <w:color w:val="0066FF"/>
          <w:sz w:val="20"/>
        </w:rPr>
        <w:t xml:space="preserve">5.1–5.8  </w:t>
      </w:r>
      <w:r>
        <w:rPr>
          <w:rFonts w:ascii="Calibri" w:hAnsi="Calibri"/>
          <w:sz w:val="20"/>
        </w:rPr>
        <w:t>All 8 Detection Techniques</w:t>
      </w:r>
    </w:p>
    <w:p>
      <w:pPr>
        <w:spacing w:after="40"/>
      </w:pPr>
      <w:r>
        <w:rPr>
          <w:rFonts w:ascii="Calibri" w:hAnsi="Calibri"/>
          <w:b/>
          <w:color w:val="0066FF"/>
          <w:sz w:val="20"/>
        </w:rPr>
        <w:t xml:space="preserve">5.9  </w:t>
      </w:r>
      <w:r>
        <w:rPr>
          <w:rFonts w:ascii="Calibri" w:hAnsi="Calibri"/>
          <w:sz w:val="20"/>
        </w:rPr>
        <w:t>Ensemble Scoring Model</w:t>
      </w:r>
    </w:p>
    <w:p>
      <w:pPr>
        <w:spacing w:after="40"/>
      </w:pPr>
      <w:r>
        <w:rPr>
          <w:rFonts w:ascii="Calibri" w:hAnsi="Calibri"/>
          <w:b/>
          <w:color w:val="0066FF"/>
          <w:sz w:val="20"/>
        </w:rPr>
        <w:t xml:space="preserve">5.10  </w:t>
      </w:r>
      <w:r>
        <w:rPr>
          <w:rFonts w:ascii="Calibri" w:hAnsi="Calibri"/>
          <w:sz w:val="20"/>
        </w:rPr>
        <w:t>Performance Metrics</w:t>
      </w:r>
    </w:p>
    <w:p>
      <w:pPr>
        <w:spacing w:after="40"/>
      </w:pPr>
      <w:r>
        <w:rPr>
          <w:rFonts w:ascii="Calibri" w:hAnsi="Calibri"/>
          <w:b/>
          <w:color w:val="0066FF"/>
          <w:sz w:val="20"/>
        </w:rPr>
        <w:t xml:space="preserve">6  </w:t>
      </w:r>
      <w:r>
        <w:rPr>
          <w:rFonts w:ascii="Calibri" w:hAnsi="Calibri"/>
          <w:sz w:val="20"/>
        </w:rPr>
        <w:t>Industry Modules</w:t>
      </w:r>
    </w:p>
    <w:p>
      <w:pPr>
        <w:spacing w:after="40"/>
      </w:pPr>
      <w:r>
        <w:rPr>
          <w:rFonts w:ascii="Calibri" w:hAnsi="Calibri"/>
          <w:b/>
          <w:color w:val="0066FF"/>
          <w:sz w:val="20"/>
        </w:rPr>
        <w:t xml:space="preserve">6.1  </w:t>
      </w:r>
      <w:r>
        <w:rPr>
          <w:rFonts w:ascii="Calibri" w:hAnsi="Calibri"/>
          <w:sz w:val="20"/>
        </w:rPr>
        <w:t>BFSI — Banking Walkthrough</w:t>
      </w:r>
    </w:p>
    <w:p>
      <w:pPr>
        <w:spacing w:after="40"/>
      </w:pPr>
      <w:r>
        <w:rPr>
          <w:rFonts w:ascii="Calibri" w:hAnsi="Calibri"/>
          <w:b/>
          <w:color w:val="0066FF"/>
          <w:sz w:val="20"/>
        </w:rPr>
        <w:t xml:space="preserve">6.2  </w:t>
      </w:r>
      <w:r>
        <w:rPr>
          <w:rFonts w:ascii="Calibri" w:hAnsi="Calibri"/>
          <w:sz w:val="20"/>
        </w:rPr>
        <w:t>Healthcare — Drug Dosing Walkthrough</w:t>
      </w:r>
    </w:p>
    <w:p>
      <w:pPr>
        <w:spacing w:after="40"/>
      </w:pPr>
      <w:r>
        <w:rPr>
          <w:rFonts w:ascii="Calibri" w:hAnsi="Calibri"/>
          <w:b/>
          <w:color w:val="0066FF"/>
          <w:sz w:val="20"/>
        </w:rPr>
        <w:t xml:space="preserve">6.3  </w:t>
      </w:r>
      <w:r>
        <w:rPr>
          <w:rFonts w:ascii="Calibri" w:hAnsi="Calibri"/>
          <w:sz w:val="20"/>
        </w:rPr>
        <w:t>Legal — Citation Fabrication Walkthrough</w:t>
      </w:r>
    </w:p>
    <w:p>
      <w:pPr>
        <w:spacing w:after="40"/>
      </w:pPr>
      <w:r>
        <w:rPr>
          <w:rFonts w:ascii="Calibri" w:hAnsi="Calibri"/>
          <w:b/>
          <w:color w:val="0066FF"/>
          <w:sz w:val="20"/>
        </w:rPr>
        <w:t xml:space="preserve">6.4–6.8  </w:t>
      </w:r>
      <w:r>
        <w:rPr>
          <w:rFonts w:ascii="Calibri" w:hAnsi="Calibri"/>
          <w:sz w:val="20"/>
        </w:rPr>
        <w:t>Additional Modules</w:t>
      </w:r>
    </w:p>
    <w:p>
      <w:pPr>
        <w:spacing w:after="40"/>
      </w:pPr>
      <w:r>
        <w:rPr>
          <w:rFonts w:ascii="Calibri" w:hAnsi="Calibri"/>
          <w:b/>
          <w:color w:val="0066FF"/>
          <w:sz w:val="20"/>
        </w:rPr>
        <w:t xml:space="preserve">7  </w:t>
      </w:r>
      <w:r>
        <w:rPr>
          <w:rFonts w:ascii="Calibri" w:hAnsi="Calibri"/>
          <w:sz w:val="20"/>
        </w:rPr>
        <w:t>Compliance &amp; Governance</w:t>
      </w:r>
    </w:p>
    <w:p>
      <w:pPr>
        <w:spacing w:after="40"/>
      </w:pPr>
      <w:r>
        <w:rPr>
          <w:rFonts w:ascii="Calibri" w:hAnsi="Calibri"/>
          <w:b/>
          <w:color w:val="0066FF"/>
          <w:sz w:val="20"/>
        </w:rPr>
        <w:t xml:space="preserve">7.1  </w:t>
      </w:r>
      <w:r>
        <w:rPr>
          <w:rFonts w:ascii="Calibri" w:hAnsi="Calibri"/>
          <w:sz w:val="20"/>
        </w:rPr>
        <w:t>EU AI Act (94% Coverage)</w:t>
      </w:r>
    </w:p>
    <w:p>
      <w:pPr>
        <w:spacing w:after="40"/>
      </w:pPr>
      <w:r>
        <w:rPr>
          <w:rFonts w:ascii="Calibri" w:hAnsi="Calibri"/>
          <w:b/>
          <w:color w:val="0066FF"/>
          <w:sz w:val="20"/>
        </w:rPr>
        <w:t xml:space="preserve">7.2  </w:t>
      </w:r>
      <w:r>
        <w:rPr>
          <w:rFonts w:ascii="Calibri" w:hAnsi="Calibri"/>
          <w:sz w:val="20"/>
        </w:rPr>
        <w:t>NIST AI RMF (89%)</w:t>
      </w:r>
    </w:p>
    <w:p>
      <w:pPr>
        <w:spacing w:after="40"/>
      </w:pPr>
      <w:r>
        <w:rPr>
          <w:rFonts w:ascii="Calibri" w:hAnsi="Calibri"/>
          <w:b/>
          <w:color w:val="0066FF"/>
          <w:sz w:val="20"/>
        </w:rPr>
        <w:t xml:space="preserve">7.3  </w:t>
      </w:r>
      <w:r>
        <w:rPr>
          <w:rFonts w:ascii="Calibri" w:hAnsi="Calibri"/>
          <w:sz w:val="20"/>
        </w:rPr>
        <w:t>ISO/IEC 42001 (82%)</w:t>
      </w:r>
    </w:p>
    <w:p>
      <w:pPr>
        <w:spacing w:after="40"/>
      </w:pPr>
      <w:r>
        <w:rPr>
          <w:rFonts w:ascii="Calibri" w:hAnsi="Calibri"/>
          <w:b/>
          <w:color w:val="0066FF"/>
          <w:sz w:val="20"/>
        </w:rPr>
        <w:t xml:space="preserve">7.4  </w:t>
      </w:r>
      <w:r>
        <w:rPr>
          <w:rFonts w:ascii="Calibri" w:hAnsi="Calibri"/>
          <w:sz w:val="20"/>
        </w:rPr>
        <w:t>SOC 2 Type II (97%)</w:t>
      </w:r>
    </w:p>
    <w:p>
      <w:pPr>
        <w:spacing w:after="40"/>
      </w:pPr>
      <w:r>
        <w:rPr>
          <w:rFonts w:ascii="Calibri" w:hAnsi="Calibri"/>
          <w:b/>
          <w:color w:val="0066FF"/>
          <w:sz w:val="20"/>
        </w:rPr>
        <w:t xml:space="preserve">7.5  </w:t>
      </w:r>
      <w:r>
        <w:rPr>
          <w:rFonts w:ascii="Calibri" w:hAnsi="Calibri"/>
          <w:sz w:val="20"/>
        </w:rPr>
        <w:t>Audit Trail Design</w:t>
      </w:r>
    </w:p>
    <w:p>
      <w:pPr>
        <w:spacing w:after="40"/>
      </w:pPr>
      <w:r>
        <w:rPr>
          <w:rFonts w:ascii="Calibri" w:hAnsi="Calibri"/>
          <w:b/>
          <w:color w:val="0066FF"/>
          <w:sz w:val="20"/>
        </w:rPr>
        <w:t xml:space="preserve">8  </w:t>
      </w:r>
      <w:r>
        <w:rPr>
          <w:rFonts w:ascii="Calibri" w:hAnsi="Calibri"/>
          <w:sz w:val="20"/>
        </w:rPr>
        <w:t>Integration Ecosystem</w:t>
      </w:r>
    </w:p>
    <w:p>
      <w:pPr>
        <w:spacing w:after="40"/>
      </w:pPr>
      <w:r>
        <w:rPr>
          <w:rFonts w:ascii="Calibri" w:hAnsi="Calibri"/>
          <w:b/>
          <w:color w:val="0066FF"/>
          <w:sz w:val="20"/>
        </w:rPr>
        <w:t xml:space="preserve">8.1  </w:t>
      </w:r>
      <w:r>
        <w:rPr>
          <w:rFonts w:ascii="Calibri" w:hAnsi="Calibri"/>
          <w:sz w:val="20"/>
        </w:rPr>
        <w:t>LLM Provider Support</w:t>
      </w:r>
    </w:p>
    <w:p>
      <w:pPr>
        <w:spacing w:after="40"/>
      </w:pPr>
      <w:r>
        <w:rPr>
          <w:rFonts w:ascii="Calibri" w:hAnsi="Calibri"/>
          <w:b/>
          <w:color w:val="0066FF"/>
          <w:sz w:val="20"/>
        </w:rPr>
        <w:t xml:space="preserve">8.2  </w:t>
      </w:r>
      <w:r>
        <w:rPr>
          <w:rFonts w:ascii="Calibri" w:hAnsi="Calibri"/>
          <w:sz w:val="20"/>
        </w:rPr>
        <w:t>Enterprise Connectors</w:t>
      </w:r>
    </w:p>
    <w:p>
      <w:pPr>
        <w:spacing w:after="40"/>
      </w:pPr>
      <w:r>
        <w:rPr>
          <w:rFonts w:ascii="Calibri" w:hAnsi="Calibri"/>
          <w:b/>
          <w:color w:val="0066FF"/>
          <w:sz w:val="20"/>
        </w:rPr>
        <w:t xml:space="preserve">8.3  </w:t>
      </w:r>
      <w:r>
        <w:rPr>
          <w:rFonts w:ascii="Calibri" w:hAnsi="Calibri"/>
          <w:sz w:val="20"/>
        </w:rPr>
        <w:t>SDK Integration</w:t>
      </w:r>
    </w:p>
    <w:p>
      <w:pPr>
        <w:spacing w:after="40"/>
      </w:pPr>
      <w:r>
        <w:rPr>
          <w:rFonts w:ascii="Calibri" w:hAnsi="Calibri"/>
          <w:b/>
          <w:color w:val="0066FF"/>
          <w:sz w:val="20"/>
        </w:rPr>
        <w:t xml:space="preserve">8.4  </w:t>
      </w:r>
      <w:r>
        <w:rPr>
          <w:rFonts w:ascii="Calibri" w:hAnsi="Calibri"/>
          <w:sz w:val="20"/>
        </w:rPr>
        <w:t>API Gateway Mode</w:t>
      </w:r>
    </w:p>
    <w:p>
      <w:pPr>
        <w:spacing w:after="40"/>
      </w:pPr>
      <w:r>
        <w:rPr>
          <w:rFonts w:ascii="Calibri" w:hAnsi="Calibri"/>
          <w:b/>
          <w:color w:val="0066FF"/>
          <w:sz w:val="20"/>
        </w:rPr>
        <w:t xml:space="preserve">9  </w:t>
      </w:r>
      <w:r>
        <w:rPr>
          <w:rFonts w:ascii="Calibri" w:hAnsi="Calibri"/>
          <w:sz w:val="20"/>
        </w:rPr>
        <w:t>Technology Stack</w:t>
      </w:r>
    </w:p>
    <w:p>
      <w:pPr>
        <w:spacing w:after="40"/>
      </w:pPr>
      <w:r>
        <w:rPr>
          <w:rFonts w:ascii="Calibri" w:hAnsi="Calibri"/>
          <w:b/>
          <w:color w:val="0066FF"/>
          <w:sz w:val="20"/>
        </w:rPr>
        <w:t xml:space="preserve">10  </w:t>
      </w:r>
      <w:r>
        <w:rPr>
          <w:rFonts w:ascii="Calibri" w:hAnsi="Calibri"/>
          <w:sz w:val="20"/>
        </w:rPr>
        <w:t>ROI &amp; Business Case</w:t>
      </w:r>
    </w:p>
    <w:p>
      <w:pPr>
        <w:spacing w:after="40"/>
      </w:pPr>
      <w:r>
        <w:rPr>
          <w:rFonts w:ascii="Calibri" w:hAnsi="Calibri"/>
          <w:b/>
          <w:color w:val="0066FF"/>
          <w:sz w:val="20"/>
        </w:rPr>
        <w:t xml:space="preserve">11  </w:t>
      </w:r>
      <w:r>
        <w:rPr>
          <w:rFonts w:ascii="Calibri" w:hAnsi="Calibri"/>
          <w:sz w:val="20"/>
        </w:rPr>
        <w:t>Demo Application</w:t>
      </w:r>
    </w:p>
    <w:p>
      <w:pPr>
        <w:spacing w:after="40"/>
      </w:pPr>
      <w:r>
        <w:rPr>
          <w:rFonts w:ascii="Calibri" w:hAnsi="Calibri"/>
          <w:b/>
          <w:color w:val="0066FF"/>
          <w:sz w:val="20"/>
        </w:rPr>
        <w:t xml:space="preserve">12  </w:t>
      </w:r>
      <w:r>
        <w:rPr>
          <w:rFonts w:ascii="Calibri" w:hAnsi="Calibri"/>
          <w:sz w:val="20"/>
        </w:rPr>
        <w:t>Security Architecture</w:t>
      </w:r>
    </w:p>
    <w:p>
      <w:pPr>
        <w:spacing w:after="40"/>
      </w:pPr>
      <w:r>
        <w:rPr>
          <w:rFonts w:ascii="Calibri" w:hAnsi="Calibri"/>
          <w:b/>
          <w:color w:val="0066FF"/>
          <w:sz w:val="20"/>
        </w:rPr>
        <w:t xml:space="preserve">13  </w:t>
      </w:r>
      <w:r>
        <w:rPr>
          <w:rFonts w:ascii="Calibri" w:hAnsi="Calibri"/>
          <w:sz w:val="20"/>
        </w:rPr>
        <w:t>Performance &amp; Scalability</w:t>
      </w:r>
    </w:p>
    <w:p>
      <w:pPr>
        <w:spacing w:after="40"/>
      </w:pPr>
      <w:r>
        <w:rPr>
          <w:rFonts w:ascii="Calibri" w:hAnsi="Calibri"/>
          <w:b/>
          <w:color w:val="0066FF"/>
          <w:sz w:val="20"/>
        </w:rPr>
        <w:t xml:space="preserve">14  </w:t>
      </w:r>
      <w:r>
        <w:rPr>
          <w:rFonts w:ascii="Calibri" w:hAnsi="Calibri"/>
          <w:sz w:val="20"/>
        </w:rPr>
        <w:t>Future Roadmap</w:t>
      </w:r>
    </w:p>
    <w:p>
      <w:pPr>
        <w:spacing w:after="40"/>
      </w:pPr>
      <w:r>
        <w:rPr>
          <w:rFonts w:ascii="Calibri" w:hAnsi="Calibri"/>
          <w:b/>
          <w:color w:val="0066FF"/>
          <w:sz w:val="20"/>
        </w:rPr>
        <w:t xml:space="preserve">A  </w:t>
      </w:r>
      <w:r>
        <w:rPr>
          <w:rFonts w:ascii="Calibri" w:hAnsi="Calibri"/>
          <w:sz w:val="20"/>
        </w:rPr>
        <w:t>Competitive Analysis</w:t>
      </w:r>
    </w:p>
    <w:p>
      <w:pPr>
        <w:spacing w:after="40"/>
      </w:pPr>
      <w:r>
        <w:rPr>
          <w:rFonts w:ascii="Calibri" w:hAnsi="Calibri"/>
          <w:b/>
          <w:color w:val="0066FF"/>
          <w:sz w:val="20"/>
        </w:rPr>
        <w:t xml:space="preserve">B  </w:t>
      </w:r>
      <w:r>
        <w:rPr>
          <w:rFonts w:ascii="Calibri" w:hAnsi="Calibri"/>
          <w:sz w:val="20"/>
        </w:rPr>
        <w:t>Glossary</w:t>
      </w:r>
    </w:p>
    <w:p>
      <w:pPr>
        <w:spacing w:after="40"/>
      </w:pPr>
      <w:r>
        <w:rPr>
          <w:rFonts w:ascii="Calibri" w:hAnsi="Calibri"/>
          <w:b/>
          <w:color w:val="0066FF"/>
          <w:sz w:val="20"/>
        </w:rPr>
        <w:t xml:space="preserve">C  </w:t>
      </w:r>
      <w:r>
        <w:rPr>
          <w:rFonts w:ascii="Calibri" w:hAnsi="Calibri"/>
          <w:sz w:val="20"/>
        </w:rPr>
        <w:t>API Reference</w:t>
      </w:r>
    </w:p>
    <w:p>
      <w:r>
        <w:br w:type="page"/>
      </w:r>
    </w:p>
    <w:p>
      <w:pPr>
        <w:pStyle w:val="Heading1"/>
      </w:pPr>
      <w:r>
        <w:rPr>
          <w:color w:val="003388"/>
        </w:rPr>
        <w:t>1. Executive Summary</w:t>
      </w:r>
    </w:p>
    <w:p>
      <w:pPr>
        <w:spacing w:before="40" w:after="120"/>
        <w:pBdr>
          <w:bottom w:val="single" w:sz="12" w:space="1" w:color="0066FF"/>
        </w:pBdr>
      </w:pPr>
    </w:p>
    <w:p>
      <w:pPr>
        <w:spacing w:after="120"/>
        <w:jc w:val="left"/>
      </w:pPr>
      <w:r>
        <w:rPr>
          <w:rFonts w:ascii="Calibri" w:hAnsi="Calibri"/>
          <w:b w:val="0"/>
          <w:i w:val="0"/>
          <w:sz w:val="22"/>
        </w:rPr>
        <w:t>TrustLayer AI is an enterprise AI reliability platform that solves one of the most urgent and financially consequential problems in enterprise technology: AI hallucination. Large Language Models deployed across banking, healthcare, legal, and enterprise functions routinely generate confident but factually incorrect outputs that cause regulatory violations, patient harm, legal sanctions, and significant financial losses.</w:t>
      </w:r>
    </w:p>
    <w:p>
      <w:pPr>
        <w:spacing w:after="120"/>
        <w:jc w:val="left"/>
      </w:pPr>
      <w:r>
        <w:rPr>
          <w:rFonts w:ascii="Calibri" w:hAnsi="Calibri"/>
          <w:b w:val="0"/>
          <w:i w:val="0"/>
          <w:sz w:val="22"/>
        </w:rPr>
        <w:t>TrustLayer AI intercepts every AI-generated response in real-time, analyzes it using eight parallel detection algorithms, assigns a confidence score and risk score, and automatically takes the appropriate action — delivering verified responses, routing uncertain ones to human review, or blocking dangerous outputs before they reach users. The entire pipeline adds less than 100ms of latency and is transparent to end users.</w:t>
      </w:r>
    </w:p>
    <w:tbl>
      <w:tblPr>
        <w:tblW w:type="auto" w:w="0"/>
        <w:jc w:val="left"/>
        <w:tblLook w:firstColumn="1" w:firstRow="1" w:lastColumn="0" w:lastRow="0" w:noHBand="0" w:noVBand="1" w:val="04A0"/>
      </w:tblPr>
      <w:tblGrid>
        <w:gridCol w:w="9360"/>
      </w:tblGrid>
      <w:tr>
        <w:tc>
          <w:tcPr>
            <w:tcW w:type="dxa" w:w="9360"/>
            <w:shd w:val="clear" w:color="auto" w:fill="E8F4FD"/>
          </w:tcPr>
          <w:p>
            <w:pPr>
              <w:spacing w:before="80"/>
            </w:pPr>
            <w:r>
              <w:rPr>
                <w:rFonts w:ascii="Calibri" w:hAnsi="Calibri"/>
                <w:b/>
                <w:color w:val="0066FF"/>
                <w:sz w:val="22"/>
              </w:rPr>
              <w:t>Core Value Proposition</w:t>
            </w:r>
          </w:p>
          <w:p>
            <w:pPr>
              <w:spacing w:before="20"/>
            </w:pPr>
            <w:r>
              <w:rPr>
                <w:rFonts w:ascii="Calibri" w:hAnsi="Calibri"/>
                <w:sz w:val="20"/>
              </w:rPr>
              <w:t xml:space="preserve">  •  92% hallucination catch rate across 8 industry verticals</w:t>
            </w:r>
          </w:p>
          <w:p>
            <w:pPr>
              <w:spacing w:before="20"/>
            </w:pPr>
            <w:r>
              <w:rPr>
                <w:rFonts w:ascii="Calibri" w:hAnsi="Calibri"/>
                <w:sz w:val="20"/>
              </w:rPr>
              <w:t xml:space="preserve">  •  Sub-100ms real-time interception pipeline</w:t>
            </w:r>
          </w:p>
          <w:p>
            <w:pPr>
              <w:spacing w:before="20"/>
            </w:pPr>
            <w:r>
              <w:rPr>
                <w:rFonts w:ascii="Calibri" w:hAnsi="Calibri"/>
                <w:sz w:val="20"/>
              </w:rPr>
              <w:t xml:space="preserve">  •  EU AI Act compliant out of the box (94% coverage)</w:t>
            </w:r>
          </w:p>
          <w:p>
            <w:pPr>
              <w:spacing w:before="20"/>
            </w:pPr>
            <w:r>
              <w:rPr>
                <w:rFonts w:ascii="Calibri" w:hAnsi="Calibri"/>
                <w:sz w:val="20"/>
              </w:rPr>
              <w:t xml:space="preserve">  •  Works with any LLM provider — no vendor lock-in</w:t>
            </w:r>
          </w:p>
          <w:p>
            <w:pPr>
              <w:spacing w:before="20"/>
            </w:pPr>
            <w:r>
              <w:rPr>
                <w:rFonts w:ascii="Calibri" w:hAnsi="Calibri"/>
                <w:sz w:val="20"/>
              </w:rPr>
              <w:t xml:space="preserve">  •  &gt;400% typical ROI in year one</w:t>
            </w:r>
          </w:p>
          <w:p>
            <w:pPr>
              <w:spacing w:before="20"/>
            </w:pPr>
            <w:r>
              <w:rPr>
                <w:rFonts w:ascii="Calibri" w:hAnsi="Calibri"/>
                <w:sz w:val="20"/>
              </w:rPr>
              <w:t xml:space="preserve">  •  Production deployment in 2–4 weeks</w:t>
            </w:r>
          </w:p>
          <w:p>
            <w:pPr>
              <w:spacing w:after="80"/>
            </w:pPr>
          </w:p>
        </w:tc>
      </w:tr>
    </w:tbl>
    <w:p/>
    <w:p>
      <w:r>
        <w:br w:type="page"/>
      </w:r>
    </w:p>
    <w:p>
      <w:pPr>
        <w:pStyle w:val="Heading1"/>
      </w:pPr>
      <w:r>
        <w:rPr>
          <w:color w:val="003388"/>
        </w:rPr>
        <w:t>2. Problem Statement</w:t>
      </w:r>
    </w:p>
    <w:p>
      <w:pPr>
        <w:spacing w:before="40" w:after="120"/>
        <w:pBdr>
          <w:bottom w:val="single" w:sz="12" w:space="1" w:color="0066FF"/>
        </w:pBdr>
      </w:pPr>
    </w:p>
    <w:p>
      <w:pPr>
        <w:pStyle w:val="Heading2"/>
      </w:pPr>
      <w:r>
        <w:rPr>
          <w:color w:val="0066FF"/>
        </w:rPr>
        <w:t>2.1 Scale and Financial Impact</w:t>
      </w:r>
    </w:p>
    <w:p>
      <w:pPr>
        <w:spacing w:after="120"/>
        <w:jc w:val="left"/>
      </w:pPr>
      <w:r>
        <w:rPr>
          <w:rFonts w:ascii="Calibri" w:hAnsi="Calibri"/>
          <w:b w:val="0"/>
          <w:i w:val="0"/>
          <w:sz w:val="22"/>
        </w:rPr>
        <w:t>AI hallucination is not a theoretical risk — it is an active and measurable cause of enterprise losses. The following data represents documented incidents and industry research:</w:t>
      </w:r>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003388"/>
          </w:tcPr>
          <w:p>
            <w:pPr>
              <w:jc w:val="center"/>
            </w:pPr>
            <w:r>
              <w:rPr>
                <w:rFonts w:ascii="Calibri" w:hAnsi="Calibri"/>
                <w:b/>
                <w:color w:val="FFFFFF"/>
                <w:sz w:val="20"/>
              </w:rPr>
              <w:t>Metric</w:t>
            </w:r>
          </w:p>
        </w:tc>
        <w:tc>
          <w:tcPr>
            <w:tcW w:type="dxa" w:w="2592"/>
            <w:shd w:val="clear" w:color="auto" w:fill="003388"/>
          </w:tcPr>
          <w:p>
            <w:pPr>
              <w:jc w:val="center"/>
            </w:pPr>
            <w:r>
              <w:rPr>
                <w:rFonts w:ascii="Calibri" w:hAnsi="Calibri"/>
                <w:b/>
                <w:color w:val="FFFFFF"/>
                <w:sz w:val="20"/>
              </w:rPr>
              <w:t>Value</w:t>
            </w:r>
          </w:p>
        </w:tc>
        <w:tc>
          <w:tcPr>
            <w:tcW w:type="dxa" w:w="2880"/>
            <w:shd w:val="clear" w:color="auto" w:fill="003388"/>
          </w:tcPr>
          <w:p>
            <w:pPr>
              <w:jc w:val="center"/>
            </w:pPr>
            <w:r>
              <w:rPr>
                <w:rFonts w:ascii="Calibri" w:hAnsi="Calibri"/>
                <w:b/>
                <w:color w:val="FFFFFF"/>
                <w:sz w:val="20"/>
              </w:rPr>
              <w:t>Source</w:t>
            </w:r>
          </w:p>
        </w:tc>
      </w:tr>
      <w:tr>
        <w:tc>
          <w:tcPr>
            <w:tcW w:type="dxa" w:w="5040"/>
            <w:shd w:val="clear" w:color="auto" w:fill="FFFFFF"/>
          </w:tcPr>
          <w:p>
            <w:r>
              <w:rPr>
                <w:rFonts w:ascii="Calibri" w:hAnsi="Calibri"/>
                <w:sz w:val="20"/>
              </w:rPr>
              <w:t>Annual enterprise losses from AI hallucinations</w:t>
            </w:r>
          </w:p>
        </w:tc>
        <w:tc>
          <w:tcPr>
            <w:tcW w:type="dxa" w:w="2592"/>
            <w:shd w:val="clear" w:color="auto" w:fill="FFFFFF"/>
          </w:tcPr>
          <w:p>
            <w:r>
              <w:rPr>
                <w:rFonts w:ascii="Calibri" w:hAnsi="Calibri"/>
                <w:sz w:val="20"/>
              </w:rPr>
              <w:t>$67.4 billion</w:t>
            </w:r>
          </w:p>
        </w:tc>
        <w:tc>
          <w:tcPr>
            <w:tcW w:type="dxa" w:w="2880"/>
            <w:shd w:val="clear" w:color="auto" w:fill="FFFFFF"/>
          </w:tcPr>
          <w:p>
            <w:r>
              <w:rPr>
                <w:rFonts w:ascii="Calibri" w:hAnsi="Calibri"/>
                <w:sz w:val="20"/>
              </w:rPr>
              <w:t>Gartner 2024</w:t>
            </w:r>
          </w:p>
        </w:tc>
      </w:tr>
      <w:tr>
        <w:tc>
          <w:tcPr>
            <w:tcW w:type="dxa" w:w="5040"/>
            <w:shd w:val="clear" w:color="auto" w:fill="F0F4FF"/>
          </w:tcPr>
          <w:p>
            <w:r>
              <w:rPr>
                <w:rFonts w:ascii="Calibri" w:hAnsi="Calibri"/>
                <w:sz w:val="20"/>
              </w:rPr>
              <w:t>Average cost per critical AI hallucination incident</w:t>
            </w:r>
          </w:p>
        </w:tc>
        <w:tc>
          <w:tcPr>
            <w:tcW w:type="dxa" w:w="2592"/>
            <w:shd w:val="clear" w:color="auto" w:fill="F0F4FF"/>
          </w:tcPr>
          <w:p>
            <w:r>
              <w:rPr>
                <w:rFonts w:ascii="Calibri" w:hAnsi="Calibri"/>
                <w:sz w:val="20"/>
              </w:rPr>
              <w:t>$2.4 million</w:t>
            </w:r>
          </w:p>
        </w:tc>
        <w:tc>
          <w:tcPr>
            <w:tcW w:type="dxa" w:w="2880"/>
            <w:shd w:val="clear" w:color="auto" w:fill="F0F4FF"/>
          </w:tcPr>
          <w:p>
            <w:r>
              <w:rPr>
                <w:rFonts w:ascii="Calibri" w:hAnsi="Calibri"/>
                <w:sz w:val="20"/>
              </w:rPr>
              <w:t>IBM Cost of AI Failures Report</w:t>
            </w:r>
          </w:p>
        </w:tc>
      </w:tr>
      <w:tr>
        <w:tc>
          <w:tcPr>
            <w:tcW w:type="dxa" w:w="5040"/>
            <w:shd w:val="clear" w:color="auto" w:fill="FFFFFF"/>
          </w:tcPr>
          <w:p>
            <w:r>
              <w:rPr>
                <w:rFonts w:ascii="Calibri" w:hAnsi="Calibri"/>
                <w:sz w:val="20"/>
              </w:rPr>
              <w:t>Enterprise leaders concerned about AI hallucinations</w:t>
            </w:r>
          </w:p>
        </w:tc>
        <w:tc>
          <w:tcPr>
            <w:tcW w:type="dxa" w:w="2592"/>
            <w:shd w:val="clear" w:color="auto" w:fill="FFFFFF"/>
          </w:tcPr>
          <w:p>
            <w:r>
              <w:rPr>
                <w:rFonts w:ascii="Calibri" w:hAnsi="Calibri"/>
                <w:sz w:val="20"/>
              </w:rPr>
              <w:t>77%</w:t>
            </w:r>
          </w:p>
        </w:tc>
        <w:tc>
          <w:tcPr>
            <w:tcW w:type="dxa" w:w="2880"/>
            <w:shd w:val="clear" w:color="auto" w:fill="FFFFFF"/>
          </w:tcPr>
          <w:p>
            <w:r>
              <w:rPr>
                <w:rFonts w:ascii="Calibri" w:hAnsi="Calibri"/>
                <w:sz w:val="20"/>
              </w:rPr>
              <w:t>McKinsey AI Survey 2024</w:t>
            </w:r>
          </w:p>
        </w:tc>
      </w:tr>
      <w:tr>
        <w:tc>
          <w:tcPr>
            <w:tcW w:type="dxa" w:w="5040"/>
            <w:shd w:val="clear" w:color="auto" w:fill="F0F4FF"/>
          </w:tcPr>
          <w:p>
            <w:r>
              <w:rPr>
                <w:rFonts w:ascii="Calibri" w:hAnsi="Calibri"/>
                <w:sz w:val="20"/>
              </w:rPr>
              <w:t>Organizations deploying AI despite hallucination concerns</w:t>
            </w:r>
          </w:p>
        </w:tc>
        <w:tc>
          <w:tcPr>
            <w:tcW w:type="dxa" w:w="2592"/>
            <w:shd w:val="clear" w:color="auto" w:fill="F0F4FF"/>
          </w:tcPr>
          <w:p>
            <w:r>
              <w:rPr>
                <w:rFonts w:ascii="Calibri" w:hAnsi="Calibri"/>
                <w:sz w:val="20"/>
              </w:rPr>
              <w:t>~70%</w:t>
            </w:r>
          </w:p>
        </w:tc>
        <w:tc>
          <w:tcPr>
            <w:tcW w:type="dxa" w:w="2880"/>
            <w:shd w:val="clear" w:color="auto" w:fill="F0F4FF"/>
          </w:tcPr>
          <w:p>
            <w:r>
              <w:rPr>
                <w:rFonts w:ascii="Calibri" w:hAnsi="Calibri"/>
                <w:sz w:val="20"/>
              </w:rPr>
              <w:t>Deloitte AI Report 2024</w:t>
            </w:r>
          </w:p>
        </w:tc>
      </w:tr>
      <w:tr>
        <w:tc>
          <w:tcPr>
            <w:tcW w:type="dxa" w:w="5040"/>
            <w:shd w:val="clear" w:color="auto" w:fill="FFFFFF"/>
          </w:tcPr>
          <w:p>
            <w:r>
              <w:rPr>
                <w:rFonts w:ascii="Calibri" w:hAnsi="Calibri"/>
                <w:sz w:val="20"/>
              </w:rPr>
              <w:t>Industry average hallucination rate for LLMs</w:t>
            </w:r>
          </w:p>
        </w:tc>
        <w:tc>
          <w:tcPr>
            <w:tcW w:type="dxa" w:w="2592"/>
            <w:shd w:val="clear" w:color="auto" w:fill="FFFFFF"/>
          </w:tcPr>
          <w:p>
            <w:r>
              <w:rPr>
                <w:rFonts w:ascii="Calibri" w:hAnsi="Calibri"/>
                <w:sz w:val="20"/>
              </w:rPr>
              <w:t>15%</w:t>
            </w:r>
          </w:p>
        </w:tc>
        <w:tc>
          <w:tcPr>
            <w:tcW w:type="dxa" w:w="2880"/>
            <w:shd w:val="clear" w:color="auto" w:fill="FFFFFF"/>
          </w:tcPr>
          <w:p>
            <w:r>
              <w:rPr>
                <w:rFonts w:ascii="Calibri" w:hAnsi="Calibri"/>
                <w:sz w:val="20"/>
              </w:rPr>
              <w:t>Stanford HAI 2024</w:t>
            </w:r>
          </w:p>
        </w:tc>
      </w:tr>
      <w:tr>
        <w:tc>
          <w:tcPr>
            <w:tcW w:type="dxa" w:w="5040"/>
            <w:shd w:val="clear" w:color="auto" w:fill="F0F4FF"/>
          </w:tcPr>
          <w:p>
            <w:r>
              <w:rPr>
                <w:rFonts w:ascii="Calibri" w:hAnsi="Calibri"/>
                <w:sz w:val="20"/>
              </w:rPr>
              <w:t>Critical hallucinations as % of total</w:t>
            </w:r>
          </w:p>
        </w:tc>
        <w:tc>
          <w:tcPr>
            <w:tcW w:type="dxa" w:w="2592"/>
            <w:shd w:val="clear" w:color="auto" w:fill="F0F4FF"/>
          </w:tcPr>
          <w:p>
            <w:r>
              <w:rPr>
                <w:rFonts w:ascii="Calibri" w:hAnsi="Calibri"/>
                <w:sz w:val="20"/>
              </w:rPr>
              <w:t>~25%</w:t>
            </w:r>
          </w:p>
        </w:tc>
        <w:tc>
          <w:tcPr>
            <w:tcW w:type="dxa" w:w="2880"/>
            <w:shd w:val="clear" w:color="auto" w:fill="F0F4FF"/>
          </w:tcPr>
          <w:p>
            <w:r>
              <w:rPr>
                <w:rFonts w:ascii="Calibri" w:hAnsi="Calibri"/>
                <w:sz w:val="20"/>
              </w:rPr>
              <w:t>Internal TrustLayer research</w:t>
            </w:r>
          </w:p>
        </w:tc>
      </w:tr>
    </w:tbl>
    <w:p/>
    <w:p>
      <w:pPr>
        <w:pStyle w:val="Heading2"/>
      </w:pPr>
      <w:r>
        <w:rPr>
          <w:color w:val="0066FF"/>
        </w:rPr>
        <w:t>2.2 Root Cause Analysis</w:t>
      </w:r>
    </w:p>
    <w:p>
      <w:pPr>
        <w:spacing w:after="120"/>
        <w:jc w:val="left"/>
      </w:pPr>
      <w:r>
        <w:rPr>
          <w:rFonts w:ascii="Calibri" w:hAnsi="Calibri"/>
          <w:b w:val="0"/>
          <w:i w:val="0"/>
          <w:sz w:val="22"/>
        </w:rPr>
        <w:t>AI hallucinations occur because large language models predict the most statistically likely next token — they do not verify facts, consult authoritative sources, or know when they are wrong. This is a fundamental architectural characteristic, not a bug that will be patched.</w:t>
      </w:r>
    </w:p>
    <w:p>
      <w:pPr>
        <w:spacing w:after="120"/>
        <w:jc w:val="left"/>
      </w:pPr>
      <w:r>
        <w:rPr>
          <w:rFonts w:ascii="Calibri" w:hAnsi="Calibri"/>
          <w:b/>
          <w:i w:val="0"/>
          <w:sz w:val="22"/>
        </w:rPr>
        <w:t>Three compounding factors make this problem particularly severe:</w:t>
      </w:r>
    </w:p>
    <w:p>
      <w:pPr>
        <w:pStyle w:val="ListBullet"/>
        <w:spacing w:after="60"/>
        <w:ind w:left="432"/>
      </w:pPr>
      <w:r>
        <w:rPr>
          <w:rFonts w:ascii="Calibri" w:hAnsi="Calibri"/>
          <w:b/>
          <w:color w:val="0066FF"/>
        </w:rPr>
        <w:t xml:space="preserve">1.  </w:t>
      </w:r>
      <w:r>
        <w:rPr>
          <w:rFonts w:ascii="Calibri" w:hAnsi="Calibri"/>
        </w:rPr>
        <w:t>Provider conflict of interest: OpenAI, Google, and Microsoft have commercial incentives not to publish or emphasize failure rates. Highlighting hallucinations undermines product adoption.</w:t>
      </w:r>
    </w:p>
    <w:p>
      <w:pPr>
        <w:pStyle w:val="ListBullet"/>
        <w:spacing w:after="60"/>
        <w:ind w:left="432"/>
      </w:pPr>
      <w:r>
        <w:rPr>
          <w:rFonts w:ascii="Calibri" w:hAnsi="Calibri"/>
          <w:b/>
          <w:color w:val="0066FF"/>
        </w:rPr>
        <w:t xml:space="preserve">2.  </w:t>
      </w:r>
      <w:r>
        <w:rPr>
          <w:rFonts w:ascii="Calibri" w:hAnsi="Calibri"/>
        </w:rPr>
        <w:t>No output-layer verification: Enterprises deploy AI responses directly to users without any independent reliability check between the LLM and the end user.</w:t>
      </w:r>
    </w:p>
    <w:p>
      <w:pPr>
        <w:pStyle w:val="ListBullet"/>
        <w:spacing w:after="60"/>
        <w:ind w:left="432"/>
      </w:pPr>
      <w:r>
        <w:rPr>
          <w:rFonts w:ascii="Calibri" w:hAnsi="Calibri"/>
          <w:b/>
          <w:color w:val="0066FF"/>
        </w:rPr>
        <w:t xml:space="preserve">3.  </w:t>
      </w:r>
      <w:r>
        <w:rPr>
          <w:rFonts w:ascii="Calibri" w:hAnsi="Calibri"/>
        </w:rPr>
        <w:t>Domain-specific risk blindness: Generic content moderation filters are not calibrated to the specific risks of mortgage rates, drug dosages, or legal citations.</w:t>
      </w:r>
    </w:p>
    <w:p>
      <w:pPr>
        <w:pStyle w:val="Heading2"/>
      </w:pPr>
      <w:r>
        <w:rPr>
          <w:color w:val="0066FF"/>
        </w:rPr>
        <w:t>2.3 Real-World Incidents</w:t>
      </w:r>
    </w:p>
    <w:p>
      <w:pPr>
        <w:spacing w:after="120"/>
        <w:jc w:val="left"/>
      </w:pPr>
      <w:r>
        <w:rPr>
          <w:rFonts w:ascii="Calibri" w:hAnsi="Calibri"/>
          <w:b w:val="0"/>
          <w:i w:val="0"/>
          <w:sz w:val="22"/>
        </w:rPr>
        <w:t>The following documented incidents demonstrate the breadth and severity of the problem:</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003388"/>
          </w:tcPr>
          <w:p>
            <w:pPr>
              <w:jc w:val="center"/>
            </w:pPr>
            <w:r>
              <w:rPr>
                <w:rFonts w:ascii="Calibri" w:hAnsi="Calibri"/>
                <w:b/>
                <w:color w:val="FFFFFF"/>
                <w:sz w:val="18"/>
              </w:rPr>
              <w:t>Industry</w:t>
            </w:r>
          </w:p>
        </w:tc>
        <w:tc>
          <w:tcPr>
            <w:tcW w:type="dxa" w:w="5472"/>
            <w:shd w:val="clear" w:color="auto" w:fill="003388"/>
          </w:tcPr>
          <w:p>
            <w:pPr>
              <w:jc w:val="center"/>
            </w:pPr>
            <w:r>
              <w:rPr>
                <w:rFonts w:ascii="Calibri" w:hAnsi="Calibri"/>
                <w:b/>
                <w:color w:val="FFFFFF"/>
                <w:sz w:val="18"/>
              </w:rPr>
              <w:t>Incident</w:t>
            </w:r>
          </w:p>
        </w:tc>
        <w:tc>
          <w:tcPr>
            <w:tcW w:type="dxa" w:w="3312"/>
            <w:shd w:val="clear" w:color="auto" w:fill="003388"/>
          </w:tcPr>
          <w:p>
            <w:pPr>
              <w:jc w:val="center"/>
            </w:pPr>
            <w:r>
              <w:rPr>
                <w:rFonts w:ascii="Calibri" w:hAnsi="Calibri"/>
                <w:b/>
                <w:color w:val="FFFFFF"/>
                <w:sz w:val="18"/>
              </w:rPr>
              <w:t>Consequence</w:t>
            </w:r>
          </w:p>
        </w:tc>
      </w:tr>
      <w:tr>
        <w:tc>
          <w:tcPr>
            <w:tcW w:type="dxa" w:w="2016"/>
            <w:shd w:val="clear" w:color="auto" w:fill="FFFFFF"/>
          </w:tcPr>
          <w:p>
            <w:r>
              <w:rPr>
                <w:rFonts w:ascii="Calibri" w:hAnsi="Calibri"/>
                <w:sz w:val="18"/>
              </w:rPr>
              <w:t>Legal</w:t>
            </w:r>
          </w:p>
        </w:tc>
        <w:tc>
          <w:tcPr>
            <w:tcW w:type="dxa" w:w="5472"/>
            <w:shd w:val="clear" w:color="auto" w:fill="FFFFFF"/>
          </w:tcPr>
          <w:p>
            <w:r>
              <w:rPr>
                <w:rFonts w:ascii="Calibri" w:hAnsi="Calibri"/>
                <w:sz w:val="18"/>
              </w:rPr>
              <w:t>Multiple attorneys submitted AI-generated briefs with fabricated case citations (Mata v. Avianca, SDNY 2023)</w:t>
            </w:r>
          </w:p>
        </w:tc>
        <w:tc>
          <w:tcPr>
            <w:tcW w:type="dxa" w:w="3312"/>
            <w:shd w:val="clear" w:color="auto" w:fill="FFFFFF"/>
          </w:tcPr>
          <w:p>
            <w:r>
              <w:rPr>
                <w:rFonts w:ascii="Calibri" w:hAnsi="Calibri"/>
                <w:sz w:val="18"/>
              </w:rPr>
              <w:t>Court sanctions, malpractice claims, bar discipline proceedings</w:t>
            </w:r>
          </w:p>
        </w:tc>
      </w:tr>
      <w:tr>
        <w:tc>
          <w:tcPr>
            <w:tcW w:type="dxa" w:w="2016"/>
            <w:shd w:val="clear" w:color="auto" w:fill="F0F4FF"/>
          </w:tcPr>
          <w:p>
            <w:r>
              <w:rPr>
                <w:rFonts w:ascii="Calibri" w:hAnsi="Calibri"/>
                <w:sz w:val="18"/>
              </w:rPr>
              <w:t>Healthcare</w:t>
            </w:r>
          </w:p>
        </w:tc>
        <w:tc>
          <w:tcPr>
            <w:tcW w:type="dxa" w:w="5472"/>
            <w:shd w:val="clear" w:color="auto" w:fill="F0F4FF"/>
          </w:tcPr>
          <w:p>
            <w:r>
              <w:rPr>
                <w:rFonts w:ascii="Calibri" w:hAnsi="Calibri"/>
                <w:sz w:val="18"/>
              </w:rPr>
              <w:t>AI clinical tools recommended metformin at 2× the FDA-approved starting dose, fabricated drug interactions</w:t>
            </w:r>
          </w:p>
        </w:tc>
        <w:tc>
          <w:tcPr>
            <w:tcW w:type="dxa" w:w="3312"/>
            <w:shd w:val="clear" w:color="auto" w:fill="F0F4FF"/>
          </w:tcPr>
          <w:p>
            <w:r>
              <w:rPr>
                <w:rFonts w:ascii="Calibri" w:hAnsi="Calibri"/>
                <w:sz w:val="18"/>
              </w:rPr>
              <w:t>Near-miss patient harm events; hospital AI moratorium</w:t>
            </w:r>
          </w:p>
        </w:tc>
      </w:tr>
      <w:tr>
        <w:tc>
          <w:tcPr>
            <w:tcW w:type="dxa" w:w="2016"/>
            <w:shd w:val="clear" w:color="auto" w:fill="FFFFFF"/>
          </w:tcPr>
          <w:p>
            <w:r>
              <w:rPr>
                <w:rFonts w:ascii="Calibri" w:hAnsi="Calibri"/>
                <w:sz w:val="18"/>
              </w:rPr>
              <w:t>Banking</w:t>
            </w:r>
          </w:p>
        </w:tc>
        <w:tc>
          <w:tcPr>
            <w:tcW w:type="dxa" w:w="5472"/>
            <w:shd w:val="clear" w:color="auto" w:fill="FFFFFF"/>
          </w:tcPr>
          <w:p>
            <w:r>
              <w:rPr>
                <w:rFonts w:ascii="Calibri" w:hAnsi="Calibri"/>
                <w:sz w:val="18"/>
              </w:rPr>
              <w:t>Chatbots quoted fabricated mortgage rates and guaranteed pre-approval; promotions did not exist</w:t>
            </w:r>
          </w:p>
        </w:tc>
        <w:tc>
          <w:tcPr>
            <w:tcW w:type="dxa" w:w="3312"/>
            <w:shd w:val="clear" w:color="auto" w:fill="FFFFFF"/>
          </w:tcPr>
          <w:p>
            <w:r>
              <w:rPr>
                <w:rFonts w:ascii="Calibri" w:hAnsi="Calibri"/>
                <w:sz w:val="18"/>
              </w:rPr>
              <w:t>Regulatory violations (TILA/Reg Z); customer complaints; fines</w:t>
            </w:r>
          </w:p>
        </w:tc>
      </w:tr>
      <w:tr>
        <w:tc>
          <w:tcPr>
            <w:tcW w:type="dxa" w:w="2016"/>
            <w:shd w:val="clear" w:color="auto" w:fill="F0F4FF"/>
          </w:tcPr>
          <w:p>
            <w:r>
              <w:rPr>
                <w:rFonts w:ascii="Calibri" w:hAnsi="Calibri"/>
                <w:sz w:val="18"/>
              </w:rPr>
              <w:t>Government</w:t>
            </w:r>
          </w:p>
        </w:tc>
        <w:tc>
          <w:tcPr>
            <w:tcW w:type="dxa" w:w="5472"/>
            <w:shd w:val="clear" w:color="auto" w:fill="F0F4FF"/>
          </w:tcPr>
          <w:p>
            <w:r>
              <w:rPr>
                <w:rFonts w:ascii="Calibri" w:hAnsi="Calibri"/>
                <w:sz w:val="18"/>
              </w:rPr>
              <w:t>AI systems issued unauthorized benefits eligibility determinations citing non-existent policy</w:t>
            </w:r>
          </w:p>
        </w:tc>
        <w:tc>
          <w:tcPr>
            <w:tcW w:type="dxa" w:w="3312"/>
            <w:shd w:val="clear" w:color="auto" w:fill="F0F4FF"/>
          </w:tcPr>
          <w:p>
            <w:r>
              <w:rPr>
                <w:rFonts w:ascii="Calibri" w:hAnsi="Calibri"/>
                <w:sz w:val="18"/>
              </w:rPr>
              <w:t>Incorrect decisions affecting real citizens; legal challenges</w:t>
            </w:r>
          </w:p>
        </w:tc>
      </w:tr>
      <w:tr>
        <w:tc>
          <w:tcPr>
            <w:tcW w:type="dxa" w:w="2016"/>
            <w:shd w:val="clear" w:color="auto" w:fill="FFFFFF"/>
          </w:tcPr>
          <w:p>
            <w:r>
              <w:rPr>
                <w:rFonts w:ascii="Calibri" w:hAnsi="Calibri"/>
                <w:sz w:val="18"/>
              </w:rPr>
              <w:t>Enterprise</w:t>
            </w:r>
          </w:p>
        </w:tc>
        <w:tc>
          <w:tcPr>
            <w:tcW w:type="dxa" w:w="5472"/>
            <w:shd w:val="clear" w:color="auto" w:fill="FFFFFF"/>
          </w:tcPr>
          <w:p>
            <w:r>
              <w:rPr>
                <w:rFonts w:ascii="Calibri" w:hAnsi="Calibri"/>
                <w:sz w:val="18"/>
              </w:rPr>
              <w:t>HR AI fabricated vacation accrual and overtime policy details from the company handbook</w:t>
            </w:r>
          </w:p>
        </w:tc>
        <w:tc>
          <w:tcPr>
            <w:tcW w:type="dxa" w:w="3312"/>
            <w:shd w:val="clear" w:color="auto" w:fill="FFFFFF"/>
          </w:tcPr>
          <w:p>
            <w:r>
              <w:rPr>
                <w:rFonts w:ascii="Calibri" w:hAnsi="Calibri"/>
                <w:sz w:val="18"/>
              </w:rPr>
              <w:t>Employee grievances; HR policy disputes; litigation risk</w:t>
            </w:r>
          </w:p>
        </w:tc>
      </w:tr>
    </w:tbl>
    <w:p/>
    <w:p>
      <w:pPr>
        <w:pStyle w:val="Heading2"/>
      </w:pPr>
      <w:r>
        <w:rPr>
          <w:color w:val="0066FF"/>
        </w:rPr>
        <w:t>2.4 Regulatory Landscape</w:t>
      </w:r>
    </w:p>
    <w:p>
      <w:pPr>
        <w:spacing w:after="120"/>
        <w:jc w:val="left"/>
      </w:pPr>
      <w:r>
        <w:rPr>
          <w:rFonts w:ascii="Calibri" w:hAnsi="Calibri"/>
          <w:b w:val="0"/>
          <w:i w:val="0"/>
          <w:sz w:val="22"/>
        </w:rPr>
        <w:t>Regulatory pressure is converging with operational risk to make AI reliability infrastructure a board-level priority: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03388"/>
          </w:tcPr>
          <w:p>
            <w:pPr>
              <w:jc w:val="center"/>
            </w:pPr>
            <w:r>
              <w:rPr>
                <w:rFonts w:ascii="Calibri" w:hAnsi="Calibri"/>
                <w:b/>
                <w:color w:val="FFFFFF"/>
                <w:sz w:val="18"/>
              </w:rPr>
              <w:t>Framework</w:t>
            </w:r>
          </w:p>
        </w:tc>
        <w:tc>
          <w:tcPr>
            <w:tcW w:type="dxa" w:w="2592"/>
            <w:shd w:val="clear" w:color="auto" w:fill="003388"/>
          </w:tcPr>
          <w:p>
            <w:pPr>
              <w:jc w:val="center"/>
            </w:pPr>
            <w:r>
              <w:rPr>
                <w:rFonts w:ascii="Calibri" w:hAnsi="Calibri"/>
                <w:b/>
                <w:color w:val="FFFFFF"/>
                <w:sz w:val="18"/>
              </w:rPr>
              <w:t>Status</w:t>
            </w:r>
          </w:p>
        </w:tc>
        <w:tc>
          <w:tcPr>
            <w:tcW w:type="dxa" w:w="4608"/>
            <w:shd w:val="clear" w:color="auto" w:fill="003388"/>
          </w:tcPr>
          <w:p>
            <w:pPr>
              <w:jc w:val="center"/>
            </w:pPr>
            <w:r>
              <w:rPr>
                <w:rFonts w:ascii="Calibri" w:hAnsi="Calibri"/>
                <w:b/>
                <w:color w:val="FFFFFF"/>
                <w:sz w:val="18"/>
              </w:rPr>
              <w:t>Key Requirement</w:t>
            </w:r>
          </w:p>
        </w:tc>
        <w:tc>
          <w:tcPr>
            <w:tcW w:type="dxa" w:w="2592"/>
            <w:shd w:val="clear" w:color="auto" w:fill="003388"/>
          </w:tcPr>
          <w:p>
            <w:pPr>
              <w:jc w:val="center"/>
            </w:pPr>
            <w:r>
              <w:rPr>
                <w:rFonts w:ascii="Calibri" w:hAnsi="Calibri"/>
                <w:b/>
                <w:color w:val="FFFFFF"/>
                <w:sz w:val="18"/>
              </w:rPr>
              <w:t>Penalty</w:t>
            </w:r>
          </w:p>
        </w:tc>
      </w:tr>
      <w:tr>
        <w:tc>
          <w:tcPr>
            <w:tcW w:type="dxa" w:w="2160"/>
            <w:shd w:val="clear" w:color="auto" w:fill="FFFFFF"/>
          </w:tcPr>
          <w:p>
            <w:r>
              <w:rPr>
                <w:rFonts w:ascii="Calibri" w:hAnsi="Calibri"/>
                <w:sz w:val="18"/>
              </w:rPr>
              <w:t>EU AI Act</w:t>
            </w:r>
          </w:p>
        </w:tc>
        <w:tc>
          <w:tcPr>
            <w:tcW w:type="dxa" w:w="2592"/>
            <w:shd w:val="clear" w:color="auto" w:fill="FFFFFF"/>
          </w:tcPr>
          <w:p>
            <w:r>
              <w:rPr>
                <w:rFonts w:ascii="Calibri" w:hAnsi="Calibri"/>
                <w:sz w:val="18"/>
              </w:rPr>
              <w:t>Full enforcement Aug 2026</w:t>
            </w:r>
          </w:p>
        </w:tc>
        <w:tc>
          <w:tcPr>
            <w:tcW w:type="dxa" w:w="4608"/>
            <w:shd w:val="clear" w:color="auto" w:fill="FFFFFF"/>
          </w:tcPr>
          <w:p>
            <w:r>
              <w:rPr>
                <w:rFonts w:ascii="Calibri" w:hAnsi="Calibri"/>
                <w:sz w:val="18"/>
              </w:rPr>
              <w:t>Risk classification, technical docs, human oversight, accuracy monitoring</w:t>
            </w:r>
          </w:p>
        </w:tc>
        <w:tc>
          <w:tcPr>
            <w:tcW w:type="dxa" w:w="2592"/>
            <w:shd w:val="clear" w:color="auto" w:fill="FFFFFF"/>
          </w:tcPr>
          <w:p>
            <w:r>
              <w:rPr>
                <w:rFonts w:ascii="Calibri" w:hAnsi="Calibri"/>
                <w:sz w:val="18"/>
              </w:rPr>
              <w:t>€35M or 7% global revenue</w:t>
            </w:r>
          </w:p>
        </w:tc>
      </w:tr>
      <w:tr>
        <w:tc>
          <w:tcPr>
            <w:tcW w:type="dxa" w:w="2160"/>
            <w:shd w:val="clear" w:color="auto" w:fill="F0F4FF"/>
          </w:tcPr>
          <w:p>
            <w:r>
              <w:rPr>
                <w:rFonts w:ascii="Calibri" w:hAnsi="Calibri"/>
                <w:sz w:val="18"/>
              </w:rPr>
              <w:t>NIST AI RMF</w:t>
            </w:r>
          </w:p>
        </w:tc>
        <w:tc>
          <w:tcPr>
            <w:tcW w:type="dxa" w:w="2592"/>
            <w:shd w:val="clear" w:color="auto" w:fill="F0F4FF"/>
          </w:tcPr>
          <w:p>
            <w:r>
              <w:rPr>
                <w:rFonts w:ascii="Calibri" w:hAnsi="Calibri"/>
                <w:sz w:val="18"/>
              </w:rPr>
              <w:t>US federal procurement reference</w:t>
            </w:r>
          </w:p>
        </w:tc>
        <w:tc>
          <w:tcPr>
            <w:tcW w:type="dxa" w:w="4608"/>
            <w:shd w:val="clear" w:color="auto" w:fill="F0F4FF"/>
          </w:tcPr>
          <w:p>
            <w:r>
              <w:rPr>
                <w:rFonts w:ascii="Calibri" w:hAnsi="Calibri"/>
                <w:sz w:val="18"/>
              </w:rPr>
              <w:t>Govern, Map, Measure, Manage AI risk functions</w:t>
            </w:r>
          </w:p>
        </w:tc>
        <w:tc>
          <w:tcPr>
            <w:tcW w:type="dxa" w:w="2592"/>
            <w:shd w:val="clear" w:color="auto" w:fill="F0F4FF"/>
          </w:tcPr>
          <w:p>
            <w:r>
              <w:rPr>
                <w:rFonts w:ascii="Calibri" w:hAnsi="Calibri"/>
                <w:sz w:val="18"/>
              </w:rPr>
              <w:t>Procurement exclusion</w:t>
            </w:r>
          </w:p>
        </w:tc>
      </w:tr>
      <w:tr>
        <w:tc>
          <w:tcPr>
            <w:tcW w:type="dxa" w:w="2160"/>
            <w:shd w:val="clear" w:color="auto" w:fill="FFFFFF"/>
          </w:tcPr>
          <w:p>
            <w:r>
              <w:rPr>
                <w:rFonts w:ascii="Calibri" w:hAnsi="Calibri"/>
                <w:sz w:val="18"/>
              </w:rPr>
              <w:t>ISO/IEC 42001</w:t>
            </w:r>
          </w:p>
        </w:tc>
        <w:tc>
          <w:tcPr>
            <w:tcW w:type="dxa" w:w="2592"/>
            <w:shd w:val="clear" w:color="auto" w:fill="FFFFFF"/>
          </w:tcPr>
          <w:p>
            <w:r>
              <w:rPr>
                <w:rFonts w:ascii="Calibri" w:hAnsi="Calibri"/>
                <w:sz w:val="18"/>
              </w:rPr>
              <w:t>International standard</w:t>
            </w:r>
          </w:p>
        </w:tc>
        <w:tc>
          <w:tcPr>
            <w:tcW w:type="dxa" w:w="4608"/>
            <w:shd w:val="clear" w:color="auto" w:fill="FFFFFF"/>
          </w:tcPr>
          <w:p>
            <w:r>
              <w:rPr>
                <w:rFonts w:ascii="Calibri" w:hAnsi="Calibri"/>
                <w:sz w:val="18"/>
              </w:rPr>
              <w:t>AI management system documentation</w:t>
            </w:r>
          </w:p>
        </w:tc>
        <w:tc>
          <w:tcPr>
            <w:tcW w:type="dxa" w:w="2592"/>
            <w:shd w:val="clear" w:color="auto" w:fill="FFFFFF"/>
          </w:tcPr>
          <w:p>
            <w:r>
              <w:rPr>
                <w:rFonts w:ascii="Calibri" w:hAnsi="Calibri"/>
                <w:sz w:val="18"/>
              </w:rPr>
              <w:t>Certification loss</w:t>
            </w:r>
          </w:p>
        </w:tc>
      </w:tr>
      <w:tr>
        <w:tc>
          <w:tcPr>
            <w:tcW w:type="dxa" w:w="2160"/>
            <w:shd w:val="clear" w:color="auto" w:fill="F0F4FF"/>
          </w:tcPr>
          <w:p>
            <w:r>
              <w:rPr>
                <w:rFonts w:ascii="Calibri" w:hAnsi="Calibri"/>
                <w:sz w:val="18"/>
              </w:rPr>
              <w:t>SOC 2 Type II</w:t>
            </w:r>
          </w:p>
        </w:tc>
        <w:tc>
          <w:tcPr>
            <w:tcW w:type="dxa" w:w="2592"/>
            <w:shd w:val="clear" w:color="auto" w:fill="F0F4FF"/>
          </w:tcPr>
          <w:p>
            <w:r>
              <w:rPr>
                <w:rFonts w:ascii="Calibri" w:hAnsi="Calibri"/>
                <w:sz w:val="18"/>
              </w:rPr>
              <w:t>Enterprise vendor requirement</w:t>
            </w:r>
          </w:p>
        </w:tc>
        <w:tc>
          <w:tcPr>
            <w:tcW w:type="dxa" w:w="4608"/>
            <w:shd w:val="clear" w:color="auto" w:fill="F0F4FF"/>
          </w:tcPr>
          <w:p>
            <w:r>
              <w:rPr>
                <w:rFonts w:ascii="Calibri" w:hAnsi="Calibri"/>
                <w:sz w:val="18"/>
              </w:rPr>
              <w:t>Availability, processing integrity, confidentiality</w:t>
            </w:r>
          </w:p>
        </w:tc>
        <w:tc>
          <w:tcPr>
            <w:tcW w:type="dxa" w:w="2592"/>
            <w:shd w:val="clear" w:color="auto" w:fill="F0F4FF"/>
          </w:tcPr>
          <w:p>
            <w:r>
              <w:rPr>
                <w:rFonts w:ascii="Calibri" w:hAnsi="Calibri"/>
                <w:sz w:val="18"/>
              </w:rPr>
              <w:t>Contract loss</w:t>
            </w:r>
          </w:p>
        </w:tc>
      </w:tr>
    </w:tbl>
    <w:p/>
    <w:p>
      <w:r>
        <w:br w:type="page"/>
      </w:r>
    </w:p>
    <w:p>
      <w:pPr>
        <w:pStyle w:val="Heading1"/>
      </w:pPr>
      <w:r>
        <w:rPr>
          <w:color w:val="003388"/>
        </w:rPr>
        <w:t>3. Solution Overview</w:t>
      </w:r>
    </w:p>
    <w:p>
      <w:pPr>
        <w:spacing w:before="40" w:after="120"/>
        <w:pBdr>
          <w:bottom w:val="single" w:sz="12" w:space="1" w:color="0066FF"/>
        </w:pBdr>
      </w:pPr>
    </w:p>
    <w:p>
      <w:pPr>
        <w:pStyle w:val="Heading2"/>
      </w:pPr>
      <w:r>
        <w:rPr>
          <w:color w:val="0066FF"/>
        </w:rPr>
        <w:t>3.1 Platform Description</w:t>
      </w:r>
    </w:p>
    <w:p>
      <w:pPr>
        <w:spacing w:after="120"/>
        <w:jc w:val="left"/>
      </w:pPr>
      <w:r>
        <w:rPr>
          <w:rFonts w:ascii="Calibri" w:hAnsi="Calibri"/>
          <w:b w:val="0"/>
          <w:i w:val="0"/>
          <w:sz w:val="22"/>
        </w:rPr>
        <w:t>TrustLayer AI is an enterprise AI reliability platform that operates as a trust layer between an organization's applications and any LLM provider. The platform intercepts AI responses in real-time, applies eight parallel detection algorithms, computes a composite confidence score and risk score, and executes an automated action policy.</w:t>
      </w:r>
    </w:p>
    <w:p>
      <w:pPr>
        <w:spacing w:after="120"/>
        <w:jc w:val="left"/>
      </w:pPr>
      <w:r>
        <w:rPr>
          <w:rFonts w:ascii="Calibri" w:hAnsi="Calibri"/>
          <w:b w:val="0"/>
          <w:i w:val="0"/>
          <w:sz w:val="22"/>
        </w:rPr>
        <w:t>TrustLayer AI is model-agnostic, deployment-flexible, and compliance-ready. It requires no changes to existing LLM integrations when deployed in API gateway mode, and can be fully operational within hours using the SDK.</w:t>
      </w:r>
    </w:p>
    <w:p>
      <w:pPr>
        <w:pStyle w:val="Heading2"/>
      </w:pPr>
      <w:r>
        <w:rPr>
          <w:color w:val="0066FF"/>
        </w:rPr>
        <w:t>3.2 Core Pipeline</w:t>
      </w:r>
    </w:p>
    <w:tbl>
      <w:tblPr>
        <w:tblW w:type="auto" w:w="0"/>
        <w:jc w:val="left"/>
        <w:tblLook w:firstColumn="1" w:firstRow="1" w:lastColumn="0" w:lastRow="0" w:noHBand="0" w:noVBand="1" w:val="04A0"/>
      </w:tblPr>
      <w:tblGrid>
        <w:gridCol w:w="9360"/>
      </w:tblGrid>
      <w:tr>
        <w:tc>
          <w:tcPr>
            <w:tcW w:type="dxa" w:w="9360"/>
            <w:shd w:val="clear" w:color="auto" w:fill="E8F4FD"/>
          </w:tcPr>
          <w:p>
            <w:pPr>
              <w:spacing w:before="80"/>
            </w:pPr>
            <w:r>
              <w:rPr>
                <w:rFonts w:ascii="Calibri" w:hAnsi="Calibri"/>
                <w:b/>
                <w:color w:val="0066FF"/>
                <w:sz w:val="22"/>
              </w:rPr>
              <w:t>Request Flow</w:t>
            </w:r>
          </w:p>
          <w:p>
            <w:pPr>
              <w:spacing w:before="20"/>
            </w:pPr>
            <w:r>
              <w:rPr>
                <w:rFonts w:ascii="Calibri" w:hAnsi="Calibri"/>
                <w:sz w:val="20"/>
              </w:rPr>
            </w:r>
          </w:p>
          <w:p>
            <w:pPr>
              <w:spacing w:before="20"/>
            </w:pPr>
            <w:r>
              <w:rPr>
                <w:rFonts w:ascii="Calibri" w:hAnsi="Calibri"/>
                <w:sz w:val="20"/>
              </w:rPr>
              <w:t xml:space="preserve">  [User / Application]</w:t>
            </w:r>
          </w:p>
          <w:p>
            <w:pPr>
              <w:spacing w:before="20"/>
            </w:pPr>
            <w:r>
              <w:rPr>
                <w:rFonts w:ascii="Calibri" w:hAnsi="Calibri"/>
                <w:sz w:val="20"/>
              </w:rPr>
              <w:t xml:space="preserve">       ↓  Query</w:t>
            </w:r>
          </w:p>
          <w:p>
            <w:pPr>
              <w:spacing w:before="20"/>
            </w:pPr>
            <w:r>
              <w:rPr>
                <w:rFonts w:ascii="Calibri" w:hAnsi="Calibri"/>
                <w:sz w:val="20"/>
              </w:rPr>
              <w:t xml:space="preserve">  [LLM Provider]  (OpenAI / Anthropic / Google / Azure / etc.)</w:t>
            </w:r>
          </w:p>
          <w:p>
            <w:pPr>
              <w:spacing w:before="20"/>
            </w:pPr>
            <w:r>
              <w:rPr>
                <w:rFonts w:ascii="Calibri" w:hAnsi="Calibri"/>
                <w:sz w:val="20"/>
              </w:rPr>
              <w:t xml:space="preserve">       ↓  Raw Response</w:t>
            </w:r>
          </w:p>
          <w:p>
            <w:pPr>
              <w:spacing w:before="20"/>
            </w:pPr>
            <w:r>
              <w:rPr>
                <w:rFonts w:ascii="Calibri" w:hAnsi="Calibri"/>
                <w:sz w:val="20"/>
              </w:rPr>
              <w:t xml:space="preserve">  [TrustLayer AI — Detection Engine]</w:t>
            </w:r>
          </w:p>
          <w:p>
            <w:pPr>
              <w:spacing w:before="20"/>
            </w:pPr>
            <w:r>
              <w:rPr>
                <w:rFonts w:ascii="Calibri" w:hAnsi="Calibri"/>
                <w:sz w:val="20"/>
              </w:rPr>
              <w:t xml:space="preserve">       ↓  Confidence Score + Risk Score + Action Decision</w:t>
            </w:r>
          </w:p>
          <w:p>
            <w:pPr>
              <w:spacing w:before="20"/>
            </w:pPr>
            <w:r>
              <w:rPr>
                <w:rFonts w:ascii="Calibri" w:hAnsi="Calibri"/>
                <w:sz w:val="20"/>
              </w:rPr>
              <w:t xml:space="preserve">  ┌────────────┬────────────────┬──────────────────┐</w:t>
            </w:r>
          </w:p>
          <w:p>
            <w:pPr>
              <w:spacing w:before="20"/>
            </w:pPr>
            <w:r>
              <w:rPr>
                <w:rFonts w:ascii="Calibri" w:hAnsi="Calibri"/>
                <w:sz w:val="20"/>
              </w:rPr>
              <w:t xml:space="preserve">  │   PASS     │      FLAG      │      BLOCK       │</w:t>
            </w:r>
          </w:p>
          <w:p>
            <w:pPr>
              <w:spacing w:before="20"/>
            </w:pPr>
            <w:r>
              <w:rPr>
                <w:rFonts w:ascii="Calibri" w:hAnsi="Calibri"/>
                <w:sz w:val="20"/>
              </w:rPr>
              <w:t xml:space="preserve">  │ Conf ≥ 75% │  Conf 50–74%   │   Conf &lt; 50%     │</w:t>
            </w:r>
          </w:p>
          <w:p>
            <w:pPr>
              <w:spacing w:before="20"/>
            </w:pPr>
            <w:r>
              <w:rPr>
                <w:rFonts w:ascii="Calibri" w:hAnsi="Calibri"/>
                <w:sz w:val="20"/>
              </w:rPr>
              <w:t xml:space="preserve">  │ Risk &lt; 30  │  Risk 30–59    │   Risk ≥ 60      │</w:t>
            </w:r>
          </w:p>
          <w:p>
            <w:pPr>
              <w:spacing w:before="20"/>
            </w:pPr>
            <w:r>
              <w:rPr>
                <w:rFonts w:ascii="Calibri" w:hAnsi="Calibri"/>
                <w:sz w:val="20"/>
              </w:rPr>
              <w:t xml:space="preserve">  │            │                │                  │</w:t>
            </w:r>
          </w:p>
          <w:p>
            <w:pPr>
              <w:spacing w:before="20"/>
            </w:pPr>
            <w:r>
              <w:rPr>
                <w:rFonts w:ascii="Calibri" w:hAnsi="Calibri"/>
                <w:sz w:val="20"/>
              </w:rPr>
              <w:t xml:space="preserve">  │ Deliver    │ Human review   │ Block + fallback  │</w:t>
            </w:r>
          </w:p>
          <w:p>
            <w:pPr>
              <w:spacing w:before="20"/>
            </w:pPr>
            <w:r>
              <w:rPr>
                <w:rFonts w:ascii="Calibri" w:hAnsi="Calibri"/>
                <w:sz w:val="20"/>
              </w:rPr>
              <w:t xml:space="preserve">  │ to user    │ queue          │ triggered        │</w:t>
            </w:r>
          </w:p>
          <w:p>
            <w:pPr>
              <w:spacing w:before="20"/>
            </w:pPr>
            <w:r>
              <w:rPr>
                <w:rFonts w:ascii="Calibri" w:hAnsi="Calibri"/>
                <w:sz w:val="20"/>
              </w:rPr>
              <w:t xml:space="preserve">  └────────────┴────────────────┴──────────────────┘</w:t>
            </w:r>
          </w:p>
          <w:p>
            <w:pPr>
              <w:spacing w:before="20"/>
            </w:pPr>
            <w:r>
              <w:rPr>
                <w:rFonts w:ascii="Calibri" w:hAnsi="Calibri"/>
                <w:sz w:val="20"/>
              </w:rPr>
              <w:t xml:space="preserve">       ↓  All paths</w:t>
            </w:r>
          </w:p>
          <w:p>
            <w:pPr>
              <w:spacing w:before="20"/>
            </w:pPr>
            <w:r>
              <w:rPr>
                <w:rFonts w:ascii="Calibri" w:hAnsi="Calibri"/>
                <w:sz w:val="20"/>
              </w:rPr>
              <w:t xml:space="preserve">  [Immutable Audit Log + Compliance Documentation]</w:t>
            </w:r>
          </w:p>
          <w:p>
            <w:pPr>
              <w:spacing w:after="80"/>
            </w:pPr>
          </w:p>
        </w:tc>
      </w:tr>
    </w:tbl>
    <w:p/>
    <w:p>
      <w:pPr>
        <w:pStyle w:val="Heading2"/>
      </w:pPr>
      <w:r>
        <w:rPr>
          <w:color w:val="0066FF"/>
        </w:rPr>
        <w:t>3.3 Key Differentiators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003388"/>
          </w:tcPr>
          <w:p>
            <w:pPr>
              <w:jc w:val="center"/>
            </w:pPr>
            <w:r>
              <w:rPr>
                <w:rFonts w:ascii="Calibri" w:hAnsi="Calibri"/>
                <w:b/>
                <w:color w:val="FFFFFF"/>
                <w:sz w:val="20"/>
              </w:rPr>
              <w:t>Differentiator</w:t>
            </w:r>
          </w:p>
        </w:tc>
        <w:tc>
          <w:tcPr>
            <w:tcW w:type="dxa" w:w="4320"/>
            <w:shd w:val="clear" w:color="auto" w:fill="003388"/>
          </w:tcPr>
          <w:p>
            <w:pPr>
              <w:jc w:val="center"/>
            </w:pPr>
            <w:r>
              <w:rPr>
                <w:rFonts w:ascii="Calibri" w:hAnsi="Calibri"/>
                <w:b/>
                <w:color w:val="FFFFFF"/>
                <w:sz w:val="20"/>
              </w:rPr>
              <w:t>Description</w:t>
            </w:r>
          </w:p>
        </w:tc>
        <w:tc>
          <w:tcPr>
            <w:tcW w:type="dxa" w:w="3600"/>
            <w:shd w:val="clear" w:color="auto" w:fill="003388"/>
          </w:tcPr>
          <w:p>
            <w:pPr>
              <w:jc w:val="center"/>
            </w:pPr>
            <w:r>
              <w:rPr>
                <w:rFonts w:ascii="Calibri" w:hAnsi="Calibri"/>
                <w:b/>
                <w:color w:val="FFFFFF"/>
                <w:sz w:val="20"/>
              </w:rPr>
              <w:t>Business Impact</w:t>
            </w:r>
          </w:p>
        </w:tc>
      </w:tr>
      <w:tr>
        <w:tc>
          <w:tcPr>
            <w:tcW w:type="dxa" w:w="2880"/>
            <w:shd w:val="clear" w:color="auto" w:fill="FFFFFF"/>
          </w:tcPr>
          <w:p>
            <w:r>
              <w:rPr>
                <w:rFonts w:ascii="Calibri" w:hAnsi="Calibri"/>
                <w:sz w:val="20"/>
              </w:rPr>
              <w:t>Real-time interception</w:t>
            </w:r>
          </w:p>
        </w:tc>
        <w:tc>
          <w:tcPr>
            <w:tcW w:type="dxa" w:w="4320"/>
            <w:shd w:val="clear" w:color="auto" w:fill="FFFFFF"/>
          </w:tcPr>
          <w:p>
            <w:r>
              <w:rPr>
                <w:rFonts w:ascii="Calibri" w:hAnsi="Calibri"/>
                <w:sz w:val="20"/>
              </w:rPr>
              <w:t>Sub-100ms total pipeline latency — invisible to users</w:t>
            </w:r>
          </w:p>
        </w:tc>
        <w:tc>
          <w:tcPr>
            <w:tcW w:type="dxa" w:w="3600"/>
            <w:shd w:val="clear" w:color="auto" w:fill="FFFFFF"/>
          </w:tcPr>
          <w:p>
            <w:r>
              <w:rPr>
                <w:rFonts w:ascii="Calibri" w:hAnsi="Calibri"/>
                <w:sz w:val="20"/>
              </w:rPr>
              <w:t>Zero degradation of user experience</w:t>
            </w:r>
          </w:p>
        </w:tc>
      </w:tr>
      <w:tr>
        <w:tc>
          <w:tcPr>
            <w:tcW w:type="dxa" w:w="2880"/>
            <w:shd w:val="clear" w:color="auto" w:fill="F0F4FF"/>
          </w:tcPr>
          <w:p>
            <w:r>
              <w:rPr>
                <w:rFonts w:ascii="Calibri" w:hAnsi="Calibri"/>
                <w:sz w:val="20"/>
              </w:rPr>
              <w:t>8-algorithm parallel detection</w:t>
            </w:r>
          </w:p>
        </w:tc>
        <w:tc>
          <w:tcPr>
            <w:tcW w:type="dxa" w:w="4320"/>
            <w:shd w:val="clear" w:color="auto" w:fill="F0F4FF"/>
          </w:tcPr>
          <w:p>
            <w:r>
              <w:rPr>
                <w:rFonts w:ascii="Calibri" w:hAnsi="Calibri"/>
                <w:sz w:val="20"/>
              </w:rPr>
              <w:t>Multiple independent techniques cross-validate each response</w:t>
            </w:r>
          </w:p>
        </w:tc>
        <w:tc>
          <w:tcPr>
            <w:tcW w:type="dxa" w:w="3600"/>
            <w:shd w:val="clear" w:color="auto" w:fill="F0F4FF"/>
          </w:tcPr>
          <w:p>
            <w:r>
              <w:rPr>
                <w:rFonts w:ascii="Calibri" w:hAnsi="Calibri"/>
                <w:sz w:val="20"/>
              </w:rPr>
              <w:t>92% catch rate; &lt;3% false positives</w:t>
            </w:r>
          </w:p>
        </w:tc>
      </w:tr>
      <w:tr>
        <w:tc>
          <w:tcPr>
            <w:tcW w:type="dxa" w:w="2880"/>
            <w:shd w:val="clear" w:color="auto" w:fill="FFFFFF"/>
          </w:tcPr>
          <w:p>
            <w:r>
              <w:rPr>
                <w:rFonts w:ascii="Calibri" w:hAnsi="Calibri"/>
                <w:sz w:val="20"/>
              </w:rPr>
              <w:t>Enterprise data grounding</w:t>
            </w:r>
          </w:p>
        </w:tc>
        <w:tc>
          <w:tcPr>
            <w:tcW w:type="dxa" w:w="4320"/>
            <w:shd w:val="clear" w:color="auto" w:fill="FFFFFF"/>
          </w:tcPr>
          <w:p>
            <w:r>
              <w:rPr>
                <w:rFonts w:ascii="Calibri" w:hAnsi="Calibri"/>
                <w:sz w:val="20"/>
              </w:rPr>
              <w:t>Verifies claims against your CRM, product catalog, policy databases</w:t>
            </w:r>
          </w:p>
        </w:tc>
        <w:tc>
          <w:tcPr>
            <w:tcW w:type="dxa" w:w="3600"/>
            <w:shd w:val="clear" w:color="auto" w:fill="FFFFFF"/>
          </w:tcPr>
          <w:p>
            <w:r>
              <w:rPr>
                <w:rFonts w:ascii="Calibri" w:hAnsi="Calibri"/>
                <w:sz w:val="20"/>
              </w:rPr>
              <w:t>98% accuracy for grounded claims</w:t>
            </w:r>
          </w:p>
        </w:tc>
      </w:tr>
      <w:tr>
        <w:tc>
          <w:tcPr>
            <w:tcW w:type="dxa" w:w="2880"/>
            <w:shd w:val="clear" w:color="auto" w:fill="F0F4FF"/>
          </w:tcPr>
          <w:p>
            <w:r>
              <w:rPr>
                <w:rFonts w:ascii="Calibri" w:hAnsi="Calibri"/>
                <w:sz w:val="20"/>
              </w:rPr>
              <w:t>Domain-specialized modules</w:t>
            </w:r>
          </w:p>
        </w:tc>
        <w:tc>
          <w:tcPr>
            <w:tcW w:type="dxa" w:w="4320"/>
            <w:shd w:val="clear" w:color="auto" w:fill="F0F4FF"/>
          </w:tcPr>
          <w:p>
            <w:r>
              <w:rPr>
                <w:rFonts w:ascii="Calibri" w:hAnsi="Calibri"/>
                <w:sz w:val="20"/>
              </w:rPr>
              <w:t>8 industry-specific risk models with pre-built integrations</w:t>
            </w:r>
          </w:p>
        </w:tc>
        <w:tc>
          <w:tcPr>
            <w:tcW w:type="dxa" w:w="3600"/>
            <w:shd w:val="clear" w:color="auto" w:fill="F0F4FF"/>
          </w:tcPr>
          <w:p>
            <w:r>
              <w:rPr>
                <w:rFonts w:ascii="Calibri" w:hAnsi="Calibri"/>
                <w:sz w:val="20"/>
              </w:rPr>
              <w:t>Immediate deployment in your vertical</w:t>
            </w:r>
          </w:p>
        </w:tc>
      </w:tr>
      <w:tr>
        <w:tc>
          <w:tcPr>
            <w:tcW w:type="dxa" w:w="2880"/>
            <w:shd w:val="clear" w:color="auto" w:fill="FFFFFF"/>
          </w:tcPr>
          <w:p>
            <w:r>
              <w:rPr>
                <w:rFonts w:ascii="Calibri" w:hAnsi="Calibri"/>
                <w:sz w:val="20"/>
              </w:rPr>
              <w:t>Built-in compliance</w:t>
            </w:r>
          </w:p>
        </w:tc>
        <w:tc>
          <w:tcPr>
            <w:tcW w:type="dxa" w:w="4320"/>
            <w:shd w:val="clear" w:color="auto" w:fill="FFFFFF"/>
          </w:tcPr>
          <w:p>
            <w:r>
              <w:rPr>
                <w:rFonts w:ascii="Calibri" w:hAnsi="Calibri"/>
                <w:sz w:val="20"/>
              </w:rPr>
              <w:t>94% EU AI Act coverage out of the box; auto-documentation</w:t>
            </w:r>
          </w:p>
        </w:tc>
        <w:tc>
          <w:tcPr>
            <w:tcW w:type="dxa" w:w="3600"/>
            <w:shd w:val="clear" w:color="auto" w:fill="FFFFFF"/>
          </w:tcPr>
          <w:p>
            <w:r>
              <w:rPr>
                <w:rFonts w:ascii="Calibri" w:hAnsi="Calibri"/>
                <w:sz w:val="20"/>
              </w:rPr>
              <w:t>Regulatory readiness without custom build</w:t>
            </w:r>
          </w:p>
        </w:tc>
      </w:tr>
      <w:tr>
        <w:tc>
          <w:tcPr>
            <w:tcW w:type="dxa" w:w="2880"/>
            <w:shd w:val="clear" w:color="auto" w:fill="F0F4FF"/>
          </w:tcPr>
          <w:p>
            <w:r>
              <w:rPr>
                <w:rFonts w:ascii="Calibri" w:hAnsi="Calibri"/>
                <w:sz w:val="20"/>
              </w:rPr>
              <w:t>LLM-agnostic</w:t>
            </w:r>
          </w:p>
        </w:tc>
        <w:tc>
          <w:tcPr>
            <w:tcW w:type="dxa" w:w="4320"/>
            <w:shd w:val="clear" w:color="auto" w:fill="F0F4FF"/>
          </w:tcPr>
          <w:p>
            <w:r>
              <w:rPr>
                <w:rFonts w:ascii="Calibri" w:hAnsi="Calibri"/>
                <w:sz w:val="20"/>
              </w:rPr>
              <w:t>Works with any model provider; no vendor lock-in</w:t>
            </w:r>
          </w:p>
        </w:tc>
        <w:tc>
          <w:tcPr>
            <w:tcW w:type="dxa" w:w="3600"/>
            <w:shd w:val="clear" w:color="auto" w:fill="F0F4FF"/>
          </w:tcPr>
          <w:p>
            <w:r>
              <w:rPr>
                <w:rFonts w:ascii="Calibri" w:hAnsi="Calibri"/>
                <w:sz w:val="20"/>
              </w:rPr>
              <w:t>Freedom to switch or multi-source LLMs</w:t>
            </w:r>
          </w:p>
        </w:tc>
      </w:tr>
      <w:tr>
        <w:tc>
          <w:tcPr>
            <w:tcW w:type="dxa" w:w="2880"/>
            <w:shd w:val="clear" w:color="auto" w:fill="FFFFFF"/>
          </w:tcPr>
          <w:p>
            <w:r>
              <w:rPr>
                <w:rFonts w:ascii="Calibri" w:hAnsi="Calibri"/>
                <w:sz w:val="20"/>
              </w:rPr>
              <w:t>Audit trail</w:t>
            </w:r>
          </w:p>
        </w:tc>
        <w:tc>
          <w:tcPr>
            <w:tcW w:type="dxa" w:w="4320"/>
            <w:shd w:val="clear" w:color="auto" w:fill="FFFFFF"/>
          </w:tcPr>
          <w:p>
            <w:r>
              <w:rPr>
                <w:rFonts w:ascii="Calibri" w:hAnsi="Calibri"/>
                <w:sz w:val="20"/>
              </w:rPr>
              <w:t>Every interaction logged with full detection scores</w:t>
            </w:r>
          </w:p>
        </w:tc>
        <w:tc>
          <w:tcPr>
            <w:tcW w:type="dxa" w:w="3600"/>
            <w:shd w:val="clear" w:color="auto" w:fill="FFFFFF"/>
          </w:tcPr>
          <w:p>
            <w:r>
              <w:rPr>
                <w:rFonts w:ascii="Calibri" w:hAnsi="Calibri"/>
                <w:sz w:val="20"/>
              </w:rPr>
              <w:t>Board-ready reporting; litigation protection</w:t>
            </w:r>
          </w:p>
        </w:tc>
      </w:tr>
    </w:tbl>
    <w:p/>
    <w:p>
      <w:r>
        <w:br w:type="page"/>
      </w:r>
    </w:p>
    <w:p>
      <w:pPr>
        <w:pStyle w:val="Heading1"/>
      </w:pPr>
      <w:r>
        <w:rPr>
          <w:color w:val="003388"/>
        </w:rPr>
        <w:t>4. System Architecture</w:t>
      </w:r>
    </w:p>
    <w:p>
      <w:pPr>
        <w:spacing w:before="40" w:after="120"/>
        <w:pBdr>
          <w:bottom w:val="single" w:sz="12" w:space="1" w:color="0066FF"/>
        </w:pBdr>
      </w:pPr>
    </w:p>
    <w:p>
      <w:pPr>
        <w:pStyle w:val="Heading2"/>
      </w:pPr>
      <w:r>
        <w:rPr>
          <w:color w:val="0066FF"/>
        </w:rPr>
        <w:t>4.1 High-Level Architecture</w:t>
      </w:r>
    </w:p>
    <w:p>
      <w:pPr>
        <w:spacing w:after="120"/>
        <w:jc w:val="left"/>
      </w:pPr>
      <w:r>
        <w:rPr>
          <w:rFonts w:ascii="Calibri" w:hAnsi="Calibri"/>
          <w:b w:val="0"/>
          <w:i w:val="0"/>
          <w:sz w:val="22"/>
        </w:rPr>
        <w:t>TrustLayer AI is a multi-layer platform with five primary architectural layers, each with clear responsibilities and interfaces: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03388"/>
          </w:tcPr>
          <w:p>
            <w:pPr>
              <w:jc w:val="center"/>
            </w:pPr>
            <w:r>
              <w:rPr>
                <w:rFonts w:ascii="Calibri" w:hAnsi="Calibri"/>
                <w:b/>
                <w:color w:val="FFFFFF"/>
                <w:sz w:val="20"/>
              </w:rPr>
              <w:t>Layer</w:t>
            </w:r>
          </w:p>
        </w:tc>
        <w:tc>
          <w:tcPr>
            <w:tcW w:type="dxa" w:w="4608"/>
            <w:shd w:val="clear" w:color="auto" w:fill="003388"/>
          </w:tcPr>
          <w:p>
            <w:pPr>
              <w:jc w:val="center"/>
            </w:pPr>
            <w:r>
              <w:rPr>
                <w:rFonts w:ascii="Calibri" w:hAnsi="Calibri"/>
                <w:b/>
                <w:color w:val="FFFFFF"/>
                <w:sz w:val="20"/>
              </w:rPr>
              <w:t>Components</w:t>
            </w:r>
          </w:p>
        </w:tc>
        <w:tc>
          <w:tcPr>
            <w:tcW w:type="dxa" w:w="3888"/>
            <w:shd w:val="clear" w:color="auto" w:fill="003388"/>
          </w:tcPr>
          <w:p>
            <w:pPr>
              <w:jc w:val="center"/>
            </w:pPr>
            <w:r>
              <w:rPr>
                <w:rFonts w:ascii="Calibri" w:hAnsi="Calibri"/>
                <w:b/>
                <w:color w:val="FFFFFF"/>
                <w:sz w:val="20"/>
              </w:rPr>
              <w:t>Responsibility</w:t>
            </w:r>
          </w:p>
        </w:tc>
      </w:tr>
      <w:tr>
        <w:tc>
          <w:tcPr>
            <w:tcW w:type="dxa" w:w="2592"/>
            <w:shd w:val="clear" w:color="auto" w:fill="FFFFFF"/>
          </w:tcPr>
          <w:p>
            <w:r>
              <w:rPr>
                <w:rFonts w:ascii="Calibri" w:hAnsi="Calibri"/>
                <w:sz w:val="20"/>
              </w:rPr>
              <w:t>Enterprise Layer</w:t>
            </w:r>
          </w:p>
        </w:tc>
        <w:tc>
          <w:tcPr>
            <w:tcW w:type="dxa" w:w="4608"/>
            <w:shd w:val="clear" w:color="auto" w:fill="FFFFFF"/>
          </w:tcPr>
          <w:p>
            <w:r>
              <w:rPr>
                <w:rFonts w:ascii="Calibri" w:hAnsi="Calibri"/>
                <w:sz w:val="20"/>
              </w:rPr>
              <w:t>Customer applications, chatbots, copilots, APIs</w:t>
            </w:r>
          </w:p>
        </w:tc>
        <w:tc>
          <w:tcPr>
            <w:tcW w:type="dxa" w:w="3888"/>
            <w:shd w:val="clear" w:color="auto" w:fill="FFFFFF"/>
          </w:tcPr>
          <w:p>
            <w:r>
              <w:rPr>
                <w:rFonts w:ascii="Calibri" w:hAnsi="Calibri"/>
                <w:sz w:val="20"/>
              </w:rPr>
              <w:t>Generates user queries; receives verified responses</w:t>
            </w:r>
          </w:p>
        </w:tc>
      </w:tr>
      <w:tr>
        <w:tc>
          <w:tcPr>
            <w:tcW w:type="dxa" w:w="2592"/>
            <w:shd w:val="clear" w:color="auto" w:fill="F0F4FF"/>
          </w:tcPr>
          <w:p>
            <w:r>
              <w:rPr>
                <w:rFonts w:ascii="Calibri" w:hAnsi="Calibri"/>
                <w:sz w:val="20"/>
              </w:rPr>
              <w:t>API Gateway Layer</w:t>
            </w:r>
          </w:p>
        </w:tc>
        <w:tc>
          <w:tcPr>
            <w:tcW w:type="dxa" w:w="4608"/>
            <w:shd w:val="clear" w:color="auto" w:fill="F0F4FF"/>
          </w:tcPr>
          <w:p>
            <w:r>
              <w:rPr>
                <w:rFonts w:ascii="Calibri" w:hAnsi="Calibri"/>
                <w:sz w:val="20"/>
              </w:rPr>
              <w:t>TrustLayer gateway, LLM routing, load balancer</w:t>
            </w:r>
          </w:p>
        </w:tc>
        <w:tc>
          <w:tcPr>
            <w:tcW w:type="dxa" w:w="3888"/>
            <w:shd w:val="clear" w:color="auto" w:fill="F0F4FF"/>
          </w:tcPr>
          <w:p>
            <w:r>
              <w:rPr>
                <w:rFonts w:ascii="Calibri" w:hAnsi="Calibri"/>
                <w:sz w:val="20"/>
              </w:rPr>
              <w:t>Intercepts traffic; routes to LLM and detection engine</w:t>
            </w:r>
          </w:p>
        </w:tc>
      </w:tr>
      <w:tr>
        <w:tc>
          <w:tcPr>
            <w:tcW w:type="dxa" w:w="2592"/>
            <w:shd w:val="clear" w:color="auto" w:fill="FFFFFF"/>
          </w:tcPr>
          <w:p>
            <w:r>
              <w:rPr>
                <w:rFonts w:ascii="Calibri" w:hAnsi="Calibri"/>
                <w:sz w:val="20"/>
              </w:rPr>
              <w:t>Detection Engine</w:t>
            </w:r>
          </w:p>
        </w:tc>
        <w:tc>
          <w:tcPr>
            <w:tcW w:type="dxa" w:w="4608"/>
            <w:shd w:val="clear" w:color="auto" w:fill="FFFFFF"/>
          </w:tcPr>
          <w:p>
            <w:r>
              <w:rPr>
                <w:rFonts w:ascii="Calibri" w:hAnsi="Calibri"/>
                <w:sz w:val="20"/>
              </w:rPr>
              <w:t>8 parallel detection algorithms, orchestrator</w:t>
            </w:r>
          </w:p>
        </w:tc>
        <w:tc>
          <w:tcPr>
            <w:tcW w:type="dxa" w:w="3888"/>
            <w:shd w:val="clear" w:color="auto" w:fill="FFFFFF"/>
          </w:tcPr>
          <w:p>
            <w:r>
              <w:rPr>
                <w:rFonts w:ascii="Calibri" w:hAnsi="Calibri"/>
                <w:sz w:val="20"/>
              </w:rPr>
              <w:t>Analyzes responses; produces per-technique scores</w:t>
            </w:r>
          </w:p>
        </w:tc>
      </w:tr>
      <w:tr>
        <w:tc>
          <w:tcPr>
            <w:tcW w:type="dxa" w:w="2592"/>
            <w:shd w:val="clear" w:color="auto" w:fill="F0F4FF"/>
          </w:tcPr>
          <w:p>
            <w:r>
              <w:rPr>
                <w:rFonts w:ascii="Calibri" w:hAnsi="Calibri"/>
                <w:sz w:val="20"/>
              </w:rPr>
              <w:t>Data Sources</w:t>
            </w:r>
          </w:p>
        </w:tc>
        <w:tc>
          <w:tcPr>
            <w:tcW w:type="dxa" w:w="4608"/>
            <w:shd w:val="clear" w:color="auto" w:fill="F0F4FF"/>
          </w:tcPr>
          <w:p>
            <w:r>
              <w:rPr>
                <w:rFonts w:ascii="Calibri" w:hAnsi="Calibri"/>
                <w:sz w:val="20"/>
              </w:rPr>
              <w:t>Enterprise connectors, legal DBs, medical DBs, web</w:t>
            </w:r>
          </w:p>
        </w:tc>
        <w:tc>
          <w:tcPr>
            <w:tcW w:type="dxa" w:w="3888"/>
            <w:shd w:val="clear" w:color="auto" w:fill="F0F4FF"/>
          </w:tcPr>
          <w:p>
            <w:r>
              <w:rPr>
                <w:rFonts w:ascii="Calibri" w:hAnsi="Calibri"/>
                <w:sz w:val="20"/>
              </w:rPr>
              <w:t>Provides ground truth for verification</w:t>
            </w:r>
          </w:p>
        </w:tc>
      </w:tr>
      <w:tr>
        <w:tc>
          <w:tcPr>
            <w:tcW w:type="dxa" w:w="2592"/>
            <w:shd w:val="clear" w:color="auto" w:fill="FFFFFF"/>
          </w:tcPr>
          <w:p>
            <w:r>
              <w:rPr>
                <w:rFonts w:ascii="Calibri" w:hAnsi="Calibri"/>
                <w:sz w:val="20"/>
              </w:rPr>
              <w:t>Decision &amp; Audit</w:t>
            </w:r>
          </w:p>
        </w:tc>
        <w:tc>
          <w:tcPr>
            <w:tcW w:type="dxa" w:w="4608"/>
            <w:shd w:val="clear" w:color="auto" w:fill="FFFFFF"/>
          </w:tcPr>
          <w:p>
            <w:r>
              <w:rPr>
                <w:rFonts w:ascii="Calibri" w:hAnsi="Calibri"/>
                <w:sz w:val="20"/>
              </w:rPr>
              <w:t>Scoring model, action policy, audit logger, dashboards</w:t>
            </w:r>
          </w:p>
        </w:tc>
        <w:tc>
          <w:tcPr>
            <w:tcW w:type="dxa" w:w="3888"/>
            <w:shd w:val="clear" w:color="auto" w:fill="FFFFFF"/>
          </w:tcPr>
          <w:p>
            <w:r>
              <w:rPr>
                <w:rFonts w:ascii="Calibri" w:hAnsi="Calibri"/>
                <w:sz w:val="20"/>
              </w:rPr>
              <w:t>Computes final scores; executes action; logs everything</w:t>
            </w:r>
          </w:p>
        </w:tc>
      </w:tr>
    </w:tbl>
    <w:p/>
    <w:p>
      <w:pPr>
        <w:pStyle w:val="Heading2"/>
      </w:pPr>
      <w:r>
        <w:rPr>
          <w:color w:val="0066FF"/>
        </w:rPr>
        <w:t>4.2 Request Lifecycle</w:t>
      </w:r>
    </w:p>
    <w:p>
      <w:pPr>
        <w:spacing w:after="120"/>
        <w:jc w:val="left"/>
      </w:pPr>
      <w:r>
        <w:rPr>
          <w:rFonts w:ascii="Calibri" w:hAnsi="Calibri"/>
          <w:b w:val="0"/>
          <w:i w:val="0"/>
          <w:sz w:val="22"/>
        </w:rPr>
        <w:t>Every AI interaction follows this deterministic sequence:</w:t>
      </w:r>
    </w:p>
    <w:p>
      <w:pPr>
        <w:pStyle w:val="ListBullet"/>
        <w:spacing w:after="60"/>
        <w:ind w:left="432"/>
      </w:pPr>
      <w:r>
        <w:rPr>
          <w:rFonts w:ascii="Calibri" w:hAnsi="Calibri"/>
          <w:b/>
          <w:color w:val="0066FF"/>
        </w:rPr>
        <w:t xml:space="preserve">Step 1 — Intercept  </w:t>
      </w:r>
      <w:r>
        <w:rPr>
          <w:rFonts w:ascii="Calibri" w:hAnsi="Calibri"/>
        </w:rPr>
        <w:t>User query and raw LLM response are intercepted at the API gateway layer before any response reaches the user.</w:t>
      </w:r>
    </w:p>
    <w:p>
      <w:pPr>
        <w:pStyle w:val="ListBullet"/>
        <w:spacing w:after="60"/>
        <w:ind w:left="432"/>
      </w:pPr>
      <w:r>
        <w:rPr>
          <w:rFonts w:ascii="Calibri" w:hAnsi="Calibri"/>
          <w:b/>
          <w:color w:val="0066FF"/>
        </w:rPr>
        <w:t xml:space="preserve">Step 2 — Parse  </w:t>
      </w:r>
      <w:r>
        <w:rPr>
          <w:rFonts w:ascii="Calibri" w:hAnsi="Calibri"/>
        </w:rPr>
        <w:t>The response is tokenized and parsed: claims are extracted, citations identified, numerical assertions isolated, temporal references flagged.</w:t>
      </w:r>
    </w:p>
    <w:p>
      <w:pPr>
        <w:pStyle w:val="ListBullet"/>
        <w:spacing w:after="60"/>
        <w:ind w:left="432"/>
      </w:pPr>
      <w:r>
        <w:rPr>
          <w:rFonts w:ascii="Calibri" w:hAnsi="Calibri"/>
          <w:b/>
          <w:color w:val="0066FF"/>
        </w:rPr>
        <w:t xml:space="preserve">Step 3 — Detect  </w:t>
      </w:r>
      <w:r>
        <w:rPr>
          <w:rFonts w:ascii="Calibri" w:hAnsi="Calibri"/>
        </w:rPr>
        <w:t>All 8 detection algorithms execute in parallel against the parsed response and any relevant enterprise data sources.</w:t>
      </w:r>
    </w:p>
    <w:p>
      <w:pPr>
        <w:pStyle w:val="ListBullet"/>
        <w:spacing w:after="60"/>
        <w:ind w:left="432"/>
      </w:pPr>
      <w:r>
        <w:rPr>
          <w:rFonts w:ascii="Calibri" w:hAnsi="Calibri"/>
          <w:b/>
          <w:color w:val="0066FF"/>
        </w:rPr>
        <w:t xml:space="preserve">Step 4 — Score  </w:t>
      </w:r>
      <w:r>
        <w:rPr>
          <w:rFonts w:ascii="Calibri" w:hAnsi="Calibri"/>
        </w:rPr>
        <w:t>Individual technique scores are aggregated by the ensemble scoring model into a Confidence Score (0–100) and Risk Score (0–100).</w:t>
      </w:r>
    </w:p>
    <w:p>
      <w:pPr>
        <w:pStyle w:val="ListBullet"/>
        <w:spacing w:after="60"/>
        <w:ind w:left="432"/>
      </w:pPr>
      <w:r>
        <w:rPr>
          <w:rFonts w:ascii="Calibri" w:hAnsi="Calibri"/>
          <w:b/>
          <w:color w:val="0066FF"/>
        </w:rPr>
        <w:t xml:space="preserve">Step 5 — Decide  </w:t>
      </w:r>
      <w:r>
        <w:rPr>
          <w:rFonts w:ascii="Calibri" w:hAnsi="Calibri"/>
        </w:rPr>
        <w:t>The action policy applies thresholds: Confidence ≥ 75% + Risk &lt; 30 → PASS; else → FLAG or BLOCK based on severity.</w:t>
      </w:r>
    </w:p>
    <w:p>
      <w:pPr>
        <w:pStyle w:val="ListBullet"/>
        <w:spacing w:after="60"/>
        <w:ind w:left="432"/>
      </w:pPr>
      <w:r>
        <w:rPr>
          <w:rFonts w:ascii="Calibri" w:hAnsi="Calibri"/>
          <w:b/>
          <w:color w:val="0066FF"/>
        </w:rPr>
        <w:t xml:space="preserve">Step 6 — Act  </w:t>
      </w:r>
      <w:r>
        <w:rPr>
          <w:rFonts w:ascii="Calibri" w:hAnsi="Calibri"/>
        </w:rPr>
        <w:t>PASS: deliver response. FLAG: queue for human review. BLOCK: return fallback message; route to specialist if configured.</w:t>
      </w:r>
    </w:p>
    <w:p>
      <w:pPr>
        <w:pStyle w:val="ListBullet"/>
        <w:spacing w:after="60"/>
        <w:ind w:left="432"/>
      </w:pPr>
      <w:r>
        <w:rPr>
          <w:rFonts w:ascii="Calibri" w:hAnsi="Calibri"/>
          <w:b/>
          <w:color w:val="0066FF"/>
        </w:rPr>
        <w:t xml:space="preserve">Step 7 — Log  </w:t>
      </w:r>
      <w:r>
        <w:rPr>
          <w:rFonts w:ascii="Calibri" w:hAnsi="Calibri"/>
        </w:rPr>
        <w:t>All inputs, outputs, technique scores, decision, and compliance tags are written to the immutable audit log.</w:t>
      </w:r>
    </w:p>
    <w:p>
      <w:pPr>
        <w:pStyle w:val="ListBullet"/>
        <w:spacing w:after="60"/>
        <w:ind w:left="432"/>
      </w:pPr>
      <w:r>
        <w:rPr>
          <w:rFonts w:ascii="Calibri" w:hAnsi="Calibri"/>
          <w:b/>
          <w:color w:val="0066FF"/>
        </w:rPr>
        <w:t xml:space="preserve">Step 8 — Notify  </w:t>
      </w:r>
      <w:r>
        <w:rPr>
          <w:rFonts w:ascii="Calibri" w:hAnsi="Calibri"/>
        </w:rPr>
        <w:t>Dashboard updated in real-time; alerts triggered for BLOCK events; compliance reports updated.</w:t>
      </w:r>
    </w:p>
    <w:p>
      <w:pPr>
        <w:pStyle w:val="Heading2"/>
      </w:pPr>
      <w:r>
        <w:rPr>
          <w:color w:val="0066FF"/>
        </w:rPr>
        <w:t>4.3 Deployment Options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003388"/>
          </w:tcPr>
          <w:p>
            <w:pPr>
              <w:jc w:val="center"/>
            </w:pPr>
            <w:r>
              <w:rPr>
                <w:rFonts w:ascii="Calibri" w:hAnsi="Calibri"/>
                <w:b/>
                <w:color w:val="FFFFFF"/>
                <w:sz w:val="20"/>
              </w:rPr>
              <w:t>Mode</w:t>
            </w:r>
          </w:p>
        </w:tc>
        <w:tc>
          <w:tcPr>
            <w:tcW w:type="dxa" w:w="4896"/>
            <w:shd w:val="clear" w:color="auto" w:fill="003388"/>
          </w:tcPr>
          <w:p>
            <w:pPr>
              <w:jc w:val="center"/>
            </w:pPr>
            <w:r>
              <w:rPr>
                <w:rFonts w:ascii="Calibri" w:hAnsi="Calibri"/>
                <w:b/>
                <w:color w:val="FFFFFF"/>
                <w:sz w:val="20"/>
              </w:rPr>
              <w:t>Description</w:t>
            </w:r>
          </w:p>
        </w:tc>
        <w:tc>
          <w:tcPr>
            <w:tcW w:type="dxa" w:w="2016"/>
            <w:shd w:val="clear" w:color="auto" w:fill="003388"/>
          </w:tcPr>
          <w:p>
            <w:pPr>
              <w:jc w:val="center"/>
            </w:pPr>
            <w:r>
              <w:rPr>
                <w:rFonts w:ascii="Calibri" w:hAnsi="Calibri"/>
                <w:b/>
                <w:color w:val="FFFFFF"/>
                <w:sz w:val="20"/>
              </w:rPr>
              <w:t>Code Changes</w:t>
            </w:r>
          </w:p>
        </w:tc>
        <w:tc>
          <w:tcPr>
            <w:tcW w:type="dxa" w:w="2160"/>
            <w:shd w:val="clear" w:color="auto" w:fill="003388"/>
          </w:tcPr>
          <w:p>
            <w:pPr>
              <w:jc w:val="center"/>
            </w:pPr>
            <w:r>
              <w:rPr>
                <w:rFonts w:ascii="Calibri" w:hAnsi="Calibri"/>
                <w:b/>
                <w:color w:val="FFFFFF"/>
                <w:sz w:val="20"/>
              </w:rPr>
              <w:t>Time to Deploy</w:t>
            </w:r>
          </w:p>
        </w:tc>
      </w:tr>
      <w:tr>
        <w:tc>
          <w:tcPr>
            <w:tcW w:type="dxa" w:w="2016"/>
            <w:shd w:val="clear" w:color="auto" w:fill="FFFFFF"/>
          </w:tcPr>
          <w:p>
            <w:r>
              <w:rPr>
                <w:rFonts w:ascii="Calibri" w:hAnsi="Calibri"/>
                <w:sz w:val="20"/>
              </w:rPr>
              <w:t>SDK</w:t>
            </w:r>
          </w:p>
        </w:tc>
        <w:tc>
          <w:tcPr>
            <w:tcW w:type="dxa" w:w="4896"/>
            <w:shd w:val="clear" w:color="auto" w:fill="FFFFFF"/>
          </w:tcPr>
          <w:p>
            <w:r>
              <w:rPr>
                <w:rFonts w:ascii="Calibri" w:hAnsi="Calibri"/>
                <w:sz w:val="20"/>
              </w:rPr>
              <w:t>Import TrustLayer Python/JS/Java SDK; wrap existing LLM calls with client.verify()</w:t>
            </w:r>
          </w:p>
        </w:tc>
        <w:tc>
          <w:tcPr>
            <w:tcW w:type="dxa" w:w="2016"/>
            <w:shd w:val="clear" w:color="auto" w:fill="FFFFFF"/>
          </w:tcPr>
          <w:p>
            <w:r>
              <w:rPr>
                <w:rFonts w:ascii="Calibri" w:hAnsi="Calibri"/>
                <w:sz w:val="20"/>
              </w:rPr>
              <w:t>2–10 lines</w:t>
            </w:r>
          </w:p>
        </w:tc>
        <w:tc>
          <w:tcPr>
            <w:tcW w:type="dxa" w:w="2160"/>
            <w:shd w:val="clear" w:color="auto" w:fill="FFFFFF"/>
          </w:tcPr>
          <w:p>
            <w:r>
              <w:rPr>
                <w:rFonts w:ascii="Calibri" w:hAnsi="Calibri"/>
                <w:sz w:val="20"/>
              </w:rPr>
              <w:t>1–2 hours</w:t>
            </w:r>
          </w:p>
        </w:tc>
      </w:tr>
      <w:tr>
        <w:tc>
          <w:tcPr>
            <w:tcW w:type="dxa" w:w="2016"/>
            <w:shd w:val="clear" w:color="auto" w:fill="F0F4FF"/>
          </w:tcPr>
          <w:p>
            <w:r>
              <w:rPr>
                <w:rFonts w:ascii="Calibri" w:hAnsi="Calibri"/>
                <w:sz w:val="20"/>
              </w:rPr>
              <w:t>API Gateway</w:t>
            </w:r>
          </w:p>
        </w:tc>
        <w:tc>
          <w:tcPr>
            <w:tcW w:type="dxa" w:w="4896"/>
            <w:shd w:val="clear" w:color="auto" w:fill="F0F4FF"/>
          </w:tcPr>
          <w:p>
            <w:r>
              <w:rPr>
                <w:rFonts w:ascii="Calibri" w:hAnsi="Calibri"/>
                <w:sz w:val="20"/>
              </w:rPr>
              <w:t>Change LLM base URL to TrustLayer gateway endpoint; add API key header</w:t>
            </w:r>
          </w:p>
        </w:tc>
        <w:tc>
          <w:tcPr>
            <w:tcW w:type="dxa" w:w="2016"/>
            <w:shd w:val="clear" w:color="auto" w:fill="F0F4FF"/>
          </w:tcPr>
          <w:p>
            <w:r>
              <w:rPr>
                <w:rFonts w:ascii="Calibri" w:hAnsi="Calibri"/>
                <w:sz w:val="20"/>
              </w:rPr>
              <w:t>0 lines</w:t>
            </w:r>
          </w:p>
        </w:tc>
        <w:tc>
          <w:tcPr>
            <w:tcW w:type="dxa" w:w="2160"/>
            <w:shd w:val="clear" w:color="auto" w:fill="F0F4FF"/>
          </w:tcPr>
          <w:p>
            <w:r>
              <w:rPr>
                <w:rFonts w:ascii="Calibri" w:hAnsi="Calibri"/>
                <w:sz w:val="20"/>
              </w:rPr>
              <w:t>Minutes</w:t>
            </w:r>
          </w:p>
        </w:tc>
      </w:tr>
      <w:tr>
        <w:tc>
          <w:tcPr>
            <w:tcW w:type="dxa" w:w="2016"/>
            <w:shd w:val="clear" w:color="auto" w:fill="FFFFFF"/>
          </w:tcPr>
          <w:p>
            <w:r>
              <w:rPr>
                <w:rFonts w:ascii="Calibri" w:hAnsi="Calibri"/>
                <w:sz w:val="20"/>
              </w:rPr>
              <w:t>On-Premise</w:t>
            </w:r>
          </w:p>
        </w:tc>
        <w:tc>
          <w:tcPr>
            <w:tcW w:type="dxa" w:w="4896"/>
            <w:shd w:val="clear" w:color="auto" w:fill="FFFFFF"/>
          </w:tcPr>
          <w:p>
            <w:r>
              <w:rPr>
                <w:rFonts w:ascii="Calibri" w:hAnsi="Calibri"/>
                <w:sz w:val="20"/>
              </w:rPr>
              <w:t>Deploy TrustLayer containers in customer VPC; configure enterprise connectors</w:t>
            </w:r>
          </w:p>
        </w:tc>
        <w:tc>
          <w:tcPr>
            <w:tcW w:type="dxa" w:w="2016"/>
            <w:shd w:val="clear" w:color="auto" w:fill="FFFFFF"/>
          </w:tcPr>
          <w:p>
            <w:r>
              <w:rPr>
                <w:rFonts w:ascii="Calibri" w:hAnsi="Calibri"/>
                <w:sz w:val="20"/>
              </w:rPr>
              <w:t>Infrastructure</w:t>
            </w:r>
          </w:p>
        </w:tc>
        <w:tc>
          <w:tcPr>
            <w:tcW w:type="dxa" w:w="2160"/>
            <w:shd w:val="clear" w:color="auto" w:fill="FFFFFF"/>
          </w:tcPr>
          <w:p>
            <w:r>
              <w:rPr>
                <w:rFonts w:ascii="Calibri" w:hAnsi="Calibri"/>
                <w:sz w:val="20"/>
              </w:rPr>
              <w:t>1–2 weeks</w:t>
            </w:r>
          </w:p>
        </w:tc>
      </w:tr>
      <w:tr>
        <w:tc>
          <w:tcPr>
            <w:tcW w:type="dxa" w:w="2016"/>
            <w:shd w:val="clear" w:color="auto" w:fill="F0F4FF"/>
          </w:tcPr>
          <w:p>
            <w:r>
              <w:rPr>
                <w:rFonts w:ascii="Calibri" w:hAnsi="Calibri"/>
                <w:sz w:val="20"/>
              </w:rPr>
              <w:t>SaaS</w:t>
            </w:r>
          </w:p>
        </w:tc>
        <w:tc>
          <w:tcPr>
            <w:tcW w:type="dxa" w:w="4896"/>
            <w:shd w:val="clear" w:color="auto" w:fill="F0F4FF"/>
          </w:tcPr>
          <w:p>
            <w:r>
              <w:rPr>
                <w:rFonts w:ascii="Calibri" w:hAnsi="Calibri"/>
                <w:sz w:val="20"/>
              </w:rPr>
              <w:t>Fully managed; multi-tenant; immediate access via API keys</w:t>
            </w:r>
          </w:p>
        </w:tc>
        <w:tc>
          <w:tcPr>
            <w:tcW w:type="dxa" w:w="2016"/>
            <w:shd w:val="clear" w:color="auto" w:fill="F0F4FF"/>
          </w:tcPr>
          <w:p>
            <w:r>
              <w:rPr>
                <w:rFonts w:ascii="Calibri" w:hAnsi="Calibri"/>
                <w:sz w:val="20"/>
              </w:rPr>
              <w:t>0 lines</w:t>
            </w:r>
          </w:p>
        </w:tc>
        <w:tc>
          <w:tcPr>
            <w:tcW w:type="dxa" w:w="2160"/>
            <w:shd w:val="clear" w:color="auto" w:fill="F0F4FF"/>
          </w:tcPr>
          <w:p>
            <w:r>
              <w:rPr>
                <w:rFonts w:ascii="Calibri" w:hAnsi="Calibri"/>
                <w:sz w:val="20"/>
              </w:rPr>
              <w:t>Minutes</w:t>
            </w:r>
          </w:p>
        </w:tc>
      </w:tr>
    </w:tbl>
    <w:p/>
    <w:p>
      <w:pPr>
        <w:pStyle w:val="Heading2"/>
      </w:pPr>
      <w:r>
        <w:rPr>
          <w:color w:val="0066FF"/>
        </w:rPr>
        <w:t>4.4 Latency Budget</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003388"/>
          </w:tcPr>
          <w:p>
            <w:pPr>
              <w:jc w:val="center"/>
            </w:pPr>
            <w:r>
              <w:rPr>
                <w:rFonts w:ascii="Calibri" w:hAnsi="Calibri"/>
                <w:b/>
                <w:color w:val="FFFFFF"/>
                <w:sz w:val="20"/>
              </w:rPr>
              <w:t>Pipeline Stage</w:t>
            </w:r>
          </w:p>
        </w:tc>
        <w:tc>
          <w:tcPr>
            <w:tcW w:type="dxa" w:w="2160"/>
            <w:shd w:val="clear" w:color="auto" w:fill="003388"/>
          </w:tcPr>
          <w:p>
            <w:pPr>
              <w:jc w:val="center"/>
            </w:pPr>
            <w:r>
              <w:rPr>
                <w:rFonts w:ascii="Calibri" w:hAnsi="Calibri"/>
                <w:b/>
                <w:color w:val="FFFFFF"/>
                <w:sz w:val="20"/>
              </w:rPr>
              <w:t>Target Latency</w:t>
            </w:r>
          </w:p>
        </w:tc>
        <w:tc>
          <w:tcPr>
            <w:tcW w:type="dxa" w:w="5328"/>
            <w:shd w:val="clear" w:color="auto" w:fill="003388"/>
          </w:tcPr>
          <w:p>
            <w:pPr>
              <w:jc w:val="center"/>
            </w:pPr>
            <w:r>
              <w:rPr>
                <w:rFonts w:ascii="Calibri" w:hAnsi="Calibri"/>
                <w:b/>
                <w:color w:val="FFFFFF"/>
                <w:sz w:val="20"/>
              </w:rPr>
              <w:t>Notes</w:t>
            </w:r>
          </w:p>
        </w:tc>
      </w:tr>
      <w:tr>
        <w:tc>
          <w:tcPr>
            <w:tcW w:type="dxa" w:w="3600"/>
            <w:shd w:val="clear" w:color="auto" w:fill="FFFFFF"/>
          </w:tcPr>
          <w:p>
            <w:r>
              <w:rPr>
                <w:rFonts w:ascii="Calibri" w:hAnsi="Calibri"/>
                <w:sz w:val="20"/>
              </w:rPr>
              <w:t>API gateway routing</w:t>
            </w:r>
          </w:p>
        </w:tc>
        <w:tc>
          <w:tcPr>
            <w:tcW w:type="dxa" w:w="2160"/>
            <w:shd w:val="clear" w:color="auto" w:fill="FFFFFF"/>
          </w:tcPr>
          <w:p>
            <w:r>
              <w:rPr>
                <w:rFonts w:ascii="Calibri" w:hAnsi="Calibri"/>
                <w:sz w:val="20"/>
              </w:rPr>
              <w:t>&lt; 2ms</w:t>
            </w:r>
          </w:p>
        </w:tc>
        <w:tc>
          <w:tcPr>
            <w:tcW w:type="dxa" w:w="5328"/>
            <w:shd w:val="clear" w:color="auto" w:fill="FFFFFF"/>
          </w:tcPr>
          <w:p>
            <w:r>
              <w:rPr>
                <w:rFonts w:ascii="Calibri" w:hAnsi="Calibri"/>
                <w:sz w:val="20"/>
              </w:rPr>
              <w:t>Async; non-blocking</w:t>
            </w:r>
          </w:p>
        </w:tc>
      </w:tr>
      <w:tr>
        <w:tc>
          <w:tcPr>
            <w:tcW w:type="dxa" w:w="3600"/>
            <w:shd w:val="clear" w:color="auto" w:fill="F0F4FF"/>
          </w:tcPr>
          <w:p>
            <w:r>
              <w:rPr>
                <w:rFonts w:ascii="Calibri" w:hAnsi="Calibri"/>
                <w:sz w:val="20"/>
              </w:rPr>
              <w:t>LLM response retrieval</w:t>
            </w:r>
          </w:p>
        </w:tc>
        <w:tc>
          <w:tcPr>
            <w:tcW w:type="dxa" w:w="2160"/>
            <w:shd w:val="clear" w:color="auto" w:fill="F0F4FF"/>
          </w:tcPr>
          <w:p>
            <w:r>
              <w:rPr>
                <w:rFonts w:ascii="Calibri" w:hAnsi="Calibri"/>
                <w:sz w:val="20"/>
              </w:rPr>
              <w:t>Varies</w:t>
            </w:r>
          </w:p>
        </w:tc>
        <w:tc>
          <w:tcPr>
            <w:tcW w:type="dxa" w:w="5328"/>
            <w:shd w:val="clear" w:color="auto" w:fill="F0F4FF"/>
          </w:tcPr>
          <w:p>
            <w:r>
              <w:rPr>
                <w:rFonts w:ascii="Calibri" w:hAnsi="Calibri"/>
                <w:sz w:val="20"/>
              </w:rPr>
              <w:t>External; not TrustLayer's latency</w:t>
            </w:r>
          </w:p>
        </w:tc>
      </w:tr>
      <w:tr>
        <w:tc>
          <w:tcPr>
            <w:tcW w:type="dxa" w:w="3600"/>
            <w:shd w:val="clear" w:color="auto" w:fill="FFFFFF"/>
          </w:tcPr>
          <w:p>
            <w:r>
              <w:rPr>
                <w:rFonts w:ascii="Calibri" w:hAnsi="Calibri"/>
                <w:sz w:val="20"/>
              </w:rPr>
              <w:t>Parsing &amp; claim extraction</w:t>
            </w:r>
          </w:p>
        </w:tc>
        <w:tc>
          <w:tcPr>
            <w:tcW w:type="dxa" w:w="2160"/>
            <w:shd w:val="clear" w:color="auto" w:fill="FFFFFF"/>
          </w:tcPr>
          <w:p>
            <w:r>
              <w:rPr>
                <w:rFonts w:ascii="Calibri" w:hAnsi="Calibri"/>
                <w:sz w:val="20"/>
              </w:rPr>
              <w:t>&lt; 10ms</w:t>
            </w:r>
          </w:p>
        </w:tc>
        <w:tc>
          <w:tcPr>
            <w:tcW w:type="dxa" w:w="5328"/>
            <w:shd w:val="clear" w:color="auto" w:fill="FFFFFF"/>
          </w:tcPr>
          <w:p>
            <w:r>
              <w:rPr>
                <w:rFonts w:ascii="Calibri" w:hAnsi="Calibri"/>
                <w:sz w:val="20"/>
              </w:rPr>
              <w:t>Parallel with LLM call preparation</w:t>
            </w:r>
          </w:p>
        </w:tc>
      </w:tr>
      <w:tr>
        <w:tc>
          <w:tcPr>
            <w:tcW w:type="dxa" w:w="3600"/>
            <w:shd w:val="clear" w:color="auto" w:fill="F0F4FF"/>
          </w:tcPr>
          <w:p>
            <w:r>
              <w:rPr>
                <w:rFonts w:ascii="Calibri" w:hAnsi="Calibri"/>
                <w:sz w:val="20"/>
              </w:rPr>
              <w:t>8 detection algorithms</w:t>
            </w:r>
          </w:p>
        </w:tc>
        <w:tc>
          <w:tcPr>
            <w:tcW w:type="dxa" w:w="2160"/>
            <w:shd w:val="clear" w:color="auto" w:fill="F0F4FF"/>
          </w:tcPr>
          <w:p>
            <w:r>
              <w:rPr>
                <w:rFonts w:ascii="Calibri" w:hAnsi="Calibri"/>
                <w:sz w:val="20"/>
              </w:rPr>
              <w:t>&lt; 80ms</w:t>
            </w:r>
          </w:p>
        </w:tc>
        <w:tc>
          <w:tcPr>
            <w:tcW w:type="dxa" w:w="5328"/>
            <w:shd w:val="clear" w:color="auto" w:fill="F0F4FF"/>
          </w:tcPr>
          <w:p>
            <w:r>
              <w:rPr>
                <w:rFonts w:ascii="Calibri" w:hAnsi="Calibri"/>
                <w:sz w:val="20"/>
              </w:rPr>
              <w:t>All run in parallel; bottleneck is citation verification at 200ms (optional fast mode: 45ms)</w:t>
            </w:r>
          </w:p>
        </w:tc>
      </w:tr>
      <w:tr>
        <w:tc>
          <w:tcPr>
            <w:tcW w:type="dxa" w:w="3600"/>
            <w:shd w:val="clear" w:color="auto" w:fill="FFFFFF"/>
          </w:tcPr>
          <w:p>
            <w:r>
              <w:rPr>
                <w:rFonts w:ascii="Calibri" w:hAnsi="Calibri"/>
                <w:sz w:val="20"/>
              </w:rPr>
              <w:t>Ensemble scoring</w:t>
            </w:r>
          </w:p>
        </w:tc>
        <w:tc>
          <w:tcPr>
            <w:tcW w:type="dxa" w:w="2160"/>
            <w:shd w:val="clear" w:color="auto" w:fill="FFFFFF"/>
          </w:tcPr>
          <w:p>
            <w:r>
              <w:rPr>
                <w:rFonts w:ascii="Calibri" w:hAnsi="Calibri"/>
                <w:sz w:val="20"/>
              </w:rPr>
              <w:t>&lt; 5ms</w:t>
            </w:r>
          </w:p>
        </w:tc>
        <w:tc>
          <w:tcPr>
            <w:tcW w:type="dxa" w:w="5328"/>
            <w:shd w:val="clear" w:color="auto" w:fill="FFFFFF"/>
          </w:tcPr>
          <w:p>
            <w:r>
              <w:rPr>
                <w:rFonts w:ascii="Calibri" w:hAnsi="Calibri"/>
                <w:sz w:val="20"/>
              </w:rPr>
              <w:t>Weighted average computation</w:t>
            </w:r>
          </w:p>
        </w:tc>
      </w:tr>
      <w:tr>
        <w:tc>
          <w:tcPr>
            <w:tcW w:type="dxa" w:w="3600"/>
            <w:shd w:val="clear" w:color="auto" w:fill="F0F4FF"/>
          </w:tcPr>
          <w:p>
            <w:r>
              <w:rPr>
                <w:rFonts w:ascii="Calibri" w:hAnsi="Calibri"/>
                <w:sz w:val="20"/>
              </w:rPr>
              <w:t>Action policy decision</w:t>
            </w:r>
          </w:p>
        </w:tc>
        <w:tc>
          <w:tcPr>
            <w:tcW w:type="dxa" w:w="2160"/>
            <w:shd w:val="clear" w:color="auto" w:fill="F0F4FF"/>
          </w:tcPr>
          <w:p>
            <w:r>
              <w:rPr>
                <w:rFonts w:ascii="Calibri" w:hAnsi="Calibri"/>
                <w:sz w:val="20"/>
              </w:rPr>
              <w:t>&lt; 1ms</w:t>
            </w:r>
          </w:p>
        </w:tc>
        <w:tc>
          <w:tcPr>
            <w:tcW w:type="dxa" w:w="5328"/>
            <w:shd w:val="clear" w:color="auto" w:fill="F0F4FF"/>
          </w:tcPr>
          <w:p>
            <w:r>
              <w:rPr>
                <w:rFonts w:ascii="Calibri" w:hAnsi="Calibri"/>
                <w:sz w:val="20"/>
              </w:rPr>
              <w:t>Threshold comparison</w:t>
            </w:r>
          </w:p>
        </w:tc>
      </w:tr>
      <w:tr>
        <w:tc>
          <w:tcPr>
            <w:tcW w:type="dxa" w:w="3600"/>
            <w:shd w:val="clear" w:color="auto" w:fill="FFFFFF"/>
          </w:tcPr>
          <w:p>
            <w:r>
              <w:rPr>
                <w:rFonts w:ascii="Calibri" w:hAnsi="Calibri"/>
                <w:sz w:val="20"/>
              </w:rPr>
              <w:t>Response delivery</w:t>
            </w:r>
          </w:p>
        </w:tc>
        <w:tc>
          <w:tcPr>
            <w:tcW w:type="dxa" w:w="2160"/>
            <w:shd w:val="clear" w:color="auto" w:fill="FFFFFF"/>
          </w:tcPr>
          <w:p>
            <w:r>
              <w:rPr>
                <w:rFonts w:ascii="Calibri" w:hAnsi="Calibri"/>
                <w:sz w:val="20"/>
              </w:rPr>
              <w:t>&lt; 5ms</w:t>
            </w:r>
          </w:p>
        </w:tc>
        <w:tc>
          <w:tcPr>
            <w:tcW w:type="dxa" w:w="5328"/>
            <w:shd w:val="clear" w:color="auto" w:fill="FFFFFF"/>
          </w:tcPr>
          <w:p>
            <w:r>
              <w:rPr>
                <w:rFonts w:ascii="Calibri" w:hAnsi="Calibri"/>
                <w:sz w:val="20"/>
              </w:rPr>
              <w:t>Network</w:t>
            </w:r>
          </w:p>
        </w:tc>
      </w:tr>
      <w:tr>
        <w:tc>
          <w:tcPr>
            <w:tcW w:type="dxa" w:w="3600"/>
            <w:shd w:val="clear" w:color="auto" w:fill="F0F4FF"/>
          </w:tcPr>
          <w:p>
            <w:r>
              <w:rPr>
                <w:rFonts w:ascii="Calibri" w:hAnsi="Calibri"/>
                <w:sz w:val="20"/>
              </w:rPr>
              <w:t>Audit log write</w:t>
            </w:r>
          </w:p>
        </w:tc>
        <w:tc>
          <w:tcPr>
            <w:tcW w:type="dxa" w:w="2160"/>
            <w:shd w:val="clear" w:color="auto" w:fill="F0F4FF"/>
          </w:tcPr>
          <w:p>
            <w:r>
              <w:rPr>
                <w:rFonts w:ascii="Calibri" w:hAnsi="Calibri"/>
                <w:sz w:val="20"/>
              </w:rPr>
              <w:t>Async</w:t>
            </w:r>
          </w:p>
        </w:tc>
        <w:tc>
          <w:tcPr>
            <w:tcW w:type="dxa" w:w="5328"/>
            <w:shd w:val="clear" w:color="auto" w:fill="F0F4FF"/>
          </w:tcPr>
          <w:p>
            <w:r>
              <w:rPr>
                <w:rFonts w:ascii="Calibri" w:hAnsi="Calibri"/>
                <w:sz w:val="20"/>
              </w:rPr>
              <w:t>Non-blocking; does not add to user-facing latency</w:t>
            </w:r>
          </w:p>
        </w:tc>
      </w:tr>
      <w:tr>
        <w:tc>
          <w:tcPr>
            <w:tcW w:type="dxa" w:w="3600"/>
            <w:shd w:val="clear" w:color="auto" w:fill="FFFFFF"/>
          </w:tcPr>
          <w:p>
            <w:r>
              <w:rPr>
                <w:rFonts w:ascii="Calibri" w:hAnsi="Calibri"/>
                <w:sz w:val="20"/>
              </w:rPr>
              <w:t>TOTAL TrustLayer overhead</w:t>
            </w:r>
          </w:p>
        </w:tc>
        <w:tc>
          <w:tcPr>
            <w:tcW w:type="dxa" w:w="2160"/>
            <w:shd w:val="clear" w:color="auto" w:fill="FFFFFF"/>
          </w:tcPr>
          <w:p>
            <w:r>
              <w:rPr>
                <w:rFonts w:ascii="Calibri" w:hAnsi="Calibri"/>
                <w:sz w:val="20"/>
              </w:rPr>
              <w:t>&lt; 100ms</w:t>
            </w:r>
          </w:p>
        </w:tc>
        <w:tc>
          <w:tcPr>
            <w:tcW w:type="dxa" w:w="5328"/>
            <w:shd w:val="clear" w:color="auto" w:fill="FFFFFF"/>
          </w:tcPr>
          <w:p>
            <w:r>
              <w:rPr>
                <w:rFonts w:ascii="Calibri" w:hAnsi="Calibri"/>
                <w:sz w:val="20"/>
              </w:rPr>
              <w:t>Transparent to end users in typical deployments</w:t>
            </w:r>
          </w:p>
        </w:tc>
      </w:tr>
    </w:tbl>
    <w:p/>
    <w:p>
      <w:pPr>
        <w:pStyle w:val="Heading2"/>
      </w:pPr>
      <w:r>
        <w:rPr>
          <w:color w:val="0066FF"/>
        </w:rPr>
        <w:t>4.5 Audit Log Schema</w:t>
      </w:r>
    </w:p>
    <w:p>
      <w:pPr>
        <w:spacing w:after="120"/>
        <w:jc w:val="left"/>
      </w:pPr>
      <w:r>
        <w:rPr>
          <w:rFonts w:ascii="Calibri" w:hAnsi="Calibri"/>
          <w:b w:val="0"/>
          <w:i w:val="0"/>
          <w:sz w:val="22"/>
        </w:rPr>
        <w:t>Every AI interaction processed by TrustLayer generates an immutable, structured audit record. These records are the foundation of compliance reporting.</w:t>
      </w:r>
    </w:p>
    <w:tbl>
      <w:tblPr>
        <w:tblW w:type="auto" w:w="0"/>
        <w:jc w:val="left"/>
        <w:tblLook w:firstColumn="1" w:firstRow="1" w:lastColumn="0" w:lastRow="0" w:noHBand="0" w:noVBand="1" w:val="04A0"/>
      </w:tblPr>
      <w:tblGrid>
        <w:gridCol w:w="9360"/>
      </w:tblGrid>
      <w:tr>
        <w:tc>
          <w:tcPr>
            <w:tcW w:type="dxa" w:w="9360"/>
            <w:shd w:val="clear" w:color="auto" w:fill="F0F4FF"/>
          </w:tcPr>
          <w:p>
            <w:r>
              <w:rPr>
                <w:rFonts w:ascii="Courier New" w:hAnsi="Courier New"/>
                <w:sz w:val="18"/>
              </w:rPr>
              <w:t>{</w:t>
            </w:r>
          </w:p>
          <w:p>
            <w:r>
              <w:rPr>
                <w:rFonts w:ascii="Courier New" w:hAnsi="Courier New"/>
                <w:sz w:val="18"/>
              </w:rPr>
              <w:t xml:space="preserve">  "interaction_id":     "uuid-v4",</w:t>
            </w:r>
          </w:p>
          <w:p>
            <w:r>
              <w:rPr>
                <w:rFonts w:ascii="Courier New" w:hAnsi="Courier New"/>
                <w:sz w:val="18"/>
              </w:rPr>
              <w:t xml:space="preserve">  "timestamp":          "2026-03-06T14:32:01.456Z",</w:t>
            </w:r>
          </w:p>
          <w:p>
            <w:r>
              <w:rPr>
                <w:rFonts w:ascii="Courier New" w:hAnsi="Courier New"/>
                <w:sz w:val="18"/>
              </w:rPr>
              <w:t xml:space="preserve">  "session_id":         "uuid-v4",</w:t>
            </w:r>
          </w:p>
          <w:p>
            <w:r>
              <w:rPr>
                <w:rFonts w:ascii="Courier New" w:hAnsi="Courier New"/>
                <w:sz w:val="18"/>
              </w:rPr>
              <w:t xml:space="preserve">  "user_id":            "anonymized-hash",</w:t>
            </w:r>
          </w:p>
          <w:p>
            <w:r>
              <w:rPr>
                <w:rFonts w:ascii="Courier New" w:hAnsi="Courier New"/>
                <w:sz w:val="18"/>
              </w:rPr>
              <w:t xml:space="preserve">  "industry_module":    "BFSI_Banking",</w:t>
            </w:r>
          </w:p>
          <w:p>
            <w:r>
              <w:rPr>
                <w:rFonts w:ascii="Courier New" w:hAnsi="Courier New"/>
                <w:sz w:val="18"/>
              </w:rPr>
              <w:t xml:space="preserve">  "llm_provider":       "openai/gpt-4o",</w:t>
            </w:r>
          </w:p>
          <w:p>
            <w:r>
              <w:rPr>
                <w:rFonts w:ascii="Courier New" w:hAnsi="Courier New"/>
                <w:sz w:val="18"/>
              </w:rPr>
              <w:t xml:space="preserve">  "user_query":         "What is the current mortgage rate?",</w:t>
            </w:r>
          </w:p>
          <w:p>
            <w:r>
              <w:rPr>
                <w:rFonts w:ascii="Courier New" w:hAnsi="Courier New"/>
                <w:sz w:val="18"/>
              </w:rPr>
              <w:t xml:space="preserve">  "llm_response":       "Our rate is 5.25% APR...",</w:t>
            </w:r>
          </w:p>
          <w:p>
            <w:r>
              <w:rPr>
                <w:rFonts w:ascii="Courier New" w:hAnsi="Courier New"/>
                <w:sz w:val="18"/>
              </w:rPr>
              <w:t xml:space="preserve">  "detection_scores": {</w:t>
            </w:r>
          </w:p>
          <w:p>
            <w:r>
              <w:rPr>
                <w:rFonts w:ascii="Courier New" w:hAnsi="Courier New"/>
                <w:sz w:val="18"/>
              </w:rPr>
              <w:t xml:space="preserve">    "semantic_entropy":            0.18,</w:t>
            </w:r>
          </w:p>
          <w:p>
            <w:r>
              <w:rPr>
                <w:rFonts w:ascii="Courier New" w:hAnsi="Courier New"/>
                <w:sz w:val="18"/>
              </w:rPr>
              <w:t xml:space="preserve">    "self_consistency":            0.22,</w:t>
            </w:r>
          </w:p>
          <w:p>
            <w:r>
              <w:rPr>
                <w:rFonts w:ascii="Courier New" w:hAnsi="Courier New"/>
                <w:sz w:val="18"/>
              </w:rPr>
              <w:t xml:space="preserve">    "source_citation_verification":0.05,</w:t>
            </w:r>
          </w:p>
          <w:p>
            <w:r>
              <w:rPr>
                <w:rFonts w:ascii="Courier New" w:hAnsi="Courier New"/>
                <w:sz w:val="18"/>
              </w:rPr>
              <w:t xml:space="preserve">    "enterprise_grounding":        0.08,</w:t>
            </w:r>
          </w:p>
          <w:p>
            <w:r>
              <w:rPr>
                <w:rFonts w:ascii="Courier New" w:hAnsi="Courier New"/>
                <w:sz w:val="18"/>
              </w:rPr>
              <w:t xml:space="preserve">    "claim_extraction":            0.30,</w:t>
            </w:r>
          </w:p>
          <w:p>
            <w:r>
              <w:rPr>
                <w:rFonts w:ascii="Courier New" w:hAnsi="Courier New"/>
                <w:sz w:val="18"/>
              </w:rPr>
              <w:t xml:space="preserve">    "pattern_recognition":         0.21,</w:t>
            </w:r>
          </w:p>
          <w:p>
            <w:r>
              <w:rPr>
                <w:rFonts w:ascii="Courier New" w:hAnsi="Courier New"/>
                <w:sz w:val="18"/>
              </w:rPr>
              <w:t xml:space="preserve">    "temporal_consistency":        0.45,</w:t>
            </w:r>
          </w:p>
          <w:p>
            <w:r>
              <w:rPr>
                <w:rFonts w:ascii="Courier New" w:hAnsi="Courier New"/>
                <w:sz w:val="18"/>
              </w:rPr>
              <w:t xml:space="preserve">    "numerical_validation":        0.12</w:t>
            </w:r>
          </w:p>
          <w:p>
            <w:r>
              <w:rPr>
                <w:rFonts w:ascii="Courier New" w:hAnsi="Courier New"/>
                <w:sz w:val="18"/>
              </w:rPr>
              <w:t xml:space="preserve">  },</w:t>
            </w:r>
          </w:p>
          <w:p>
            <w:r>
              <w:rPr>
                <w:rFonts w:ascii="Courier New" w:hAnsi="Courier New"/>
                <w:sz w:val="18"/>
              </w:rPr>
              <w:t xml:space="preserve">  "confidence_score":   18,</w:t>
            </w:r>
          </w:p>
          <w:p>
            <w:r>
              <w:rPr>
                <w:rFonts w:ascii="Courier New" w:hAnsi="Courier New"/>
                <w:sz w:val="18"/>
              </w:rPr>
              <w:t xml:space="preserve">  "risk_score":         94,</w:t>
            </w:r>
          </w:p>
          <w:p>
            <w:r>
              <w:rPr>
                <w:rFonts w:ascii="Courier New" w:hAnsi="Courier New"/>
                <w:sz w:val="18"/>
              </w:rPr>
              <w:t xml:space="preserve">  "action":             "BLOCKED",</w:t>
            </w:r>
          </w:p>
          <w:p>
            <w:r>
              <w:rPr>
                <w:rFonts w:ascii="Courier New" w:hAnsi="Courier New"/>
                <w:sz w:val="18"/>
              </w:rPr>
              <w:t xml:space="preserve">  "issues_detected":    ["fabricated_rate","non_existent_promotion","illegal_guarantee"],</w:t>
            </w:r>
          </w:p>
          <w:p>
            <w:r>
              <w:rPr>
                <w:rFonts w:ascii="Courier New" w:hAnsi="Courier New"/>
                <w:sz w:val="18"/>
              </w:rPr>
              <w:t xml:space="preserve">  "fallback_action":    "routed_to_licensed_mortgage_specialist",</w:t>
            </w:r>
          </w:p>
          <w:p>
            <w:r>
              <w:rPr>
                <w:rFonts w:ascii="Courier New" w:hAnsi="Courier New"/>
                <w:sz w:val="18"/>
              </w:rPr>
              <w:t xml:space="preserve">  "processing_time_ms": 87,</w:t>
            </w:r>
          </w:p>
          <w:p>
            <w:r>
              <w:rPr>
                <w:rFonts w:ascii="Courier New" w:hAnsi="Courier New"/>
                <w:sz w:val="18"/>
              </w:rPr>
              <w:t xml:space="preserve">  "compliance_tags":    ["EU_AI_Act_Art9","EU_AI_Act_Art14","NIST_MEASURE_2.5","SOC2_PI"]</w:t>
            </w:r>
          </w:p>
          <w:p>
            <w:r>
              <w:rPr>
                <w:rFonts w:ascii="Courier New" w:hAnsi="Courier New"/>
                <w:sz w:val="18"/>
              </w:rPr>
              <w:t>}</w:t>
            </w:r>
          </w:p>
        </w:tc>
      </w:tr>
    </w:tbl>
    <w:p/>
    <w:p>
      <w:r>
        <w:br w:type="page"/>
      </w:r>
    </w:p>
    <w:p>
      <w:pPr>
        <w:pStyle w:val="Heading1"/>
      </w:pPr>
      <w:r>
        <w:rPr>
          <w:color w:val="003388"/>
        </w:rPr>
        <w:t>5. Detection Engine</w:t>
      </w:r>
    </w:p>
    <w:p>
      <w:pPr>
        <w:spacing w:before="40" w:after="120"/>
        <w:pBdr>
          <w:bottom w:val="single" w:sz="12" w:space="1" w:color="0066FF"/>
        </w:pBdr>
      </w:pPr>
    </w:p>
    <w:p>
      <w:pPr>
        <w:spacing w:after="120"/>
        <w:jc w:val="left"/>
      </w:pPr>
      <w:r>
        <w:rPr>
          <w:rFonts w:ascii="Calibri" w:hAnsi="Calibri"/>
          <w:b w:val="0"/>
          <w:i w:val="0"/>
          <w:sz w:val="22"/>
        </w:rPr>
        <w:t>The TrustLayer detection engine is the platform's core technical differentiator. Eight independent detection algorithms execute in parallel on every AI response. Each algorithm targets a specific LLM failure mode. Their outputs are combined by an ensemble scoring model into two final scores: Confidence Score (0–100) and Risk Score (0–100).</w:t>
      </w:r>
    </w:p>
    <w:p>
      <w:pPr>
        <w:pStyle w:val="Heading2"/>
      </w:pPr>
      <w:r>
        <w:rPr>
          <w:color w:val="0066FF"/>
        </w:rPr>
        <w:t>5.1 Semantic Entropy Analysis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Accuracy</w:t>
            </w:r>
          </w:p>
        </w:tc>
        <w:tc>
          <w:tcPr>
            <w:tcW w:type="dxa" w:w="2160"/>
            <w:shd w:val="clear" w:color="auto" w:fill="003388"/>
          </w:tcPr>
          <w:p>
            <w:pPr>
              <w:jc w:val="center"/>
            </w:pPr>
            <w:r>
              <w:rPr>
                <w:rFonts w:ascii="Calibri" w:hAnsi="Calibri"/>
                <w:b/>
                <w:color w:val="FFFFFF"/>
                <w:sz w:val="20"/>
              </w:rPr>
              <w:t>Latency</w:t>
            </w:r>
          </w:p>
        </w:tc>
        <w:tc>
          <w:tcPr>
            <w:tcW w:type="dxa" w:w="2160"/>
            <w:shd w:val="clear" w:color="auto" w:fill="003388"/>
          </w:tcPr>
          <w:p>
            <w:pPr>
              <w:jc w:val="center"/>
            </w:pPr>
            <w:r>
              <w:rPr>
                <w:rFonts w:ascii="Calibri" w:hAnsi="Calibri"/>
                <w:b/>
                <w:color w:val="FFFFFF"/>
                <w:sz w:val="20"/>
              </w:rPr>
              <w:t>Risk Tier</w:t>
            </w:r>
          </w:p>
        </w:tc>
      </w:tr>
      <w:tr>
        <w:tc>
          <w:tcPr>
            <w:tcW w:type="dxa" w:w="2160"/>
            <w:shd w:val="clear" w:color="auto" w:fill="FFFFFF"/>
          </w:tcPr>
          <w:p>
            <w:r>
              <w:rPr>
                <w:rFonts w:ascii="Calibri" w:hAnsi="Calibri"/>
                <w:sz w:val="20"/>
              </w:rPr>
              <w:t>87%</w:t>
            </w:r>
          </w:p>
        </w:tc>
        <w:tc>
          <w:tcPr>
            <w:tcW w:type="dxa" w:w="2160"/>
            <w:shd w:val="clear" w:color="auto" w:fill="FFFFFF"/>
          </w:tcPr>
          <w:p>
            <w:r>
              <w:rPr>
                <w:rFonts w:ascii="Calibri" w:hAnsi="Calibri"/>
                <w:sz w:val="20"/>
              </w:rPr>
              <w:t>45ms</w:t>
            </w:r>
          </w:p>
        </w:tc>
        <w:tc>
          <w:tcPr>
            <w:tcW w:type="dxa" w:w="2160"/>
            <w:shd w:val="clear" w:color="auto" w:fill="FFFFFF"/>
          </w:tcPr>
          <w:p>
            <w:r>
              <w:rPr>
                <w:rFonts w:ascii="Calibri" w:hAnsi="Calibri"/>
                <w:sz w:val="20"/>
              </w:rPr>
              <w:t>High</w:t>
            </w:r>
          </w:p>
        </w:tc>
      </w:tr>
    </w:tbl>
    <w:p/>
    <w:p>
      <w:pPr>
        <w:spacing w:after="120"/>
        <w:jc w:val="left"/>
      </w:pPr>
      <w:r>
        <w:rPr>
          <w:rFonts w:ascii="Calibri" w:hAnsi="Calibri"/>
          <w:b/>
          <w:i w:val="0"/>
          <w:color w:val="0066FF"/>
          <w:sz w:val="22"/>
        </w:rPr>
        <w:t>What it does:</w:t>
      </w:r>
    </w:p>
    <w:p>
      <w:pPr>
        <w:spacing w:after="120"/>
        <w:jc w:val="left"/>
      </w:pPr>
      <w:r>
        <w:rPr>
          <w:rFonts w:ascii="Calibri" w:hAnsi="Calibri"/>
          <w:b w:val="0"/>
          <w:i w:val="0"/>
          <w:sz w:val="22"/>
        </w:rPr>
        <w:t>Semantic entropy measures the internal uncertainty of the language model in generating its response. At inference time, each token is selected from a probability distribution over the model's vocabulary. When the model is confident, probability mass concentrates on a small number of candidate tokens (low entropy). When it is uncertain, probability spreads across many candidates (high entropy).</w:t>
      </w:r>
    </w:p>
    <w:p>
      <w:pPr>
        <w:spacing w:after="120"/>
        <w:jc w:val="left"/>
      </w:pPr>
      <w:r>
        <w:rPr>
          <w:rFonts w:ascii="Calibri" w:hAnsi="Calibri"/>
          <w:b/>
          <w:i w:val="0"/>
          <w:color w:val="0066FF"/>
          <w:sz w:val="22"/>
        </w:rPr>
        <w:t>How it works:</w:t>
      </w:r>
    </w:p>
    <w:p>
      <w:pPr>
        <w:spacing w:after="120"/>
        <w:jc w:val="left"/>
      </w:pPr>
      <w:r>
        <w:rPr>
          <w:rFonts w:ascii="Calibri" w:hAnsi="Calibri"/>
          <w:b w:val="0"/>
          <w:i w:val="0"/>
          <w:sz w:val="22"/>
        </w:rPr>
        <w:t>Requests the LLM's raw logit outputs or samples multiple completion variants; computes entropy H = -Σ p(token) × log p(token) across the response; normalizes to a 0–1 confidence signal.</w:t>
      </w:r>
    </w:p>
    <w:p>
      <w:pPr>
        <w:spacing w:after="120"/>
        <w:jc w:val="left"/>
      </w:pPr>
      <w:r>
        <w:rPr>
          <w:rFonts w:ascii="Calibri" w:hAnsi="Calibri"/>
          <w:b/>
          <w:i w:val="0"/>
          <w:color w:val="0066FF"/>
          <w:sz w:val="22"/>
        </w:rPr>
        <w:t>Best for:</w:t>
      </w:r>
    </w:p>
    <w:p>
      <w:pPr>
        <w:spacing w:after="120"/>
        <w:jc w:val="left"/>
      </w:pPr>
      <w:r>
        <w:rPr>
          <w:rFonts w:ascii="Calibri" w:hAnsi="Calibri"/>
          <w:b w:val="0"/>
          <w:i w:val="0"/>
          <w:sz w:val="22"/>
        </w:rPr>
        <w:t>Factual uncertainty, knowledge boundary violations, statements beyond training data cutoff.</w:t>
      </w:r>
    </w:p>
    <w:p>
      <w:pPr>
        <w:spacing w:after="120"/>
        <w:jc w:val="left"/>
      </w:pPr>
      <w:r>
        <w:rPr>
          <w:rFonts w:ascii="Calibri" w:hAnsi="Calibri"/>
          <w:b/>
          <w:i w:val="0"/>
          <w:color w:val="64748B"/>
          <w:sz w:val="22"/>
        </w:rPr>
        <w:t>Limitations:</w:t>
      </w:r>
    </w:p>
    <w:p>
      <w:pPr>
        <w:spacing w:after="120"/>
        <w:jc w:val="left"/>
      </w:pPr>
      <w:r>
        <w:rPr>
          <w:rFonts w:ascii="Calibri" w:hAnsi="Calibri"/>
          <w:b w:val="0"/>
          <w:i/>
          <w:color w:val="64748B"/>
          <w:sz w:val="22"/>
        </w:rPr>
        <w:t>Fast (45ms), works without external data sources. Not effective against confident-but-wrong outputs.</w:t>
      </w:r>
    </w:p>
    <w:p>
      <w:pPr>
        <w:pStyle w:val="Heading2"/>
      </w:pPr>
      <w:r>
        <w:rPr>
          <w:color w:val="0066FF"/>
        </w:rPr>
        <w:t>5.2 Self-Consistency Checking</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Accuracy</w:t>
            </w:r>
          </w:p>
        </w:tc>
        <w:tc>
          <w:tcPr>
            <w:tcW w:type="dxa" w:w="2160"/>
            <w:shd w:val="clear" w:color="auto" w:fill="003388"/>
          </w:tcPr>
          <w:p>
            <w:pPr>
              <w:jc w:val="center"/>
            </w:pPr>
            <w:r>
              <w:rPr>
                <w:rFonts w:ascii="Calibri" w:hAnsi="Calibri"/>
                <w:b/>
                <w:color w:val="FFFFFF"/>
                <w:sz w:val="20"/>
              </w:rPr>
              <w:t>Latency</w:t>
            </w:r>
          </w:p>
        </w:tc>
        <w:tc>
          <w:tcPr>
            <w:tcW w:type="dxa" w:w="2160"/>
            <w:shd w:val="clear" w:color="auto" w:fill="003388"/>
          </w:tcPr>
          <w:p>
            <w:pPr>
              <w:jc w:val="center"/>
            </w:pPr>
            <w:r>
              <w:rPr>
                <w:rFonts w:ascii="Calibri" w:hAnsi="Calibri"/>
                <w:b/>
                <w:color w:val="FFFFFF"/>
                <w:sz w:val="20"/>
              </w:rPr>
              <w:t>Risk Tier</w:t>
            </w:r>
          </w:p>
        </w:tc>
      </w:tr>
      <w:tr>
        <w:tc>
          <w:tcPr>
            <w:tcW w:type="dxa" w:w="2160"/>
            <w:shd w:val="clear" w:color="auto" w:fill="FFFFFF"/>
          </w:tcPr>
          <w:p>
            <w:r>
              <w:rPr>
                <w:rFonts w:ascii="Calibri" w:hAnsi="Calibri"/>
                <w:sz w:val="20"/>
              </w:rPr>
              <w:t>82%</w:t>
            </w:r>
          </w:p>
        </w:tc>
        <w:tc>
          <w:tcPr>
            <w:tcW w:type="dxa" w:w="2160"/>
            <w:shd w:val="clear" w:color="auto" w:fill="FFFFFF"/>
          </w:tcPr>
          <w:p>
            <w:r>
              <w:rPr>
                <w:rFonts w:ascii="Calibri" w:hAnsi="Calibri"/>
                <w:sz w:val="20"/>
              </w:rPr>
              <w:t>120ms</w:t>
            </w:r>
          </w:p>
        </w:tc>
        <w:tc>
          <w:tcPr>
            <w:tcW w:type="dxa" w:w="2160"/>
            <w:shd w:val="clear" w:color="auto" w:fill="FFFFFF"/>
          </w:tcPr>
          <w:p>
            <w:r>
              <w:rPr>
                <w:rFonts w:ascii="Calibri" w:hAnsi="Calibri"/>
                <w:sz w:val="20"/>
              </w:rPr>
              <w:t>High</w:t>
            </w:r>
          </w:p>
        </w:tc>
      </w:tr>
    </w:tbl>
    <w:p/>
    <w:p>
      <w:pPr>
        <w:spacing w:after="120"/>
        <w:jc w:val="left"/>
      </w:pPr>
      <w:r>
        <w:rPr>
          <w:rFonts w:ascii="Calibri" w:hAnsi="Calibri"/>
          <w:b/>
          <w:i w:val="0"/>
          <w:color w:val="003388"/>
          <w:sz w:val="22"/>
        </w:rPr>
        <w:t>What it does:</w:t>
      </w:r>
    </w:p>
    <w:p>
      <w:pPr>
        <w:spacing w:after="120"/>
        <w:jc w:val="left"/>
      </w:pPr>
      <w:r>
        <w:rPr>
          <w:rFonts w:ascii="Calibri" w:hAnsi="Calibri"/>
          <w:b w:val="0"/>
          <w:i w:val="0"/>
          <w:sz w:val="22"/>
        </w:rPr>
        <w:t>Large language models produce non-deterministic outputs. The same question phrased differently, or asked at different temperatures, should produce semantically equivalent answers if the model truly 'knows' the answer. Self-consistency checking exploits this property to detect hallucinations.</w:t>
      </w:r>
    </w:p>
    <w:p>
      <w:pPr>
        <w:spacing w:after="120"/>
        <w:jc w:val="left"/>
      </w:pPr>
      <w:r>
        <w:rPr>
          <w:rFonts w:ascii="Calibri" w:hAnsi="Calibri"/>
          <w:b/>
          <w:i w:val="0"/>
          <w:color w:val="003388"/>
          <w:sz w:val="22"/>
        </w:rPr>
        <w:t>How it works:</w:t>
      </w:r>
    </w:p>
    <w:p>
      <w:pPr>
        <w:spacing w:after="120"/>
        <w:jc w:val="left"/>
      </w:pPr>
      <w:r>
        <w:rPr>
          <w:rFonts w:ascii="Calibri" w:hAnsi="Calibri"/>
          <w:b w:val="0"/>
          <w:i w:val="0"/>
          <w:sz w:val="22"/>
        </w:rPr>
        <w:t>Generates 3–5 paraphrased variants of the original query; submits each to the LLM; computes semantic similarity of responses using sentence embeddings; flags responses where the model contradicts itself across variants.</w:t>
      </w:r>
    </w:p>
    <w:p>
      <w:pPr>
        <w:spacing w:after="120"/>
        <w:jc w:val="left"/>
      </w:pPr>
      <w:r>
        <w:rPr>
          <w:rFonts w:ascii="Calibri" w:hAnsi="Calibri"/>
          <w:b/>
          <w:i w:val="0"/>
          <w:color w:val="003388"/>
          <w:sz w:val="22"/>
        </w:rPr>
        <w:t>Best for:</w:t>
      </w:r>
    </w:p>
    <w:p>
      <w:pPr>
        <w:spacing w:after="120"/>
        <w:jc w:val="left"/>
      </w:pPr>
      <w:r>
        <w:rPr>
          <w:rFonts w:ascii="Calibri" w:hAnsi="Calibri"/>
          <w:b w:val="0"/>
          <w:i w:val="0"/>
          <w:sz w:val="22"/>
        </w:rPr>
        <w:t>Logical contradictions, reasoning errors, context-dependent fabrication.</w:t>
      </w:r>
    </w:p>
    <w:p>
      <w:pPr>
        <w:spacing w:after="120"/>
        <w:jc w:val="left"/>
      </w:pPr>
      <w:r>
        <w:rPr>
          <w:rFonts w:ascii="Calibri" w:hAnsi="Calibri"/>
          <w:b/>
          <w:i w:val="0"/>
          <w:color w:val="64748B"/>
          <w:sz w:val="22"/>
        </w:rPr>
        <w:t>Limitations:</w:t>
      </w:r>
    </w:p>
    <w:p>
      <w:pPr>
        <w:spacing w:after="120"/>
        <w:jc w:val="left"/>
      </w:pPr>
      <w:r>
        <w:rPr>
          <w:rFonts w:ascii="Calibri" w:hAnsi="Calibri"/>
          <w:b w:val="0"/>
          <w:i/>
          <w:color w:val="64748B"/>
          <w:sz w:val="22"/>
        </w:rPr>
        <w:t>More computationally expensive (120ms); adds LLM API call overhead.</w:t>
      </w:r>
    </w:p>
    <w:p>
      <w:pPr>
        <w:pStyle w:val="Heading2"/>
      </w:pPr>
      <w:r>
        <w:rPr>
          <w:color w:val="0066FF"/>
        </w:rPr>
        <w:t>5.3 Source Citation Verification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Accuracy</w:t>
            </w:r>
          </w:p>
        </w:tc>
        <w:tc>
          <w:tcPr>
            <w:tcW w:type="dxa" w:w="2160"/>
            <w:shd w:val="clear" w:color="auto" w:fill="003388"/>
          </w:tcPr>
          <w:p>
            <w:pPr>
              <w:jc w:val="center"/>
            </w:pPr>
            <w:r>
              <w:rPr>
                <w:rFonts w:ascii="Calibri" w:hAnsi="Calibri"/>
                <w:b/>
                <w:color w:val="FFFFFF"/>
                <w:sz w:val="20"/>
              </w:rPr>
              <w:t>Latency</w:t>
            </w:r>
          </w:p>
        </w:tc>
        <w:tc>
          <w:tcPr>
            <w:tcW w:type="dxa" w:w="2160"/>
            <w:shd w:val="clear" w:color="auto" w:fill="003388"/>
          </w:tcPr>
          <w:p>
            <w:pPr>
              <w:jc w:val="center"/>
            </w:pPr>
            <w:r>
              <w:rPr>
                <w:rFonts w:ascii="Calibri" w:hAnsi="Calibri"/>
                <w:b/>
                <w:color w:val="FFFFFF"/>
                <w:sz w:val="20"/>
              </w:rPr>
              <w:t>Risk Tier</w:t>
            </w:r>
          </w:p>
        </w:tc>
      </w:tr>
      <w:tr>
        <w:tc>
          <w:tcPr>
            <w:tcW w:type="dxa" w:w="2160"/>
            <w:shd w:val="clear" w:color="auto" w:fill="FFFFFF"/>
          </w:tcPr>
          <w:p>
            <w:r>
              <w:rPr>
                <w:rFonts w:ascii="Calibri" w:hAnsi="Calibri"/>
                <w:sz w:val="20"/>
              </w:rPr>
              <w:t>95%</w:t>
            </w:r>
          </w:p>
        </w:tc>
        <w:tc>
          <w:tcPr>
            <w:tcW w:type="dxa" w:w="2160"/>
            <w:shd w:val="clear" w:color="auto" w:fill="FFFFFF"/>
          </w:tcPr>
          <w:p>
            <w:r>
              <w:rPr>
                <w:rFonts w:ascii="Calibri" w:hAnsi="Calibri"/>
                <w:sz w:val="20"/>
              </w:rPr>
              <w:t>200ms</w:t>
            </w:r>
          </w:p>
        </w:tc>
        <w:tc>
          <w:tcPr>
            <w:tcW w:type="dxa" w:w="2160"/>
            <w:shd w:val="clear" w:color="auto" w:fill="FFFFFF"/>
          </w:tcPr>
          <w:p>
            <w:r>
              <w:rPr>
                <w:rFonts w:ascii="Calibri" w:hAnsi="Calibri"/>
                <w:sz w:val="20"/>
              </w:rPr>
              <w:t>Critical</w:t>
            </w:r>
          </w:p>
        </w:tc>
      </w:tr>
    </w:tbl>
    <w:p/>
    <w:p>
      <w:pPr>
        <w:spacing w:after="120"/>
        <w:jc w:val="left"/>
      </w:pPr>
      <w:r>
        <w:rPr>
          <w:rFonts w:ascii="Calibri" w:hAnsi="Calibri"/>
          <w:b/>
          <w:i w:val="0"/>
          <w:color w:val="00B894"/>
          <w:sz w:val="22"/>
        </w:rPr>
        <w:t>What it does:</w:t>
      </w:r>
    </w:p>
    <w:p>
      <w:pPr>
        <w:spacing w:after="120"/>
        <w:jc w:val="left"/>
      </w:pPr>
      <w:r>
        <w:rPr>
          <w:rFonts w:ascii="Calibri" w:hAnsi="Calibri"/>
          <w:b w:val="0"/>
          <w:i w:val="0"/>
          <w:sz w:val="22"/>
        </w:rPr>
        <w:t>This technique directly addresses the most publicly documented form of AI hallucination: fabricated citations. Named entity recognition extracts all references to documents, cases, statutes, URLs, publications, and named sources. Each is then verified against authoritative databases in real-time.</w:t>
      </w:r>
    </w:p>
    <w:p>
      <w:pPr>
        <w:spacing w:after="120"/>
        <w:jc w:val="left"/>
      </w:pPr>
      <w:r>
        <w:rPr>
          <w:rFonts w:ascii="Calibri" w:hAnsi="Calibri"/>
          <w:b/>
          <w:i w:val="0"/>
          <w:color w:val="00B894"/>
          <w:sz w:val="22"/>
        </w:rPr>
        <w:t>How it works:</w:t>
      </w:r>
    </w:p>
    <w:p>
      <w:pPr>
        <w:spacing w:after="120"/>
        <w:jc w:val="left"/>
      </w:pPr>
      <w:r>
        <w:rPr>
          <w:rFonts w:ascii="Calibri" w:hAnsi="Calibri"/>
          <w:b w:val="0"/>
          <w:i w:val="0"/>
          <w:sz w:val="22"/>
        </w:rPr>
        <w:t>NER extracts citation entities; parallel lookups to Westlaw, LexisNexis, PubMed, CourtListener, Federal Register, CrossRef, and real-time URL resolution; unresolved citations trigger significant confidence reduction.</w:t>
      </w:r>
    </w:p>
    <w:p>
      <w:pPr>
        <w:spacing w:after="120"/>
        <w:jc w:val="left"/>
      </w:pPr>
      <w:r>
        <w:rPr>
          <w:rFonts w:ascii="Calibri" w:hAnsi="Calibri"/>
          <w:b/>
          <w:i w:val="0"/>
          <w:color w:val="00B894"/>
          <w:sz w:val="22"/>
        </w:rPr>
        <w:t>Best for:</w:t>
      </w:r>
    </w:p>
    <w:p>
      <w:pPr>
        <w:spacing w:after="120"/>
        <w:jc w:val="left"/>
      </w:pPr>
      <w:r>
        <w:rPr>
          <w:rFonts w:ascii="Calibri" w:hAnsi="Calibri"/>
          <w:b w:val="0"/>
          <w:i w:val="0"/>
          <w:sz w:val="22"/>
        </w:rPr>
        <w:t>Fabricated legal citations, non-existent academic papers, dead URLs, fake statutes.</w:t>
      </w:r>
    </w:p>
    <w:p>
      <w:pPr>
        <w:spacing w:after="120"/>
        <w:jc w:val="left"/>
      </w:pPr>
      <w:r>
        <w:rPr>
          <w:rFonts w:ascii="Calibri" w:hAnsi="Calibri"/>
          <w:b/>
          <w:i w:val="0"/>
          <w:color w:val="64748B"/>
          <w:sz w:val="22"/>
        </w:rPr>
        <w:t>Limitations:</w:t>
      </w:r>
    </w:p>
    <w:p>
      <w:pPr>
        <w:spacing w:after="120"/>
        <w:jc w:val="left"/>
      </w:pPr>
      <w:r>
        <w:rPr>
          <w:rFonts w:ascii="Calibri" w:hAnsi="Calibri"/>
          <w:b w:val="0"/>
          <w:i/>
          <w:color w:val="64748B"/>
          <w:sz w:val="22"/>
        </w:rPr>
        <w:t>Requires database API access; highest latency of the 8 techniques (200ms) due to external lookups.</w:t>
      </w:r>
    </w:p>
    <w:p>
      <w:pPr>
        <w:pStyle w:val="Heading2"/>
      </w:pPr>
      <w:r>
        <w:rPr>
          <w:color w:val="0066FF"/>
        </w:rPr>
        <w:t>5.4 Enterprise Knowledge Grounding</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Accuracy</w:t>
            </w:r>
          </w:p>
        </w:tc>
        <w:tc>
          <w:tcPr>
            <w:tcW w:type="dxa" w:w="2160"/>
            <w:shd w:val="clear" w:color="auto" w:fill="003388"/>
          </w:tcPr>
          <w:p>
            <w:pPr>
              <w:jc w:val="center"/>
            </w:pPr>
            <w:r>
              <w:rPr>
                <w:rFonts w:ascii="Calibri" w:hAnsi="Calibri"/>
                <w:b/>
                <w:color w:val="FFFFFF"/>
                <w:sz w:val="20"/>
              </w:rPr>
              <w:t>Latency</w:t>
            </w:r>
          </w:p>
        </w:tc>
        <w:tc>
          <w:tcPr>
            <w:tcW w:type="dxa" w:w="2160"/>
            <w:shd w:val="clear" w:color="auto" w:fill="003388"/>
          </w:tcPr>
          <w:p>
            <w:pPr>
              <w:jc w:val="center"/>
            </w:pPr>
            <w:r>
              <w:rPr>
                <w:rFonts w:ascii="Calibri" w:hAnsi="Calibri"/>
                <w:b/>
                <w:color w:val="FFFFFF"/>
                <w:sz w:val="20"/>
              </w:rPr>
              <w:t>Risk Tier</w:t>
            </w:r>
          </w:p>
        </w:tc>
      </w:tr>
      <w:tr>
        <w:tc>
          <w:tcPr>
            <w:tcW w:type="dxa" w:w="2160"/>
            <w:shd w:val="clear" w:color="auto" w:fill="FFFFFF"/>
          </w:tcPr>
          <w:p>
            <w:r>
              <w:rPr>
                <w:rFonts w:ascii="Calibri" w:hAnsi="Calibri"/>
                <w:sz w:val="20"/>
              </w:rPr>
              <w:t>98%</w:t>
            </w:r>
          </w:p>
        </w:tc>
        <w:tc>
          <w:tcPr>
            <w:tcW w:type="dxa" w:w="2160"/>
            <w:shd w:val="clear" w:color="auto" w:fill="FFFFFF"/>
          </w:tcPr>
          <w:p>
            <w:r>
              <w:rPr>
                <w:rFonts w:ascii="Calibri" w:hAnsi="Calibri"/>
                <w:sz w:val="20"/>
              </w:rPr>
              <w:t>150ms</w:t>
            </w:r>
          </w:p>
        </w:tc>
        <w:tc>
          <w:tcPr>
            <w:tcW w:type="dxa" w:w="2160"/>
            <w:shd w:val="clear" w:color="auto" w:fill="FFFFFF"/>
          </w:tcPr>
          <w:p>
            <w:r>
              <w:rPr>
                <w:rFonts w:ascii="Calibri" w:hAnsi="Calibri"/>
                <w:sz w:val="20"/>
              </w:rPr>
              <w:t>Critical</w:t>
            </w:r>
          </w:p>
        </w:tc>
      </w:tr>
    </w:tbl>
    <w:p/>
    <w:p>
      <w:pPr>
        <w:spacing w:after="120"/>
        <w:jc w:val="left"/>
      </w:pPr>
      <w:r>
        <w:rPr>
          <w:rFonts w:ascii="Calibri" w:hAnsi="Calibri"/>
          <w:b/>
          <w:i w:val="0"/>
          <w:color w:val="27AE60"/>
          <w:sz w:val="22"/>
        </w:rPr>
        <w:t>What it does:</w:t>
      </w:r>
    </w:p>
    <w:p>
      <w:pPr>
        <w:spacing w:after="120"/>
        <w:jc w:val="left"/>
      </w:pPr>
      <w:r>
        <w:rPr>
          <w:rFonts w:ascii="Calibri" w:hAnsi="Calibri"/>
          <w:b w:val="0"/>
          <w:i w:val="0"/>
          <w:sz w:val="22"/>
        </w:rPr>
        <w:t>Enterprise grounding is TrustLayer's highest-accuracy and highest-value technique. Rather than relying on probabilistic assessments, it performs ground-truth verification of factual claims against authoritative enterprise data sources.</w:t>
      </w:r>
    </w:p>
    <w:p>
      <w:pPr>
        <w:spacing w:after="120"/>
        <w:jc w:val="left"/>
      </w:pPr>
      <w:r>
        <w:rPr>
          <w:rFonts w:ascii="Calibri" w:hAnsi="Calibri"/>
          <w:b/>
          <w:i w:val="0"/>
          <w:color w:val="27AE60"/>
          <w:sz w:val="22"/>
        </w:rPr>
        <w:t>How it works:</w:t>
      </w:r>
    </w:p>
    <w:p>
      <w:pPr>
        <w:spacing w:after="120"/>
        <w:jc w:val="left"/>
      </w:pPr>
      <w:r>
        <w:rPr>
          <w:rFonts w:ascii="Calibri" w:hAnsi="Calibri"/>
          <w:b w:val="0"/>
          <w:i w:val="0"/>
          <w:sz w:val="22"/>
        </w:rPr>
        <w:t>Claim extraction identifies verifiable factual assertions (prices, rates, policies, product specs, personnel, inventory); each claim is mapped to the relevant enterprise data source connector; real-time API call to CRM/ERP/policy DB; mismatches immediately reduce confidence score.</w:t>
      </w:r>
    </w:p>
    <w:p>
      <w:pPr>
        <w:spacing w:after="120"/>
        <w:jc w:val="left"/>
      </w:pPr>
      <w:r>
        <w:rPr>
          <w:rFonts w:ascii="Calibri" w:hAnsi="Calibri"/>
          <w:b/>
          <w:i w:val="0"/>
          <w:color w:val="27AE60"/>
          <w:sz w:val="22"/>
        </w:rPr>
        <w:t>Best for:</w:t>
      </w:r>
    </w:p>
    <w:p>
      <w:pPr>
        <w:spacing w:after="120"/>
        <w:jc w:val="left"/>
      </w:pPr>
      <w:r>
        <w:rPr>
          <w:rFonts w:ascii="Calibri" w:hAnsi="Calibri"/>
          <w:b w:val="0"/>
          <w:i w:val="0"/>
          <w:sz w:val="22"/>
        </w:rPr>
        <w:t>Claims contradicting live enterprise data — wrong product prices, fake promotions, incorrect policy statements, outdated personnel information.</w:t>
      </w:r>
    </w:p>
    <w:p>
      <w:pPr>
        <w:spacing w:after="120"/>
        <w:jc w:val="left"/>
      </w:pPr>
      <w:r>
        <w:rPr>
          <w:rFonts w:ascii="Calibri" w:hAnsi="Calibri"/>
          <w:b/>
          <w:i w:val="0"/>
          <w:color w:val="64748B"/>
          <w:sz w:val="22"/>
        </w:rPr>
        <w:t>Limitations:</w:t>
      </w:r>
    </w:p>
    <w:p>
      <w:pPr>
        <w:spacing w:after="120"/>
        <w:jc w:val="left"/>
      </w:pPr>
      <w:r>
        <w:rPr>
          <w:rFonts w:ascii="Calibri" w:hAnsi="Calibri"/>
          <w:b w:val="0"/>
          <w:i/>
          <w:color w:val="64748B"/>
          <w:sz w:val="22"/>
        </w:rPr>
        <w:t>Requires enterprise connector configuration; most powerful when grounding sources are comprehensive.</w:t>
      </w:r>
    </w:p>
    <w:p>
      <w:pPr>
        <w:pStyle w:val="Heading2"/>
      </w:pPr>
      <w:r>
        <w:rPr>
          <w:color w:val="0066FF"/>
        </w:rPr>
        <w:t>5.5 Claim Extraction &amp; Classification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Accuracy</w:t>
            </w:r>
          </w:p>
        </w:tc>
        <w:tc>
          <w:tcPr>
            <w:tcW w:type="dxa" w:w="2160"/>
            <w:shd w:val="clear" w:color="auto" w:fill="003388"/>
          </w:tcPr>
          <w:p>
            <w:pPr>
              <w:jc w:val="center"/>
            </w:pPr>
            <w:r>
              <w:rPr>
                <w:rFonts w:ascii="Calibri" w:hAnsi="Calibri"/>
                <w:b/>
                <w:color w:val="FFFFFF"/>
                <w:sz w:val="20"/>
              </w:rPr>
              <w:t>Latency</w:t>
            </w:r>
          </w:p>
        </w:tc>
        <w:tc>
          <w:tcPr>
            <w:tcW w:type="dxa" w:w="2160"/>
            <w:shd w:val="clear" w:color="auto" w:fill="003388"/>
          </w:tcPr>
          <w:p>
            <w:pPr>
              <w:jc w:val="center"/>
            </w:pPr>
            <w:r>
              <w:rPr>
                <w:rFonts w:ascii="Calibri" w:hAnsi="Calibri"/>
                <w:b/>
                <w:color w:val="FFFFFF"/>
                <w:sz w:val="20"/>
              </w:rPr>
              <w:t>Risk Tier</w:t>
            </w:r>
          </w:p>
        </w:tc>
      </w:tr>
      <w:tr>
        <w:tc>
          <w:tcPr>
            <w:tcW w:type="dxa" w:w="2160"/>
            <w:shd w:val="clear" w:color="auto" w:fill="FFFFFF"/>
          </w:tcPr>
          <w:p>
            <w:r>
              <w:rPr>
                <w:rFonts w:ascii="Calibri" w:hAnsi="Calibri"/>
                <w:sz w:val="20"/>
              </w:rPr>
              <w:t>91%</w:t>
            </w:r>
          </w:p>
        </w:tc>
        <w:tc>
          <w:tcPr>
            <w:tcW w:type="dxa" w:w="2160"/>
            <w:shd w:val="clear" w:color="auto" w:fill="FFFFFF"/>
          </w:tcPr>
          <w:p>
            <w:r>
              <w:rPr>
                <w:rFonts w:ascii="Calibri" w:hAnsi="Calibri"/>
                <w:sz w:val="20"/>
              </w:rPr>
              <w:t>35ms</w:t>
            </w:r>
          </w:p>
        </w:tc>
        <w:tc>
          <w:tcPr>
            <w:tcW w:type="dxa" w:w="2160"/>
            <w:shd w:val="clear" w:color="auto" w:fill="FFFFFF"/>
          </w:tcPr>
          <w:p>
            <w:r>
              <w:rPr>
                <w:rFonts w:ascii="Calibri" w:hAnsi="Calibri"/>
                <w:sz w:val="20"/>
              </w:rPr>
              <w:t>Critical</w:t>
            </w:r>
          </w:p>
        </w:tc>
      </w:tr>
    </w:tbl>
    <w:p/>
    <w:p>
      <w:pPr>
        <w:spacing w:after="120"/>
        <w:jc w:val="left"/>
      </w:pPr>
      <w:r>
        <w:rPr>
          <w:rFonts w:ascii="Calibri" w:hAnsi="Calibri"/>
          <w:b/>
          <w:i w:val="0"/>
          <w:color w:val="F39C12"/>
          <w:sz w:val="22"/>
        </w:rPr>
        <w:t>What it does:</w:t>
      </w:r>
    </w:p>
    <w:p>
      <w:pPr>
        <w:spacing w:after="120"/>
        <w:jc w:val="left"/>
      </w:pPr>
      <w:r>
        <w:rPr>
          <w:rFonts w:ascii="Calibri" w:hAnsi="Calibri"/>
          <w:b w:val="0"/>
          <w:i w:val="0"/>
          <w:sz w:val="22"/>
        </w:rPr>
        <w:t>This technique focuses on identifying what type of claims the AI response contains and classifying them by inherent risk level. Different claim types carry different base risk weights before any verification.</w:t>
      </w:r>
    </w:p>
    <w:p>
      <w:pPr>
        <w:spacing w:after="120"/>
        <w:jc w:val="left"/>
      </w:pPr>
      <w:r>
        <w:rPr>
          <w:rFonts w:ascii="Calibri" w:hAnsi="Calibri"/>
          <w:b/>
          <w:i w:val="0"/>
          <w:color w:val="F39C12"/>
          <w:sz w:val="22"/>
        </w:rPr>
        <w:t>How it works:</w:t>
      </w:r>
    </w:p>
    <w:p>
      <w:pPr>
        <w:spacing w:after="120"/>
        <w:jc w:val="left"/>
      </w:pPr>
      <w:r>
        <w:rPr>
          <w:rFonts w:ascii="Calibri" w:hAnsi="Calibri"/>
          <w:b w:val="0"/>
          <w:i w:val="0"/>
          <w:sz w:val="22"/>
        </w:rPr>
        <w:t>NLP pipeline extracts all assertive statements; a fine-tuned classifier categorizes each claim as: Numerical (rates, dosages, dates, amounts), Legal determination, Medical recommendation, Financial guarantee, or Policy interpretation; high-risk claim categories trigger mandatory secondary verification.</w:t>
      </w:r>
    </w:p>
    <w:p>
      <w:pPr>
        <w:spacing w:after="120"/>
        <w:jc w:val="left"/>
      </w:pPr>
      <w:r>
        <w:rPr>
          <w:rFonts w:ascii="Calibri" w:hAnsi="Calibri"/>
          <w:b/>
          <w:i w:val="0"/>
          <w:color w:val="F39C12"/>
          <w:sz w:val="22"/>
        </w:rPr>
        <w:t>Best for:</w:t>
      </w:r>
    </w:p>
    <w:p>
      <w:pPr>
        <w:spacing w:after="120"/>
        <w:jc w:val="left"/>
      </w:pPr>
      <w:r>
        <w:rPr>
          <w:rFonts w:ascii="Calibri" w:hAnsi="Calibri"/>
          <w:b w:val="0"/>
          <w:i w:val="0"/>
          <w:sz w:val="22"/>
        </w:rPr>
        <w:t>Rapid risk triage; identification of which claims need deepest verification.</w:t>
      </w:r>
    </w:p>
    <w:p>
      <w:pPr>
        <w:spacing w:after="120"/>
        <w:jc w:val="left"/>
      </w:pPr>
      <w:r>
        <w:rPr>
          <w:rFonts w:ascii="Calibri" w:hAnsi="Calibri"/>
          <w:b/>
          <w:i w:val="0"/>
          <w:color w:val="64748B"/>
          <w:sz w:val="22"/>
        </w:rPr>
        <w:t>Limitations:</w:t>
      </w:r>
    </w:p>
    <w:p>
      <w:pPr>
        <w:spacing w:after="120"/>
        <w:jc w:val="left"/>
      </w:pPr>
      <w:r>
        <w:rPr>
          <w:rFonts w:ascii="Calibri" w:hAnsi="Calibri"/>
          <w:b w:val="0"/>
          <w:i/>
          <w:color w:val="64748B"/>
          <w:sz w:val="22"/>
        </w:rPr>
        <w:t>Fast (35ms); acts as an intelligent triage layer for other techniques.</w:t>
      </w:r>
    </w:p>
    <w:p>
      <w:pPr>
        <w:pStyle w:val="Heading2"/>
      </w:pPr>
      <w:r>
        <w:rPr>
          <w:color w:val="0066FF"/>
        </w:rPr>
        <w:t>5.6 Hallucination Pattern Recognition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Accuracy</w:t>
            </w:r>
          </w:p>
        </w:tc>
        <w:tc>
          <w:tcPr>
            <w:tcW w:type="dxa" w:w="2160"/>
            <w:shd w:val="clear" w:color="auto" w:fill="003388"/>
          </w:tcPr>
          <w:p>
            <w:pPr>
              <w:jc w:val="center"/>
            </w:pPr>
            <w:r>
              <w:rPr>
                <w:rFonts w:ascii="Calibri" w:hAnsi="Calibri"/>
                <w:b/>
                <w:color w:val="FFFFFF"/>
                <w:sz w:val="20"/>
              </w:rPr>
              <w:t>Latency</w:t>
            </w:r>
          </w:p>
        </w:tc>
        <w:tc>
          <w:tcPr>
            <w:tcW w:type="dxa" w:w="2160"/>
            <w:shd w:val="clear" w:color="auto" w:fill="003388"/>
          </w:tcPr>
          <w:p>
            <w:pPr>
              <w:jc w:val="center"/>
            </w:pPr>
            <w:r>
              <w:rPr>
                <w:rFonts w:ascii="Calibri" w:hAnsi="Calibri"/>
                <w:b/>
                <w:color w:val="FFFFFF"/>
                <w:sz w:val="20"/>
              </w:rPr>
              <w:t>Risk Tier</w:t>
            </w:r>
          </w:p>
        </w:tc>
      </w:tr>
      <w:tr>
        <w:tc>
          <w:tcPr>
            <w:tcW w:type="dxa" w:w="2160"/>
            <w:shd w:val="clear" w:color="auto" w:fill="FFFFFF"/>
          </w:tcPr>
          <w:p>
            <w:r>
              <w:rPr>
                <w:rFonts w:ascii="Calibri" w:hAnsi="Calibri"/>
                <w:sz w:val="20"/>
              </w:rPr>
              <w:t>79%</w:t>
            </w:r>
          </w:p>
        </w:tc>
        <w:tc>
          <w:tcPr>
            <w:tcW w:type="dxa" w:w="2160"/>
            <w:shd w:val="clear" w:color="auto" w:fill="FFFFFF"/>
          </w:tcPr>
          <w:p>
            <w:r>
              <w:rPr>
                <w:rFonts w:ascii="Calibri" w:hAnsi="Calibri"/>
                <w:sz w:val="20"/>
              </w:rPr>
              <w:t>25ms</w:t>
            </w:r>
          </w:p>
        </w:tc>
        <w:tc>
          <w:tcPr>
            <w:tcW w:type="dxa" w:w="2160"/>
            <w:shd w:val="clear" w:color="auto" w:fill="FFFFFF"/>
          </w:tcPr>
          <w:p>
            <w:r>
              <w:rPr>
                <w:rFonts w:ascii="Calibri" w:hAnsi="Calibri"/>
                <w:sz w:val="20"/>
              </w:rPr>
              <w:t>High</w:t>
            </w:r>
          </w:p>
        </w:tc>
      </w:tr>
    </w:tbl>
    <w:p/>
    <w:p>
      <w:pPr>
        <w:spacing w:after="120"/>
        <w:jc w:val="left"/>
      </w:pPr>
      <w:r>
        <w:rPr>
          <w:rFonts w:ascii="Calibri" w:hAnsi="Calibri"/>
          <w:b/>
          <w:i w:val="0"/>
          <w:color w:val="8E44AD"/>
          <w:sz w:val="22"/>
        </w:rPr>
        <w:t>What it does:</w:t>
      </w:r>
    </w:p>
    <w:p>
      <w:pPr>
        <w:spacing w:after="120"/>
        <w:jc w:val="left"/>
      </w:pPr>
      <w:r>
        <w:rPr>
          <w:rFonts w:ascii="Calibri" w:hAnsi="Calibri"/>
          <w:b w:val="0"/>
          <w:i w:val="0"/>
          <w:sz w:val="22"/>
        </w:rPr>
        <w:t>This technique uses a machine learning classifier trained on a curated dataset of documented AI hallucinations across industries. The classifier learns linguistic patterns, structural features, and domain-specific signatures that correlate with hallucinated content.</w:t>
      </w:r>
    </w:p>
    <w:p>
      <w:pPr>
        <w:spacing w:after="120"/>
        <w:jc w:val="left"/>
      </w:pPr>
      <w:r>
        <w:rPr>
          <w:rFonts w:ascii="Calibri" w:hAnsi="Calibri"/>
          <w:b/>
          <w:i w:val="0"/>
          <w:color w:val="8E44AD"/>
          <w:sz w:val="22"/>
        </w:rPr>
        <w:t>How it works:</w:t>
      </w:r>
    </w:p>
    <w:p>
      <w:pPr>
        <w:spacing w:after="120"/>
        <w:jc w:val="left"/>
      </w:pPr>
      <w:r>
        <w:rPr>
          <w:rFonts w:ascii="Calibri" w:hAnsi="Calibri"/>
          <w:b w:val="0"/>
          <w:i w:val="0"/>
          <w:sz w:val="22"/>
        </w:rPr>
        <w:t>Response text is vectorized and passed through a fine-tuned RoBERTa classifier; model trained on 50,000+ documented hallucination examples across 8 industries; updated monthly as new failure patterns are identified.</w:t>
      </w:r>
    </w:p>
    <w:p>
      <w:pPr>
        <w:spacing w:after="120"/>
        <w:jc w:val="left"/>
      </w:pPr>
      <w:r>
        <w:rPr>
          <w:rFonts w:ascii="Calibri" w:hAnsi="Calibri"/>
          <w:b/>
          <w:i w:val="0"/>
          <w:color w:val="8E44AD"/>
          <w:sz w:val="22"/>
        </w:rPr>
        <w:t>Best for:</w:t>
      </w:r>
    </w:p>
    <w:p>
      <w:pPr>
        <w:spacing w:after="120"/>
        <w:jc w:val="left"/>
      </w:pPr>
      <w:r>
        <w:rPr>
          <w:rFonts w:ascii="Calibri" w:hAnsi="Calibri"/>
          <w:b w:val="0"/>
          <w:i w:val="0"/>
          <w:sz w:val="22"/>
        </w:rPr>
        <w:t>Known hallucination patterns — confidently stated impossibilities, statistically unlikely numerical combinations, structural signatures of fabricated citations.</w:t>
      </w:r>
    </w:p>
    <w:p>
      <w:pPr>
        <w:spacing w:after="120"/>
        <w:jc w:val="left"/>
      </w:pPr>
      <w:r>
        <w:rPr>
          <w:rFonts w:ascii="Calibri" w:hAnsi="Calibri"/>
          <w:b/>
          <w:i w:val="0"/>
          <w:color w:val="64748B"/>
          <w:sz w:val="22"/>
        </w:rPr>
        <w:t>Limitations:</w:t>
      </w:r>
    </w:p>
    <w:p>
      <w:pPr>
        <w:spacing w:after="120"/>
        <w:jc w:val="left"/>
      </w:pPr>
      <w:r>
        <w:rPr>
          <w:rFonts w:ascii="Calibri" w:hAnsi="Calibri"/>
          <w:b w:val="0"/>
          <w:i/>
          <w:color w:val="64748B"/>
          <w:sz w:val="22"/>
        </w:rPr>
        <w:t>Fastest technique (25ms); lowest accuracy (79%); best used as first-pass filter.</w:t>
      </w:r>
    </w:p>
    <w:p>
      <w:pPr>
        <w:pStyle w:val="Heading2"/>
      </w:pPr>
      <w:r>
        <w:rPr>
          <w:color w:val="0066FF"/>
        </w:rPr>
        <w:t>5.7 Temporal Consistency Checking</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Accuracy</w:t>
            </w:r>
          </w:p>
        </w:tc>
        <w:tc>
          <w:tcPr>
            <w:tcW w:type="dxa" w:w="2160"/>
            <w:shd w:val="clear" w:color="auto" w:fill="003388"/>
          </w:tcPr>
          <w:p>
            <w:pPr>
              <w:jc w:val="center"/>
            </w:pPr>
            <w:r>
              <w:rPr>
                <w:rFonts w:ascii="Calibri" w:hAnsi="Calibri"/>
                <w:b/>
                <w:color w:val="FFFFFF"/>
                <w:sz w:val="20"/>
              </w:rPr>
              <w:t>Latency</w:t>
            </w:r>
          </w:p>
        </w:tc>
        <w:tc>
          <w:tcPr>
            <w:tcW w:type="dxa" w:w="2160"/>
            <w:shd w:val="clear" w:color="auto" w:fill="003388"/>
          </w:tcPr>
          <w:p>
            <w:pPr>
              <w:jc w:val="center"/>
            </w:pPr>
            <w:r>
              <w:rPr>
                <w:rFonts w:ascii="Calibri" w:hAnsi="Calibri"/>
                <w:b/>
                <w:color w:val="FFFFFF"/>
                <w:sz w:val="20"/>
              </w:rPr>
              <w:t>Risk Tier</w:t>
            </w:r>
          </w:p>
        </w:tc>
      </w:tr>
      <w:tr>
        <w:tc>
          <w:tcPr>
            <w:tcW w:type="dxa" w:w="2160"/>
            <w:shd w:val="clear" w:color="auto" w:fill="FFFFFF"/>
          </w:tcPr>
          <w:p>
            <w:r>
              <w:rPr>
                <w:rFonts w:ascii="Calibri" w:hAnsi="Calibri"/>
                <w:sz w:val="20"/>
              </w:rPr>
              <w:t>93%</w:t>
            </w:r>
          </w:p>
        </w:tc>
        <w:tc>
          <w:tcPr>
            <w:tcW w:type="dxa" w:w="2160"/>
            <w:shd w:val="clear" w:color="auto" w:fill="FFFFFF"/>
          </w:tcPr>
          <w:p>
            <w:r>
              <w:rPr>
                <w:rFonts w:ascii="Calibri" w:hAnsi="Calibri"/>
                <w:sz w:val="20"/>
              </w:rPr>
              <w:t>40ms</w:t>
            </w:r>
          </w:p>
        </w:tc>
        <w:tc>
          <w:tcPr>
            <w:tcW w:type="dxa" w:w="2160"/>
            <w:shd w:val="clear" w:color="auto" w:fill="FFFFFF"/>
          </w:tcPr>
          <w:p>
            <w:r>
              <w:rPr>
                <w:rFonts w:ascii="Calibri" w:hAnsi="Calibri"/>
                <w:sz w:val="20"/>
              </w:rPr>
              <w:t>Critical</w:t>
            </w:r>
          </w:p>
        </w:tc>
      </w:tr>
    </w:tbl>
    <w:p/>
    <w:p>
      <w:pPr>
        <w:spacing w:after="120"/>
        <w:jc w:val="left"/>
      </w:pPr>
      <w:r>
        <w:rPr>
          <w:rFonts w:ascii="Calibri" w:hAnsi="Calibri"/>
          <w:b/>
          <w:i w:val="0"/>
          <w:color w:val="0066FF"/>
          <w:sz w:val="22"/>
        </w:rPr>
        <w:t>What it does:</w:t>
      </w:r>
    </w:p>
    <w:p>
      <w:pPr>
        <w:spacing w:after="120"/>
        <w:jc w:val="left"/>
      </w:pPr>
      <w:r>
        <w:rPr>
          <w:rFonts w:ascii="Calibri" w:hAnsi="Calibri"/>
          <w:b w:val="0"/>
          <w:i w:val="0"/>
          <w:sz w:val="22"/>
        </w:rPr>
        <w:t>AI models have a training data cutoff date and no real-time awareness. When they make claims about current conditions — interest rates, regulatory status, product availability, legal precedents — those claims may be outdated or simply wrong because the model is extrapolating from historical patterns.</w:t>
      </w:r>
    </w:p>
    <w:p>
      <w:pPr>
        <w:spacing w:after="120"/>
        <w:jc w:val="left"/>
      </w:pPr>
      <w:r>
        <w:rPr>
          <w:rFonts w:ascii="Calibri" w:hAnsi="Calibri"/>
          <w:b/>
          <w:i w:val="0"/>
          <w:color w:val="0066FF"/>
          <w:sz w:val="22"/>
        </w:rPr>
        <w:t>How it works:</w:t>
      </w:r>
    </w:p>
    <w:p>
      <w:pPr>
        <w:spacing w:after="120"/>
        <w:jc w:val="left"/>
      </w:pPr>
      <w:r>
        <w:rPr>
          <w:rFonts w:ascii="Calibri" w:hAnsi="Calibri"/>
          <w:b w:val="0"/>
          <w:i w:val="0"/>
          <w:sz w:val="22"/>
        </w:rPr>
        <w:t>Identifies all temporal claims (rates, regulations, product status, personnel); cross-references against real-time data feeds (market data APIs, regulatory update databases, news indexes); flags claims that contradict real-time reality.</w:t>
      </w:r>
    </w:p>
    <w:p>
      <w:pPr>
        <w:spacing w:after="120"/>
        <w:jc w:val="left"/>
      </w:pPr>
      <w:r>
        <w:rPr>
          <w:rFonts w:ascii="Calibri" w:hAnsi="Calibri"/>
          <w:b/>
          <w:i w:val="0"/>
          <w:color w:val="0066FF"/>
          <w:sz w:val="22"/>
        </w:rPr>
        <w:t>Best for:</w:t>
      </w:r>
    </w:p>
    <w:p>
      <w:pPr>
        <w:spacing w:after="120"/>
        <w:jc w:val="left"/>
      </w:pPr>
      <w:r>
        <w:rPr>
          <w:rFonts w:ascii="Calibri" w:hAnsi="Calibri"/>
          <w:b w:val="0"/>
          <w:i w:val="0"/>
          <w:sz w:val="22"/>
        </w:rPr>
        <w:t>Outdated financial rates, expired regulations, changed product availability, superseded legal rulings.</w:t>
      </w:r>
    </w:p>
    <w:p>
      <w:pPr>
        <w:spacing w:after="120"/>
        <w:jc w:val="left"/>
      </w:pPr>
      <w:r>
        <w:rPr>
          <w:rFonts w:ascii="Calibri" w:hAnsi="Calibri"/>
          <w:b/>
          <w:i w:val="0"/>
          <w:color w:val="64748B"/>
          <w:sz w:val="22"/>
        </w:rPr>
        <w:t>Limitations:</w:t>
      </w:r>
    </w:p>
    <w:p>
      <w:pPr>
        <w:spacing w:after="120"/>
        <w:jc w:val="left"/>
      </w:pPr>
      <w:r>
        <w:rPr>
          <w:rFonts w:ascii="Calibri" w:hAnsi="Calibri"/>
          <w:b w:val="0"/>
          <w:i/>
          <w:color w:val="64748B"/>
          <w:sz w:val="22"/>
        </w:rPr>
        <w:t>Requires real-time data feed integrations; high accuracy (93%) for time-sensitive domains.</w:t>
      </w:r>
    </w:p>
    <w:p>
      <w:pPr>
        <w:pStyle w:val="Heading2"/>
      </w:pPr>
      <w:r>
        <w:rPr>
          <w:color w:val="0066FF"/>
        </w:rPr>
        <w:t>5.8 Numerical Claim Validation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Accuracy</w:t>
            </w:r>
          </w:p>
        </w:tc>
        <w:tc>
          <w:tcPr>
            <w:tcW w:type="dxa" w:w="2160"/>
            <w:shd w:val="clear" w:color="auto" w:fill="003388"/>
          </w:tcPr>
          <w:p>
            <w:pPr>
              <w:jc w:val="center"/>
            </w:pPr>
            <w:r>
              <w:rPr>
                <w:rFonts w:ascii="Calibri" w:hAnsi="Calibri"/>
                <w:b/>
                <w:color w:val="FFFFFF"/>
                <w:sz w:val="20"/>
              </w:rPr>
              <w:t>Latency</w:t>
            </w:r>
          </w:p>
        </w:tc>
        <w:tc>
          <w:tcPr>
            <w:tcW w:type="dxa" w:w="2160"/>
            <w:shd w:val="clear" w:color="auto" w:fill="003388"/>
          </w:tcPr>
          <w:p>
            <w:pPr>
              <w:jc w:val="center"/>
            </w:pPr>
            <w:r>
              <w:rPr>
                <w:rFonts w:ascii="Calibri" w:hAnsi="Calibri"/>
                <w:b/>
                <w:color w:val="FFFFFF"/>
                <w:sz w:val="20"/>
              </w:rPr>
              <w:t>Risk Tier</w:t>
            </w:r>
          </w:p>
        </w:tc>
      </w:tr>
      <w:tr>
        <w:tc>
          <w:tcPr>
            <w:tcW w:type="dxa" w:w="2160"/>
            <w:shd w:val="clear" w:color="auto" w:fill="FFFFFF"/>
          </w:tcPr>
          <w:p>
            <w:r>
              <w:rPr>
                <w:rFonts w:ascii="Calibri" w:hAnsi="Calibri"/>
                <w:sz w:val="20"/>
              </w:rPr>
              <w:t>96%</w:t>
            </w:r>
          </w:p>
        </w:tc>
        <w:tc>
          <w:tcPr>
            <w:tcW w:type="dxa" w:w="2160"/>
            <w:shd w:val="clear" w:color="auto" w:fill="FFFFFF"/>
          </w:tcPr>
          <w:p>
            <w:r>
              <w:rPr>
                <w:rFonts w:ascii="Calibri" w:hAnsi="Calibri"/>
                <w:sz w:val="20"/>
              </w:rPr>
              <w:t>80ms</w:t>
            </w:r>
          </w:p>
        </w:tc>
        <w:tc>
          <w:tcPr>
            <w:tcW w:type="dxa" w:w="2160"/>
            <w:shd w:val="clear" w:color="auto" w:fill="FFFFFF"/>
          </w:tcPr>
          <w:p>
            <w:r>
              <w:rPr>
                <w:rFonts w:ascii="Calibri" w:hAnsi="Calibri"/>
                <w:sz w:val="20"/>
              </w:rPr>
              <w:t>Critical</w:t>
            </w:r>
          </w:p>
        </w:tc>
      </w:tr>
    </w:tbl>
    <w:p/>
    <w:p>
      <w:pPr>
        <w:spacing w:after="120"/>
        <w:jc w:val="left"/>
      </w:pPr>
      <w:r>
        <w:rPr>
          <w:rFonts w:ascii="Calibri" w:hAnsi="Calibri"/>
          <w:b/>
          <w:i w:val="0"/>
          <w:color w:val="E74C3C"/>
          <w:sz w:val="22"/>
        </w:rPr>
        <w:t>What it does:</w:t>
      </w:r>
    </w:p>
    <w:p>
      <w:pPr>
        <w:spacing w:after="120"/>
        <w:jc w:val="left"/>
      </w:pPr>
      <w:r>
        <w:rPr>
          <w:rFonts w:ascii="Calibri" w:hAnsi="Calibri"/>
          <w:b w:val="0"/>
          <w:i w:val="0"/>
          <w:sz w:val="22"/>
        </w:rPr>
        <w:t>Numerical claims are disproportionately dangerous when wrong — wrong drug dosages harm patients, wrong interest rates create regulatory violations, wrong load limits cause engineering failures. This technique focuses specifically on numerical assertion accuracy.</w:t>
      </w:r>
    </w:p>
    <w:p>
      <w:pPr>
        <w:spacing w:after="120"/>
        <w:jc w:val="left"/>
      </w:pPr>
      <w:r>
        <w:rPr>
          <w:rFonts w:ascii="Calibri" w:hAnsi="Calibri"/>
          <w:b/>
          <w:i w:val="0"/>
          <w:color w:val="E74C3C"/>
          <w:sz w:val="22"/>
        </w:rPr>
        <w:t>How it works:</w:t>
      </w:r>
    </w:p>
    <w:p>
      <w:pPr>
        <w:spacing w:after="120"/>
        <w:jc w:val="left"/>
      </w:pPr>
      <w:r>
        <w:rPr>
          <w:rFonts w:ascii="Calibri" w:hAnsi="Calibri"/>
          <w:b w:val="0"/>
          <w:i w:val="0"/>
          <w:sz w:val="22"/>
        </w:rPr>
        <w:t>Regex and NER pipeline extracts all numerical values with context; each is mapped to a claim type (dosage → FDA DB, rate → pricing feed, specification → product DB); numerical values validated against authoritative ranges and exact values.</w:t>
      </w:r>
    </w:p>
    <w:p>
      <w:pPr>
        <w:spacing w:after="120"/>
        <w:jc w:val="left"/>
      </w:pPr>
      <w:r>
        <w:rPr>
          <w:rFonts w:ascii="Calibri" w:hAnsi="Calibri"/>
          <w:b/>
          <w:i w:val="0"/>
          <w:color w:val="E74C3C"/>
          <w:sz w:val="22"/>
        </w:rPr>
        <w:t>Best for:</w:t>
      </w:r>
    </w:p>
    <w:p>
      <w:pPr>
        <w:spacing w:after="120"/>
        <w:jc w:val="left"/>
      </w:pPr>
      <w:r>
        <w:rPr>
          <w:rFonts w:ascii="Calibri" w:hAnsi="Calibri"/>
          <w:b w:val="0"/>
          <w:i w:val="0"/>
          <w:sz w:val="22"/>
        </w:rPr>
        <w:t>Wrong drug dosages, fabricated interest rates, incorrect engineering specifications, false statistical claims.</w:t>
      </w:r>
    </w:p>
    <w:p>
      <w:pPr>
        <w:spacing w:after="120"/>
        <w:jc w:val="left"/>
      </w:pPr>
      <w:r>
        <w:rPr>
          <w:rFonts w:ascii="Calibri" w:hAnsi="Calibri"/>
          <w:b/>
          <w:i w:val="0"/>
          <w:color w:val="64748B"/>
          <w:sz w:val="22"/>
        </w:rPr>
        <w:t>Limitations:</w:t>
      </w:r>
    </w:p>
    <w:p>
      <w:pPr>
        <w:spacing w:after="120"/>
        <w:jc w:val="left"/>
      </w:pPr>
      <w:r>
        <w:rPr>
          <w:rFonts w:ascii="Calibri" w:hAnsi="Calibri"/>
          <w:b w:val="0"/>
          <w:i/>
          <w:color w:val="64748B"/>
          <w:sz w:val="22"/>
        </w:rPr>
        <w:t>Second highest accuracy (96%); critical for Healthcare, BFSI, and Manufacturing.</w:t>
      </w:r>
    </w:p>
    <w:p>
      <w:pPr>
        <w:pStyle w:val="Heading2"/>
      </w:pPr>
      <w:r>
        <w:rPr>
          <w:color w:val="0066FF"/>
        </w:rPr>
        <w:t>5.9 Ensemble Scoring Model</w:t>
      </w:r>
    </w:p>
    <w:p>
      <w:pPr>
        <w:spacing w:after="120"/>
        <w:jc w:val="left"/>
      </w:pPr>
      <w:r>
        <w:rPr>
          <w:rFonts w:ascii="Calibri" w:hAnsi="Calibri"/>
          <w:b w:val="0"/>
          <w:i w:val="0"/>
          <w:sz w:val="22"/>
        </w:rPr>
        <w:t>The eight technique scores are combined using a weighted ensemble:</w:t>
      </w:r>
    </w:p>
    <w:tbl>
      <w:tblPr>
        <w:tblW w:type="auto" w:w="0"/>
        <w:jc w:val="left"/>
        <w:tblLook w:firstColumn="1" w:firstRow="1" w:lastColumn="0" w:lastRow="0" w:noHBand="0" w:noVBand="1" w:val="04A0"/>
      </w:tblPr>
      <w:tblGrid>
        <w:gridCol w:w="9360"/>
      </w:tblGrid>
      <w:tr>
        <w:tc>
          <w:tcPr>
            <w:tcW w:type="dxa" w:w="9360"/>
            <w:shd w:val="clear" w:color="auto" w:fill="F0F4FF"/>
          </w:tcPr>
          <w:p>
            <w:r>
              <w:rPr>
                <w:rFonts w:ascii="Courier New" w:hAnsi="Courier New"/>
                <w:sz w:val="18"/>
              </w:rPr>
              <w:t># Confidence Score (0–100)</w:t>
            </w:r>
          </w:p>
          <w:p>
            <w:r>
              <w:rPr>
                <w:rFonts w:ascii="Courier New" w:hAnsi="Courier New"/>
                <w:sz w:val="18"/>
              </w:rPr>
              <w:t>confidence = weighted_average(</w:t>
            </w:r>
          </w:p>
          <w:p>
            <w:r>
              <w:rPr>
                <w:rFonts w:ascii="Courier New" w:hAnsi="Courier New"/>
                <w:sz w:val="18"/>
              </w:rPr>
              <w:t xml:space="preserve">    scores=[s_entropy, s_consistency, s_citation, s_grounding,</w:t>
            </w:r>
          </w:p>
          <w:p>
            <w:r>
              <w:rPr>
                <w:rFonts w:ascii="Courier New" w:hAnsi="Courier New"/>
                <w:sz w:val="18"/>
              </w:rPr>
              <w:t xml:space="preserve">            s_claim, s_pattern, s_temporal, s_numerical],</w:t>
            </w:r>
          </w:p>
          <w:p>
            <w:r>
              <w:rPr>
                <w:rFonts w:ascii="Courier New" w:hAnsi="Courier New"/>
                <w:sz w:val="18"/>
              </w:rPr>
              <w:t xml:space="preserve">    weights=[0.12, 0.10, 0.18, 0.25, 0.10, 0.08, 0.10, 0.07]</w:t>
            </w:r>
          </w:p>
          <w:p>
            <w:r>
              <w:rPr>
                <w:rFonts w:ascii="Courier New" w:hAnsi="Courier New"/>
                <w:sz w:val="18"/>
              </w:rPr>
              <w:t>) * grounding_multiplier  # 1.0 if no grounding sources; up to 1.2 if fully grounded</w:t>
            </w:r>
          </w:p>
          <w:p>
            <w:r>
              <w:rPr>
                <w:rFonts w:ascii="Courier New" w:hAnsi="Courier New"/>
                <w:sz w:val="18"/>
              </w:rPr>
            </w:r>
          </w:p>
          <w:p>
            <w:r>
              <w:rPr>
                <w:rFonts w:ascii="Courier New" w:hAnsi="Courier New"/>
                <w:sz w:val="18"/>
              </w:rPr>
              <w:t># Risk Score (0–100)</w:t>
            </w:r>
          </w:p>
          <w:p>
            <w:r>
              <w:rPr>
                <w:rFonts w:ascii="Courier New" w:hAnsi="Courier New"/>
                <w:sz w:val="18"/>
              </w:rPr>
              <w:t>risk = severity_weight[domain] * (1 - confidence/100) * domain_risk_factor</w:t>
            </w:r>
          </w:p>
          <w:p>
            <w:r>
              <w:rPr>
                <w:rFonts w:ascii="Courier New" w:hAnsi="Courier New"/>
                <w:sz w:val="18"/>
              </w:rPr>
              <w:t># domain_risk_factor: Healthcare=1.5, Legal=1.4, BFSI=1.3, others=1.0</w:t>
            </w:r>
          </w:p>
          <w:p>
            <w:r>
              <w:rPr>
                <w:rFonts w:ascii="Courier New" w:hAnsi="Courier New"/>
                <w:sz w:val="18"/>
              </w:rPr>
            </w:r>
          </w:p>
          <w:p>
            <w:r>
              <w:rPr>
                <w:rFonts w:ascii="Courier New" w:hAnsi="Courier New"/>
                <w:sz w:val="18"/>
              </w:rPr>
              <w:t># Action policy</w:t>
            </w:r>
          </w:p>
          <w:p>
            <w:r>
              <w:rPr>
                <w:rFonts w:ascii="Courier New" w:hAnsi="Courier New"/>
                <w:sz w:val="18"/>
              </w:rPr>
              <w:t>if confidence &gt;= 75 and risk &lt; 30:   action = 'PASS'</w:t>
            </w:r>
          </w:p>
          <w:p>
            <w:r>
              <w:rPr>
                <w:rFonts w:ascii="Courier New" w:hAnsi="Courier New"/>
                <w:sz w:val="18"/>
              </w:rPr>
              <w:t>elif confidence &gt;= 50 or risk &lt; 60:  action = 'FLAG'</w:t>
            </w:r>
          </w:p>
          <w:p>
            <w:r>
              <w:rPr>
                <w:rFonts w:ascii="Courier New" w:hAnsi="Courier New"/>
                <w:sz w:val="18"/>
              </w:rPr>
              <w:t>else:                                 action = 'BLOCK'</w:t>
            </w:r>
          </w:p>
        </w:tc>
      </w:tr>
    </w:tbl>
    <w:p/>
    <w:p>
      <w:pPr>
        <w:pStyle w:val="Heading2"/>
      </w:pPr>
      <w:r>
        <w:rPr>
          <w:color w:val="0066FF"/>
        </w:rPr>
        <w:t>5.10 Aggregate Performance Metrics</w:t>
      </w:r>
    </w:p>
    <w:tbl>
      <w:tblPr>
        <w:tblStyle w:val="TableGrid"/>
        <w:tblW w:type="auto" w:w="0"/>
        <w:jc w:val="left"/>
        <w:tblLook w:firstColumn="1" w:firstRow="1" w:lastColumn="0" w:lastRow="0" w:noHBand="0" w:noVBand="1" w:val="04A0"/>
      </w:tblPr>
      <w:tblGrid>
        <w:gridCol w:w="3120"/>
        <w:gridCol w:w="3120"/>
        <w:gridCol w:w="3120"/>
      </w:tblGrid>
      <w:tr>
        <w:tc>
          <w:tcPr>
            <w:tcW w:type="dxa" w:w="4320"/>
            <w:shd w:val="clear" w:color="auto" w:fill="003388"/>
          </w:tcPr>
          <w:p>
            <w:pPr>
              <w:jc w:val="center"/>
            </w:pPr>
            <w:r>
              <w:rPr>
                <w:rFonts w:ascii="Calibri" w:hAnsi="Calibri"/>
                <w:b/>
                <w:color w:val="FFFFFF"/>
                <w:sz w:val="20"/>
              </w:rPr>
              <w:t>Metric</w:t>
            </w:r>
          </w:p>
        </w:tc>
        <w:tc>
          <w:tcPr>
            <w:tcW w:type="dxa" w:w="2160"/>
            <w:shd w:val="clear" w:color="auto" w:fill="003388"/>
          </w:tcPr>
          <w:p>
            <w:pPr>
              <w:jc w:val="center"/>
            </w:pPr>
            <w:r>
              <w:rPr>
                <w:rFonts w:ascii="Calibri" w:hAnsi="Calibri"/>
                <w:b/>
                <w:color w:val="FFFFFF"/>
                <w:sz w:val="20"/>
              </w:rPr>
              <w:t>Value</w:t>
            </w:r>
          </w:p>
        </w:tc>
        <w:tc>
          <w:tcPr>
            <w:tcW w:type="dxa" w:w="4320"/>
            <w:shd w:val="clear" w:color="auto" w:fill="003388"/>
          </w:tcPr>
          <w:p>
            <w:pPr>
              <w:jc w:val="center"/>
            </w:pPr>
            <w:r>
              <w:rPr>
                <w:rFonts w:ascii="Calibri" w:hAnsi="Calibri"/>
                <w:b/>
                <w:color w:val="FFFFFF"/>
                <w:sz w:val="20"/>
              </w:rPr>
              <w:t>Measurement Method</w:t>
            </w:r>
          </w:p>
        </w:tc>
      </w:tr>
      <w:tr>
        <w:tc>
          <w:tcPr>
            <w:tcW w:type="dxa" w:w="4320"/>
            <w:shd w:val="clear" w:color="auto" w:fill="FFFFFF"/>
          </w:tcPr>
          <w:p>
            <w:r>
              <w:rPr>
                <w:rFonts w:ascii="Calibri" w:hAnsi="Calibri"/>
                <w:sz w:val="20"/>
              </w:rPr>
              <w:t>Overall hallucination catch rate</w:t>
            </w:r>
          </w:p>
        </w:tc>
        <w:tc>
          <w:tcPr>
            <w:tcW w:type="dxa" w:w="2160"/>
            <w:shd w:val="clear" w:color="auto" w:fill="FFFFFF"/>
          </w:tcPr>
          <w:p>
            <w:r>
              <w:rPr>
                <w:rFonts w:ascii="Calibri" w:hAnsi="Calibri"/>
                <w:sz w:val="20"/>
              </w:rPr>
              <w:t>92%</w:t>
            </w:r>
          </w:p>
        </w:tc>
        <w:tc>
          <w:tcPr>
            <w:tcW w:type="dxa" w:w="4320"/>
            <w:shd w:val="clear" w:color="auto" w:fill="FFFFFF"/>
          </w:tcPr>
          <w:p>
            <w:r>
              <w:rPr>
                <w:rFonts w:ascii="Calibri" w:hAnsi="Calibri"/>
                <w:sz w:val="20"/>
              </w:rPr>
              <w:t>Benchmarked on 10,000 labelled hallucination examples</w:t>
            </w:r>
          </w:p>
        </w:tc>
      </w:tr>
      <w:tr>
        <w:tc>
          <w:tcPr>
            <w:tcW w:type="dxa" w:w="4320"/>
            <w:shd w:val="clear" w:color="auto" w:fill="F0F4FF"/>
          </w:tcPr>
          <w:p>
            <w:r>
              <w:rPr>
                <w:rFonts w:ascii="Calibri" w:hAnsi="Calibri"/>
                <w:sz w:val="20"/>
              </w:rPr>
              <w:t>False positive rate</w:t>
            </w:r>
          </w:p>
        </w:tc>
        <w:tc>
          <w:tcPr>
            <w:tcW w:type="dxa" w:w="2160"/>
            <w:shd w:val="clear" w:color="auto" w:fill="F0F4FF"/>
          </w:tcPr>
          <w:p>
            <w:r>
              <w:rPr>
                <w:rFonts w:ascii="Calibri" w:hAnsi="Calibri"/>
                <w:sz w:val="20"/>
              </w:rPr>
              <w:t>&lt; 3%</w:t>
            </w:r>
          </w:p>
        </w:tc>
        <w:tc>
          <w:tcPr>
            <w:tcW w:type="dxa" w:w="4320"/>
            <w:shd w:val="clear" w:color="auto" w:fill="F0F4FF"/>
          </w:tcPr>
          <w:p>
            <w:r>
              <w:rPr>
                <w:rFonts w:ascii="Calibri" w:hAnsi="Calibri"/>
                <w:sz w:val="20"/>
              </w:rPr>
              <w:t>Benchmarked on 10,000 labelled correct responses</w:t>
            </w:r>
          </w:p>
        </w:tc>
      </w:tr>
      <w:tr>
        <w:tc>
          <w:tcPr>
            <w:tcW w:type="dxa" w:w="4320"/>
            <w:shd w:val="clear" w:color="auto" w:fill="FFFFFF"/>
          </w:tcPr>
          <w:p>
            <w:r>
              <w:rPr>
                <w:rFonts w:ascii="Calibri" w:hAnsi="Calibri"/>
                <w:sz w:val="20"/>
              </w:rPr>
              <w:t>End-to-end pipeline latency (p50)</w:t>
            </w:r>
          </w:p>
        </w:tc>
        <w:tc>
          <w:tcPr>
            <w:tcW w:type="dxa" w:w="2160"/>
            <w:shd w:val="clear" w:color="auto" w:fill="FFFFFF"/>
          </w:tcPr>
          <w:p>
            <w:r>
              <w:rPr>
                <w:rFonts w:ascii="Calibri" w:hAnsi="Calibri"/>
                <w:sz w:val="20"/>
              </w:rPr>
              <w:t>&lt; 80ms</w:t>
            </w:r>
          </w:p>
        </w:tc>
        <w:tc>
          <w:tcPr>
            <w:tcW w:type="dxa" w:w="4320"/>
            <w:shd w:val="clear" w:color="auto" w:fill="FFFFFF"/>
          </w:tcPr>
          <w:p>
            <w:r>
              <w:rPr>
                <w:rFonts w:ascii="Calibri" w:hAnsi="Calibri"/>
                <w:sz w:val="20"/>
              </w:rPr>
              <w:t>Measured across 1M production-equivalent requests</w:t>
            </w:r>
          </w:p>
        </w:tc>
      </w:tr>
      <w:tr>
        <w:tc>
          <w:tcPr>
            <w:tcW w:type="dxa" w:w="4320"/>
            <w:shd w:val="clear" w:color="auto" w:fill="F0F4FF"/>
          </w:tcPr>
          <w:p>
            <w:r>
              <w:rPr>
                <w:rFonts w:ascii="Calibri" w:hAnsi="Calibri"/>
                <w:sz w:val="20"/>
              </w:rPr>
              <w:t>End-to-end pipeline latency (p99)</w:t>
            </w:r>
          </w:p>
        </w:tc>
        <w:tc>
          <w:tcPr>
            <w:tcW w:type="dxa" w:w="2160"/>
            <w:shd w:val="clear" w:color="auto" w:fill="F0F4FF"/>
          </w:tcPr>
          <w:p>
            <w:r>
              <w:rPr>
                <w:rFonts w:ascii="Calibri" w:hAnsi="Calibri"/>
                <w:sz w:val="20"/>
              </w:rPr>
              <w:t>&lt; 200ms</w:t>
            </w:r>
          </w:p>
        </w:tc>
        <w:tc>
          <w:tcPr>
            <w:tcW w:type="dxa" w:w="4320"/>
            <w:shd w:val="clear" w:color="auto" w:fill="F0F4FF"/>
          </w:tcPr>
          <w:p>
            <w:r>
              <w:rPr>
                <w:rFonts w:ascii="Calibri" w:hAnsi="Calibri"/>
                <w:sz w:val="20"/>
              </w:rPr>
              <w:t>Includes citation verification path</w:t>
            </w:r>
          </w:p>
        </w:tc>
      </w:tr>
      <w:tr>
        <w:tc>
          <w:tcPr>
            <w:tcW w:type="dxa" w:w="4320"/>
            <w:shd w:val="clear" w:color="auto" w:fill="FFFFFF"/>
          </w:tcPr>
          <w:p>
            <w:r>
              <w:rPr>
                <w:rFonts w:ascii="Calibri" w:hAnsi="Calibri"/>
                <w:sz w:val="20"/>
              </w:rPr>
              <w:t>Platform availability</w:t>
            </w:r>
          </w:p>
        </w:tc>
        <w:tc>
          <w:tcPr>
            <w:tcW w:type="dxa" w:w="2160"/>
            <w:shd w:val="clear" w:color="auto" w:fill="FFFFFF"/>
          </w:tcPr>
          <w:p>
            <w:r>
              <w:rPr>
                <w:rFonts w:ascii="Calibri" w:hAnsi="Calibri"/>
                <w:sz w:val="20"/>
              </w:rPr>
              <w:t>99.9%</w:t>
            </w:r>
          </w:p>
        </w:tc>
        <w:tc>
          <w:tcPr>
            <w:tcW w:type="dxa" w:w="4320"/>
            <w:shd w:val="clear" w:color="auto" w:fill="FFFFFF"/>
          </w:tcPr>
          <w:p>
            <w:r>
              <w:rPr>
                <w:rFonts w:ascii="Calibri" w:hAnsi="Calibri"/>
                <w:sz w:val="20"/>
              </w:rPr>
              <w:t>Multi-region deployment with automatic failover</w:t>
            </w:r>
          </w:p>
        </w:tc>
      </w:tr>
      <w:tr>
        <w:tc>
          <w:tcPr>
            <w:tcW w:type="dxa" w:w="4320"/>
            <w:shd w:val="clear" w:color="auto" w:fill="F0F4FF"/>
          </w:tcPr>
          <w:p>
            <w:r>
              <w:rPr>
                <w:rFonts w:ascii="Calibri" w:hAnsi="Calibri"/>
                <w:sz w:val="20"/>
              </w:rPr>
              <w:t>Throughput</w:t>
            </w:r>
          </w:p>
        </w:tc>
        <w:tc>
          <w:tcPr>
            <w:tcW w:type="dxa" w:w="2160"/>
            <w:shd w:val="clear" w:color="auto" w:fill="F0F4FF"/>
          </w:tcPr>
          <w:p>
            <w:r>
              <w:rPr>
                <w:rFonts w:ascii="Calibri" w:hAnsi="Calibri"/>
                <w:sz w:val="20"/>
              </w:rPr>
              <w:t>50,000+ req/min</w:t>
            </w:r>
          </w:p>
        </w:tc>
        <w:tc>
          <w:tcPr>
            <w:tcW w:type="dxa" w:w="4320"/>
            <w:shd w:val="clear" w:color="auto" w:fill="F0F4FF"/>
          </w:tcPr>
          <w:p>
            <w:r>
              <w:rPr>
                <w:rFonts w:ascii="Calibri" w:hAnsi="Calibri"/>
                <w:sz w:val="20"/>
              </w:rPr>
              <w:t>Horizontally scalable Kubernetes deployment</w:t>
            </w:r>
          </w:p>
        </w:tc>
      </w:tr>
    </w:tbl>
    <w:p/>
    <w:p>
      <w:r>
        <w:br w:type="page"/>
      </w:r>
    </w:p>
    <w:p>
      <w:pPr>
        <w:pStyle w:val="Heading1"/>
      </w:pPr>
      <w:r>
        <w:rPr>
          <w:color w:val="003388"/>
        </w:rPr>
        <w:t>6. Industry Modules</w:t>
      </w:r>
    </w:p>
    <w:p>
      <w:pPr>
        <w:spacing w:before="40" w:after="120"/>
        <w:pBdr>
          <w:bottom w:val="single" w:sz="12" w:space="1" w:color="0066FF"/>
        </w:pBdr>
      </w:pPr>
    </w:p>
    <w:p>
      <w:pPr>
        <w:spacing w:after="120"/>
        <w:jc w:val="left"/>
      </w:pPr>
      <w:r>
        <w:rPr>
          <w:rFonts w:ascii="Calibri" w:hAnsi="Calibri"/>
          <w:b w:val="0"/>
          <w:i w:val="0"/>
          <w:sz w:val="22"/>
        </w:rPr>
        <w:t>Generic hallucination detection is insufficient for regulated industries. Each vertical has distinct failure modes, distinct authoritative data sources, and distinct regulatory requirements. TrustLayer ships with 8 pre-built industry modules, each containing specialized detection logic, compliance rule sets, and enterprise system connectors.</w:t>
      </w:r>
    </w:p>
    <w:p>
      <w:pPr>
        <w:pStyle w:val="Heading2"/>
      </w:pPr>
      <w:r>
        <w:rPr>
          <w:color w:val="0066FF"/>
        </w:rPr>
        <w:t>6.1 BFSI — Banking Walkthrough</w:t>
      </w:r>
    </w:p>
    <w:p>
      <w:pPr>
        <w:spacing w:after="120"/>
        <w:jc w:val="left"/>
      </w:pPr>
      <w:r>
        <w:rPr>
          <w:rFonts w:ascii="Calibri" w:hAnsi="Calibri"/>
          <w:b/>
          <w:i w:val="0"/>
          <w:color w:val="0066FF"/>
          <w:sz w:val="22"/>
        </w:rPr>
        <w:t>Scenario: Mortgage Rate Inquiry</w:t>
      </w:r>
    </w:p>
    <w:p>
      <w:pPr>
        <w:spacing w:after="120"/>
        <w:jc w:val="left"/>
      </w:pPr>
      <w:r>
        <w:rPr>
          <w:rFonts w:ascii="Calibri" w:hAnsi="Calibri"/>
          <w:b w:val="0"/>
          <w:i/>
          <w:sz w:val="22"/>
        </w:rPr>
        <w:t>Customer query: "What is the current interest rate for a 30-year fixed mortgage?"</w:t>
      </w:r>
    </w:p>
    <w:p>
      <w:pPr>
        <w:spacing w:after="120"/>
        <w:jc w:val="left"/>
      </w:pPr>
      <w:r>
        <w:rPr>
          <w:rFonts w:ascii="Calibri" w:hAnsi="Calibri"/>
          <w:b w:val="0"/>
          <w:i w:val="0"/>
          <w:sz w:val="22"/>
        </w:rPr>
        <w:t>AI response: "Our current rate for a 30-year fixed mortgage is 5.25% APR. As an existing customer, you qualify for our Spring Promotion with a 0.5% rate reduction. Based on your profile, you are guaranteed pre-approval within 24 hours."</w:t>
      </w:r>
    </w:p>
    <w:p>
      <w:pPr>
        <w:spacing w:after="120"/>
        <w:jc w:val="left"/>
      </w:pPr>
      <w:r>
        <w:rPr>
          <w:rFonts w:ascii="Calibri" w:hAnsi="Calibri"/>
          <w:b/>
          <w:i w:val="0"/>
          <w:color w:val="E74C3C"/>
          <w:sz w:val="22"/>
        </w:rPr>
        <w:t>Issues detected:</w:t>
      </w:r>
    </w:p>
    <w:p>
      <w:pPr>
        <w:pStyle w:val="ListBullet"/>
        <w:spacing w:after="60"/>
        <w:ind w:left="432"/>
      </w:pPr>
      <w:r>
        <w:rPr>
          <w:rFonts w:ascii="Calibri" w:hAnsi="Calibri"/>
          <w:b/>
          <w:color w:val="0066FF"/>
        </w:rPr>
        <w:t xml:space="preserve">Issue 1  </w:t>
      </w:r>
      <w:r>
        <w:rPr>
          <w:rFonts w:ascii="Calibri" w:hAnsi="Calibri"/>
        </w:rPr>
        <w:t>Fabricated rate: 5.25% APR not found in live pricing feed (actual: 6.85%)</w:t>
      </w:r>
    </w:p>
    <w:p>
      <w:pPr>
        <w:pStyle w:val="ListBullet"/>
        <w:spacing w:after="60"/>
        <w:ind w:left="432"/>
      </w:pPr>
      <w:r>
        <w:rPr>
          <w:rFonts w:ascii="Calibri" w:hAnsi="Calibri"/>
          <w:b/>
          <w:color w:val="0066FF"/>
        </w:rPr>
        <w:t xml:space="preserve">Issue 2  </w:t>
      </w:r>
      <w:r>
        <w:rPr>
          <w:rFonts w:ascii="Calibri" w:hAnsi="Calibri"/>
        </w:rPr>
        <w:t>"Spring Promotion" not found in marketing database — does not exist</w:t>
      </w:r>
    </w:p>
    <w:p>
      <w:pPr>
        <w:pStyle w:val="ListBullet"/>
        <w:spacing w:after="60"/>
        <w:ind w:left="432"/>
      </w:pPr>
      <w:r>
        <w:rPr>
          <w:rFonts w:ascii="Calibri" w:hAnsi="Calibri"/>
          <w:b/>
          <w:color w:val="0066FF"/>
        </w:rPr>
        <w:t xml:space="preserve">Issue 3  </w:t>
      </w:r>
      <w:r>
        <w:rPr>
          <w:rFonts w:ascii="Calibri" w:hAnsi="Calibri"/>
        </w:rPr>
        <w:t>Guaranteed pre-approval: illegal under TILA/Regulation Z — banks cannot guarantee approval</w:t>
      </w:r>
    </w:p>
    <w:p>
      <w:pPr>
        <w:pStyle w:val="ListBullet"/>
        <w:spacing w:after="60"/>
        <w:ind w:left="432"/>
      </w:pPr>
      <w:r>
        <w:rPr>
          <w:rFonts w:ascii="Calibri" w:hAnsi="Calibri"/>
          <w:b/>
          <w:color w:val="0066FF"/>
        </w:rPr>
        <w:t xml:space="preserve">Issue 4  </w:t>
      </w:r>
      <w:r>
        <w:rPr>
          <w:rFonts w:ascii="Calibri" w:hAnsi="Calibri"/>
        </w:rPr>
        <w:t>Rate advisory without required regulatory disclosures (APR disclosure requirements)</w:t>
      </w:r>
    </w:p>
    <w:p>
      <w:pPr>
        <w:pStyle w:val="ListBullet"/>
        <w:spacing w:after="60"/>
        <w:ind w:left="432"/>
      </w:pPr>
      <w:r>
        <w:rPr>
          <w:rFonts w:ascii="Calibri" w:hAnsi="Calibri"/>
          <w:b/>
          <w:color w:val="0066FF"/>
        </w:rPr>
        <w:t xml:space="preserve">Issue 5  </w:t>
      </w:r>
      <w:r>
        <w:rPr>
          <w:rFonts w:ascii="Calibri" w:hAnsi="Calibri"/>
        </w:rPr>
        <w:t>Credit assessment made without access to applicant credit bureau data</w:t>
      </w:r>
    </w:p>
    <w:p>
      <w:pPr>
        <w:spacing w:after="120"/>
        <w:jc w:val="left"/>
      </w:pPr>
      <w:r>
        <w:rPr>
          <w:rFonts w:ascii="Calibri" w:hAnsi="Calibri"/>
          <w:b w:val="0"/>
          <w:i w:val="0"/>
          <w:sz w:val="22"/>
        </w:rPr>
        <w:t>Result: Confidence 18% | Risk 94% | Action: BLOCKED | Routed to licensed mortgage specialist</w:t>
      </w:r>
    </w:p>
    <w:p>
      <w:pPr>
        <w:pStyle w:val="Heading2"/>
      </w:pPr>
      <w:r>
        <w:rPr>
          <w:color w:val="0066FF"/>
        </w:rPr>
        <w:t>6.2 Healthcare — Drug Dosing Walkthrough</w:t>
      </w:r>
    </w:p>
    <w:p>
      <w:pPr>
        <w:spacing w:after="120"/>
        <w:jc w:val="left"/>
      </w:pPr>
      <w:r>
        <w:rPr>
          <w:rFonts w:ascii="Calibri" w:hAnsi="Calibri"/>
          <w:b/>
          <w:i w:val="0"/>
          <w:color w:val="E74C3C"/>
          <w:sz w:val="22"/>
        </w:rPr>
        <w:t>Scenario: Metformin Dosing for Newly Diagnosed Diabetic</w:t>
      </w:r>
    </w:p>
    <w:p>
      <w:pPr>
        <w:spacing w:after="120"/>
        <w:jc w:val="left"/>
      </w:pPr>
      <w:r>
        <w:rPr>
          <w:rFonts w:ascii="Calibri" w:hAnsi="Calibri"/>
          <w:b w:val="0"/>
          <w:i/>
          <w:sz w:val="22"/>
        </w:rPr>
        <w:t>"Start at 1,000mg twice daily. Take with grapefruit juice to enhance absorption. There are no concerns with alcohol consumption while taking metformin."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03388"/>
          </w:tcPr>
          <w:p>
            <w:pPr>
              <w:jc w:val="center"/>
            </w:pPr>
            <w:r>
              <w:rPr>
                <w:rFonts w:ascii="Calibri" w:hAnsi="Calibri"/>
                <w:b/>
                <w:color w:val="FFFFFF"/>
                <w:sz w:val="18"/>
              </w:rPr>
              <w:t>Claim</w:t>
            </w:r>
          </w:p>
        </w:tc>
        <w:tc>
          <w:tcPr>
            <w:tcW w:type="dxa" w:w="2880"/>
            <w:shd w:val="clear" w:color="auto" w:fill="003388"/>
          </w:tcPr>
          <w:p>
            <w:pPr>
              <w:jc w:val="center"/>
            </w:pPr>
            <w:r>
              <w:rPr>
                <w:rFonts w:ascii="Calibri" w:hAnsi="Calibri"/>
                <w:b/>
                <w:color w:val="FFFFFF"/>
                <w:sz w:val="18"/>
              </w:rPr>
              <w:t>AI Said</w:t>
            </w:r>
          </w:p>
        </w:tc>
        <w:tc>
          <w:tcPr>
            <w:tcW w:type="dxa" w:w="2880"/>
            <w:shd w:val="clear" w:color="auto" w:fill="003388"/>
          </w:tcPr>
          <w:p>
            <w:pPr>
              <w:jc w:val="center"/>
            </w:pPr>
            <w:r>
              <w:rPr>
                <w:rFonts w:ascii="Calibri" w:hAnsi="Calibri"/>
                <w:b/>
                <w:color w:val="FFFFFF"/>
                <w:sz w:val="18"/>
              </w:rPr>
              <w:t>Ground Truth</w:t>
            </w:r>
          </w:p>
        </w:tc>
        <w:tc>
          <w:tcPr>
            <w:tcW w:type="dxa" w:w="2448"/>
            <w:shd w:val="clear" w:color="auto" w:fill="003388"/>
          </w:tcPr>
          <w:p>
            <w:pPr>
              <w:jc w:val="center"/>
            </w:pPr>
            <w:r>
              <w:rPr>
                <w:rFonts w:ascii="Calibri" w:hAnsi="Calibri"/>
                <w:b/>
                <w:color w:val="FFFFFF"/>
                <w:sz w:val="18"/>
              </w:rPr>
              <w:t>Source</w:t>
            </w:r>
          </w:p>
        </w:tc>
      </w:tr>
      <w:tr>
        <w:tc>
          <w:tcPr>
            <w:tcW w:type="dxa" w:w="2592"/>
            <w:shd w:val="clear" w:color="auto" w:fill="FFFFFF"/>
          </w:tcPr>
          <w:p>
            <w:r>
              <w:rPr>
                <w:rFonts w:ascii="Calibri" w:hAnsi="Calibri"/>
                <w:sz w:val="18"/>
              </w:rPr>
              <w:t>Starting dose</w:t>
            </w:r>
          </w:p>
        </w:tc>
        <w:tc>
          <w:tcPr>
            <w:tcW w:type="dxa" w:w="2880"/>
            <w:shd w:val="clear" w:color="auto" w:fill="FFFFFF"/>
          </w:tcPr>
          <w:p>
            <w:r>
              <w:rPr>
                <w:rFonts w:ascii="Calibri" w:hAnsi="Calibri"/>
                <w:sz w:val="18"/>
              </w:rPr>
              <w:t>1,000mg twice daily</w:t>
            </w:r>
          </w:p>
        </w:tc>
        <w:tc>
          <w:tcPr>
            <w:tcW w:type="dxa" w:w="2880"/>
            <w:shd w:val="clear" w:color="auto" w:fill="FFFFFF"/>
          </w:tcPr>
          <w:p>
            <w:r>
              <w:rPr>
                <w:rFonts w:ascii="Calibri" w:hAnsi="Calibri"/>
                <w:sz w:val="18"/>
              </w:rPr>
              <w:t>500mg once daily</w:t>
            </w:r>
          </w:p>
        </w:tc>
        <w:tc>
          <w:tcPr>
            <w:tcW w:type="dxa" w:w="2448"/>
            <w:shd w:val="clear" w:color="auto" w:fill="FFFFFF"/>
          </w:tcPr>
          <w:p>
            <w:r>
              <w:rPr>
                <w:rFonts w:ascii="Calibri" w:hAnsi="Calibri"/>
                <w:sz w:val="18"/>
              </w:rPr>
              <w:t>FDA drug label</w:t>
            </w:r>
          </w:p>
        </w:tc>
      </w:tr>
      <w:tr>
        <w:tc>
          <w:tcPr>
            <w:tcW w:type="dxa" w:w="2592"/>
            <w:shd w:val="clear" w:color="auto" w:fill="F0F4FF"/>
          </w:tcPr>
          <w:p>
            <w:r>
              <w:rPr>
                <w:rFonts w:ascii="Calibri" w:hAnsi="Calibri"/>
                <w:sz w:val="18"/>
              </w:rPr>
              <w:t>Grapefruit interaction</w:t>
            </w:r>
          </w:p>
        </w:tc>
        <w:tc>
          <w:tcPr>
            <w:tcW w:type="dxa" w:w="2880"/>
            <w:shd w:val="clear" w:color="auto" w:fill="F0F4FF"/>
          </w:tcPr>
          <w:p>
            <w:r>
              <w:rPr>
                <w:rFonts w:ascii="Calibri" w:hAnsi="Calibri"/>
                <w:sz w:val="18"/>
              </w:rPr>
              <w:t>Enhances absorption</w:t>
            </w:r>
          </w:p>
        </w:tc>
        <w:tc>
          <w:tcPr>
            <w:tcW w:type="dxa" w:w="2880"/>
            <w:shd w:val="clear" w:color="auto" w:fill="F0F4FF"/>
          </w:tcPr>
          <w:p>
            <w:r>
              <w:rPr>
                <w:rFonts w:ascii="Calibri" w:hAnsi="Calibri"/>
                <w:sz w:val="18"/>
              </w:rPr>
              <w:t>No interaction documented</w:t>
            </w:r>
          </w:p>
        </w:tc>
        <w:tc>
          <w:tcPr>
            <w:tcW w:type="dxa" w:w="2448"/>
            <w:shd w:val="clear" w:color="auto" w:fill="F0F4FF"/>
          </w:tcPr>
          <w:p>
            <w:r>
              <w:rPr>
                <w:rFonts w:ascii="Calibri" w:hAnsi="Calibri"/>
                <w:sz w:val="18"/>
              </w:rPr>
              <w:t>FDA; clinical DB</w:t>
            </w:r>
          </w:p>
        </w:tc>
      </w:tr>
      <w:tr>
        <w:tc>
          <w:tcPr>
            <w:tcW w:type="dxa" w:w="2592"/>
            <w:shd w:val="clear" w:color="auto" w:fill="FFFFFF"/>
          </w:tcPr>
          <w:p>
            <w:r>
              <w:rPr>
                <w:rFonts w:ascii="Calibri" w:hAnsi="Calibri"/>
                <w:sz w:val="18"/>
              </w:rPr>
              <w:t>Alcohol contraindication</w:t>
            </w:r>
          </w:p>
        </w:tc>
        <w:tc>
          <w:tcPr>
            <w:tcW w:type="dxa" w:w="2880"/>
            <w:shd w:val="clear" w:color="auto" w:fill="FFFFFF"/>
          </w:tcPr>
          <w:p>
            <w:r>
              <w:rPr>
                <w:rFonts w:ascii="Calibri" w:hAnsi="Calibri"/>
                <w:sz w:val="18"/>
              </w:rPr>
              <w:t>No concerns</w:t>
            </w:r>
          </w:p>
        </w:tc>
        <w:tc>
          <w:tcPr>
            <w:tcW w:type="dxa" w:w="2880"/>
            <w:shd w:val="clear" w:color="auto" w:fill="FFFFFF"/>
          </w:tcPr>
          <w:p>
            <w:r>
              <w:rPr>
                <w:rFonts w:ascii="Calibri" w:hAnsi="Calibri"/>
                <w:sz w:val="18"/>
              </w:rPr>
              <w:t>Significantly increases lactic acidosis risk</w:t>
            </w:r>
          </w:p>
        </w:tc>
        <w:tc>
          <w:tcPr>
            <w:tcW w:type="dxa" w:w="2448"/>
            <w:shd w:val="clear" w:color="auto" w:fill="FFFFFF"/>
          </w:tcPr>
          <w:p>
            <w:r>
              <w:rPr>
                <w:rFonts w:ascii="Calibri" w:hAnsi="Calibri"/>
                <w:sz w:val="18"/>
              </w:rPr>
              <w:t>Clinical guidelines</w:t>
            </w:r>
          </w:p>
        </w:tc>
      </w:tr>
    </w:tbl>
    <w:p/>
    <w:p>
      <w:pPr>
        <w:spacing w:after="120"/>
        <w:jc w:val="left"/>
      </w:pPr>
      <w:r>
        <w:rPr>
          <w:rFonts w:ascii="Calibri" w:hAnsi="Calibri"/>
          <w:b w:val="0"/>
          <w:i w:val="0"/>
          <w:sz w:val="22"/>
        </w:rPr>
        <w:t>Result: Confidence 6% | Risk 98% | Action: BLOCKED | Escalated to clinical pharmacist</w:t>
      </w:r>
    </w:p>
    <w:p>
      <w:pPr>
        <w:pStyle w:val="Heading2"/>
      </w:pPr>
      <w:r>
        <w:rPr>
          <w:color w:val="0066FF"/>
        </w:rPr>
        <w:t>6.3 Legal — Citation Fabrication Walkthrough</w:t>
      </w:r>
    </w:p>
    <w:p>
      <w:pPr>
        <w:spacing w:after="120"/>
        <w:jc w:val="left"/>
      </w:pPr>
      <w:r>
        <w:rPr>
          <w:rFonts w:ascii="Calibri" w:hAnsi="Calibri"/>
          <w:b/>
          <w:i w:val="0"/>
          <w:color w:val="F39C12"/>
          <w:sz w:val="22"/>
        </w:rPr>
        <w:t>Scenario: Autonomous Vehicle Liability Research</w:t>
      </w:r>
    </w:p>
    <w:tbl>
      <w:tblPr>
        <w:tblStyle w:val="TableGrid"/>
        <w:tblW w:type="auto" w:w="0"/>
        <w:jc w:val="left"/>
        <w:tblLook w:firstColumn="1" w:firstRow="1" w:lastColumn="0" w:lastRow="0" w:noHBand="0" w:noVBand="1" w:val="04A0"/>
      </w:tblPr>
      <w:tblGrid>
        <w:gridCol w:w="3120"/>
        <w:gridCol w:w="3120"/>
        <w:gridCol w:w="3120"/>
      </w:tblGrid>
      <w:tr>
        <w:tc>
          <w:tcPr>
            <w:tcW w:type="dxa" w:w="4320"/>
            <w:shd w:val="clear" w:color="auto" w:fill="003388"/>
          </w:tcPr>
          <w:p>
            <w:pPr>
              <w:jc w:val="center"/>
            </w:pPr>
            <w:r>
              <w:rPr>
                <w:rFonts w:ascii="Calibri" w:hAnsi="Calibri"/>
                <w:b/>
                <w:color w:val="FFFFFF"/>
                <w:sz w:val="18"/>
              </w:rPr>
              <w:t>Citation</w:t>
            </w:r>
          </w:p>
        </w:tc>
        <w:tc>
          <w:tcPr>
            <w:tcW w:type="dxa" w:w="2592"/>
            <w:shd w:val="clear" w:color="auto" w:fill="003388"/>
          </w:tcPr>
          <w:p>
            <w:pPr>
              <w:jc w:val="center"/>
            </w:pPr>
            <w:r>
              <w:rPr>
                <w:rFonts w:ascii="Calibri" w:hAnsi="Calibri"/>
                <w:b/>
                <w:color w:val="FFFFFF"/>
                <w:sz w:val="18"/>
              </w:rPr>
              <w:t>Cited By AI</w:t>
            </w:r>
          </w:p>
        </w:tc>
        <w:tc>
          <w:tcPr>
            <w:tcW w:type="dxa" w:w="3888"/>
            <w:shd w:val="clear" w:color="auto" w:fill="003388"/>
          </w:tcPr>
          <w:p>
            <w:pPr>
              <w:jc w:val="center"/>
            </w:pPr>
            <w:r>
              <w:rPr>
                <w:rFonts w:ascii="Calibri" w:hAnsi="Calibri"/>
                <w:b/>
                <w:color w:val="FFFFFF"/>
                <w:sz w:val="18"/>
              </w:rPr>
              <w:t>Verification Result</w:t>
            </w:r>
          </w:p>
        </w:tc>
      </w:tr>
      <w:tr>
        <w:tc>
          <w:tcPr>
            <w:tcW w:type="dxa" w:w="4320"/>
            <w:shd w:val="clear" w:color="auto" w:fill="FFFFFF"/>
          </w:tcPr>
          <w:p>
            <w:r>
              <w:rPr>
                <w:rFonts w:ascii="Calibri" w:hAnsi="Calibri"/>
                <w:sz w:val="18"/>
              </w:rPr>
              <w:t>Morrison v. Tesla Motors, 9th Cir. 2023</w:t>
            </w:r>
          </w:p>
        </w:tc>
        <w:tc>
          <w:tcPr>
            <w:tcW w:type="dxa" w:w="2592"/>
            <w:shd w:val="clear" w:color="auto" w:fill="FFFFFF"/>
          </w:tcPr>
          <w:p>
            <w:r>
              <w:rPr>
                <w:rFonts w:ascii="Calibri" w:hAnsi="Calibri"/>
                <w:sz w:val="18"/>
              </w:rPr>
              <w:t>Case No. 22-16598</w:t>
            </w:r>
          </w:p>
        </w:tc>
        <w:tc>
          <w:tcPr>
            <w:tcW w:type="dxa" w:w="3888"/>
            <w:shd w:val="clear" w:color="auto" w:fill="FFFFFF"/>
          </w:tcPr>
          <w:p>
            <w:r>
              <w:rPr>
                <w:rFonts w:ascii="Calibri" w:hAnsi="Calibri"/>
                <w:sz w:val="18"/>
              </w:rPr>
              <w:t>NOT FOUND in Westlaw, LexisNexis, CourtListener</w:t>
            </w:r>
          </w:p>
        </w:tc>
      </w:tr>
      <w:tr>
        <w:tc>
          <w:tcPr>
            <w:tcW w:type="dxa" w:w="4320"/>
            <w:shd w:val="clear" w:color="auto" w:fill="F0F4FF"/>
          </w:tcPr>
          <w:p>
            <w:r>
              <w:rPr>
                <w:rFonts w:ascii="Calibri" w:hAnsi="Calibri"/>
                <w:sz w:val="18"/>
              </w:rPr>
              <w:t>Waymo LLC v. California DMV, SCOTUS 2022</w:t>
            </w:r>
          </w:p>
        </w:tc>
        <w:tc>
          <w:tcPr>
            <w:tcW w:type="dxa" w:w="2592"/>
            <w:shd w:val="clear" w:color="auto" w:fill="F0F4FF"/>
          </w:tcPr>
          <w:p>
            <w:r>
              <w:rPr>
                <w:rFonts w:ascii="Calibri" w:hAnsi="Calibri"/>
                <w:sz w:val="18"/>
              </w:rPr>
              <w:t>Case No. 21-1024</w:t>
            </w:r>
          </w:p>
        </w:tc>
        <w:tc>
          <w:tcPr>
            <w:tcW w:type="dxa" w:w="3888"/>
            <w:shd w:val="clear" w:color="auto" w:fill="F0F4FF"/>
          </w:tcPr>
          <w:p>
            <w:r>
              <w:rPr>
                <w:rFonts w:ascii="Calibri" w:hAnsi="Calibri"/>
                <w:sz w:val="18"/>
              </w:rPr>
              <w:t>NOT FOUND in any federal court database</w:t>
            </w:r>
          </w:p>
        </w:tc>
      </w:tr>
      <w:tr>
        <w:tc>
          <w:tcPr>
            <w:tcW w:type="dxa" w:w="4320"/>
            <w:shd w:val="clear" w:color="auto" w:fill="FFFFFF"/>
          </w:tcPr>
          <w:p>
            <w:r>
              <w:rPr>
                <w:rFonts w:ascii="Calibri" w:hAnsi="Calibri"/>
                <w:sz w:val="18"/>
              </w:rPr>
              <w:t>AI Liability Act of 2023</w:t>
            </w:r>
          </w:p>
        </w:tc>
        <w:tc>
          <w:tcPr>
            <w:tcW w:type="dxa" w:w="2592"/>
            <w:shd w:val="clear" w:color="auto" w:fill="FFFFFF"/>
          </w:tcPr>
          <w:p>
            <w:r>
              <w:rPr>
                <w:rFonts w:ascii="Calibri" w:hAnsi="Calibri"/>
                <w:sz w:val="18"/>
              </w:rPr>
              <w:t>Pub. L. 118-22</w:t>
            </w:r>
          </w:p>
        </w:tc>
        <w:tc>
          <w:tcPr>
            <w:tcW w:type="dxa" w:w="3888"/>
            <w:shd w:val="clear" w:color="auto" w:fill="FFFFFF"/>
          </w:tcPr>
          <w:p>
            <w:r>
              <w:rPr>
                <w:rFonts w:ascii="Calibri" w:hAnsi="Calibri"/>
                <w:sz w:val="18"/>
              </w:rPr>
              <w:t>NOT FOUND in Federal Register or Congressional Record</w:t>
            </w:r>
          </w:p>
        </w:tc>
      </w:tr>
    </w:tbl>
    <w:p/>
    <w:p>
      <w:pPr>
        <w:spacing w:after="120"/>
        <w:jc w:val="left"/>
      </w:pPr>
      <w:r>
        <w:rPr>
          <w:rFonts w:ascii="Calibri" w:hAnsi="Calibri"/>
          <w:b w:val="0"/>
          <w:i w:val="0"/>
          <w:sz w:val="22"/>
        </w:rPr>
        <w:t>Result: Confidence 4% | Risk 96% | Action: BLOCKED | All 3 citations fabricated</w:t>
      </w:r>
    </w:p>
    <w:p>
      <w:pPr>
        <w:pStyle w:val="Heading2"/>
      </w:pPr>
      <w:r>
        <w:rPr>
          <w:color w:val="0066FF"/>
        </w:rPr>
        <w:t>6.4–6.8 Additional Modules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18"/>
              </w:rPr>
              <w:t>Module</w:t>
            </w:r>
          </w:p>
        </w:tc>
        <w:tc>
          <w:tcPr>
            <w:tcW w:type="dxa" w:w="4608"/>
            <w:shd w:val="clear" w:color="auto" w:fill="003388"/>
          </w:tcPr>
          <w:p>
            <w:pPr>
              <w:jc w:val="center"/>
            </w:pPr>
            <w:r>
              <w:rPr>
                <w:rFonts w:ascii="Calibri" w:hAnsi="Calibri"/>
                <w:b/>
                <w:color w:val="FFFFFF"/>
                <w:sz w:val="18"/>
              </w:rPr>
              <w:t>Key Risks</w:t>
            </w:r>
          </w:p>
        </w:tc>
        <w:tc>
          <w:tcPr>
            <w:tcW w:type="dxa" w:w="4032"/>
            <w:shd w:val="clear" w:color="auto" w:fill="003388"/>
          </w:tcPr>
          <w:p>
            <w:pPr>
              <w:jc w:val="center"/>
            </w:pPr>
            <w:r>
              <w:rPr>
                <w:rFonts w:ascii="Calibri" w:hAnsi="Calibri"/>
                <w:b/>
                <w:color w:val="FFFFFF"/>
                <w:sz w:val="18"/>
              </w:rPr>
              <w:t>Primary Data Sources</w:t>
            </w:r>
          </w:p>
        </w:tc>
      </w:tr>
      <w:tr>
        <w:tc>
          <w:tcPr>
            <w:tcW w:type="dxa" w:w="2160"/>
            <w:shd w:val="clear" w:color="auto" w:fill="FFFFFF"/>
          </w:tcPr>
          <w:p>
            <w:r>
              <w:rPr>
                <w:rFonts w:ascii="Calibri" w:hAnsi="Calibri"/>
                <w:sz w:val="18"/>
              </w:rPr>
              <w:t>Enterprise — HR</w:t>
            </w:r>
          </w:p>
        </w:tc>
        <w:tc>
          <w:tcPr>
            <w:tcW w:type="dxa" w:w="4608"/>
            <w:shd w:val="clear" w:color="auto" w:fill="FFFFFF"/>
          </w:tcPr>
          <w:p>
            <w:r>
              <w:rPr>
                <w:rFonts w:ascii="Calibri" w:hAnsi="Calibri"/>
                <w:sz w:val="18"/>
              </w:rPr>
              <w:t>Fabricated vacation/overtime policy, incorrect benefit details</w:t>
            </w:r>
          </w:p>
        </w:tc>
        <w:tc>
          <w:tcPr>
            <w:tcW w:type="dxa" w:w="4032"/>
            <w:shd w:val="clear" w:color="auto" w:fill="FFFFFF"/>
          </w:tcPr>
          <w:p>
            <w:r>
              <w:rPr>
                <w:rFonts w:ascii="Calibri" w:hAnsi="Calibri"/>
                <w:sz w:val="18"/>
              </w:rPr>
              <w:t>HRIS, policy repository, HR handbook</w:t>
            </w:r>
          </w:p>
        </w:tc>
      </w:tr>
      <w:tr>
        <w:tc>
          <w:tcPr>
            <w:tcW w:type="dxa" w:w="2160"/>
            <w:shd w:val="clear" w:color="auto" w:fill="F0F4FF"/>
          </w:tcPr>
          <w:p>
            <w:r>
              <w:rPr>
                <w:rFonts w:ascii="Calibri" w:hAnsi="Calibri"/>
                <w:sz w:val="18"/>
              </w:rPr>
              <w:t>Enterprise — IT</w:t>
            </w:r>
          </w:p>
        </w:tc>
        <w:tc>
          <w:tcPr>
            <w:tcW w:type="dxa" w:w="4608"/>
            <w:shd w:val="clear" w:color="auto" w:fill="F0F4FF"/>
          </w:tcPr>
          <w:p>
            <w:r>
              <w:rPr>
                <w:rFonts w:ascii="Calibri" w:hAnsi="Calibri"/>
                <w:sz w:val="18"/>
              </w:rPr>
              <w:t>Fabricated URLs, wrong server addresses, incorrect security guidance</w:t>
            </w:r>
          </w:p>
        </w:tc>
        <w:tc>
          <w:tcPr>
            <w:tcW w:type="dxa" w:w="4032"/>
            <w:shd w:val="clear" w:color="auto" w:fill="F0F4FF"/>
          </w:tcPr>
          <w:p>
            <w:r>
              <w:rPr>
                <w:rFonts w:ascii="Calibri" w:hAnsi="Calibri"/>
                <w:sz w:val="18"/>
              </w:rPr>
              <w:t>Active Directory, CMDB, IT knowledge base</w:t>
            </w:r>
          </w:p>
        </w:tc>
      </w:tr>
      <w:tr>
        <w:tc>
          <w:tcPr>
            <w:tcW w:type="dxa" w:w="2160"/>
            <w:shd w:val="clear" w:color="auto" w:fill="FFFFFF"/>
          </w:tcPr>
          <w:p>
            <w:r>
              <w:rPr>
                <w:rFonts w:ascii="Calibri" w:hAnsi="Calibri"/>
                <w:sz w:val="18"/>
              </w:rPr>
              <w:t>Manufacturing</w:t>
            </w:r>
          </w:p>
        </w:tc>
        <w:tc>
          <w:tcPr>
            <w:tcW w:type="dxa" w:w="4608"/>
            <w:shd w:val="clear" w:color="auto" w:fill="FFFFFF"/>
          </w:tcPr>
          <w:p>
            <w:r>
              <w:rPr>
                <w:rFonts w:ascii="Calibri" w:hAnsi="Calibri"/>
                <w:sz w:val="18"/>
              </w:rPr>
              <w:t>Fabricated QC records, incorrect ISO certifications, spec violations</w:t>
            </w:r>
          </w:p>
        </w:tc>
        <w:tc>
          <w:tcPr>
            <w:tcW w:type="dxa" w:w="4032"/>
            <w:shd w:val="clear" w:color="auto" w:fill="FFFFFF"/>
          </w:tcPr>
          <w:p>
            <w:r>
              <w:rPr>
                <w:rFonts w:ascii="Calibri" w:hAnsi="Calibri"/>
                <w:sz w:val="18"/>
              </w:rPr>
              <w:t>MES, quality management DB, engineering specs</w:t>
            </w:r>
          </w:p>
        </w:tc>
      </w:tr>
      <w:tr>
        <w:tc>
          <w:tcPr>
            <w:tcW w:type="dxa" w:w="2160"/>
            <w:shd w:val="clear" w:color="auto" w:fill="F0F4FF"/>
          </w:tcPr>
          <w:p>
            <w:r>
              <w:rPr>
                <w:rFonts w:ascii="Calibri" w:hAnsi="Calibri"/>
                <w:sz w:val="18"/>
              </w:rPr>
              <w:t>Retail</w:t>
            </w:r>
          </w:p>
        </w:tc>
        <w:tc>
          <w:tcPr>
            <w:tcW w:type="dxa" w:w="4608"/>
            <w:shd w:val="clear" w:color="auto" w:fill="F0F4FF"/>
          </w:tcPr>
          <w:p>
            <w:r>
              <w:rPr>
                <w:rFonts w:ascii="Calibri" w:hAnsi="Calibri"/>
                <w:sz w:val="18"/>
              </w:rPr>
              <w:t>Unverified pricing, inventory errors, promotional term fabrication</w:t>
            </w:r>
          </w:p>
        </w:tc>
        <w:tc>
          <w:tcPr>
            <w:tcW w:type="dxa" w:w="4032"/>
            <w:shd w:val="clear" w:color="auto" w:fill="F0F4FF"/>
          </w:tcPr>
          <w:p>
            <w:r>
              <w:rPr>
                <w:rFonts w:ascii="Calibri" w:hAnsi="Calibri"/>
                <w:sz w:val="18"/>
              </w:rPr>
              <w:t>Product catalog, POS, promotions DB</w:t>
            </w:r>
          </w:p>
        </w:tc>
      </w:tr>
      <w:tr>
        <w:tc>
          <w:tcPr>
            <w:tcW w:type="dxa" w:w="2160"/>
            <w:shd w:val="clear" w:color="auto" w:fill="FFFFFF"/>
          </w:tcPr>
          <w:p>
            <w:r>
              <w:rPr>
                <w:rFonts w:ascii="Calibri" w:hAnsi="Calibri"/>
                <w:sz w:val="18"/>
              </w:rPr>
              <w:t>Telecom</w:t>
            </w:r>
          </w:p>
        </w:tc>
        <w:tc>
          <w:tcPr>
            <w:tcW w:type="dxa" w:w="4608"/>
            <w:shd w:val="clear" w:color="auto" w:fill="FFFFFF"/>
          </w:tcPr>
          <w:p>
            <w:r>
              <w:rPr>
                <w:rFonts w:ascii="Calibri" w:hAnsi="Calibri"/>
                <w:sz w:val="18"/>
              </w:rPr>
              <w:t>Unauthorized account actions, billing misrepresentation, plan errors</w:t>
            </w:r>
          </w:p>
        </w:tc>
        <w:tc>
          <w:tcPr>
            <w:tcW w:type="dxa" w:w="4032"/>
            <w:shd w:val="clear" w:color="auto" w:fill="FFFFFF"/>
          </w:tcPr>
          <w:p>
            <w:r>
              <w:rPr>
                <w:rFonts w:ascii="Calibri" w:hAnsi="Calibri"/>
                <w:sz w:val="18"/>
              </w:rPr>
              <w:t>BSS/OSS, billing system, plan catalog</w:t>
            </w:r>
          </w:p>
        </w:tc>
      </w:tr>
      <w:tr>
        <w:tc>
          <w:tcPr>
            <w:tcW w:type="dxa" w:w="2160"/>
            <w:shd w:val="clear" w:color="auto" w:fill="F0F4FF"/>
          </w:tcPr>
          <w:p>
            <w:r>
              <w:rPr>
                <w:rFonts w:ascii="Calibri" w:hAnsi="Calibri"/>
                <w:sz w:val="18"/>
              </w:rPr>
              <w:t>Government</w:t>
            </w:r>
          </w:p>
        </w:tc>
        <w:tc>
          <w:tcPr>
            <w:tcW w:type="dxa" w:w="4608"/>
            <w:shd w:val="clear" w:color="auto" w:fill="F0F4FF"/>
          </w:tcPr>
          <w:p>
            <w:r>
              <w:rPr>
                <w:rFonts w:ascii="Calibri" w:hAnsi="Calibri"/>
                <w:sz w:val="18"/>
              </w:rPr>
              <w:t>Unauthorized eligibility determinations, policy misinterpretation</w:t>
            </w:r>
          </w:p>
        </w:tc>
        <w:tc>
          <w:tcPr>
            <w:tcW w:type="dxa" w:w="4032"/>
            <w:shd w:val="clear" w:color="auto" w:fill="F0F4FF"/>
          </w:tcPr>
          <w:p>
            <w:r>
              <w:rPr>
                <w:rFonts w:ascii="Calibri" w:hAnsi="Calibri"/>
                <w:sz w:val="18"/>
              </w:rPr>
              <w:t>Benefits DB, policy repository, regulations DB</w:t>
            </w:r>
          </w:p>
        </w:tc>
      </w:tr>
    </w:tbl>
    <w:p/>
    <w:p>
      <w:r>
        <w:br w:type="page"/>
      </w:r>
    </w:p>
    <w:p>
      <w:pPr>
        <w:pStyle w:val="Heading1"/>
      </w:pPr>
      <w:r>
        <w:rPr>
          <w:color w:val="003388"/>
        </w:rPr>
        <w:t>7. Compliance &amp; Governance</w:t>
      </w:r>
    </w:p>
    <w:p>
      <w:pPr>
        <w:spacing w:before="40" w:after="120"/>
        <w:pBdr>
          <w:bottom w:val="single" w:sz="12" w:space="1" w:color="0066FF"/>
        </w:pBdr>
      </w:pPr>
    </w:p>
    <w:p>
      <w:pPr>
        <w:spacing w:after="120"/>
        <w:jc w:val="left"/>
      </w:pPr>
      <w:r>
        <w:rPr>
          <w:rFonts w:ascii="Calibri" w:hAnsi="Calibri"/>
          <w:b w:val="0"/>
          <w:i w:val="0"/>
          <w:sz w:val="22"/>
        </w:rPr>
        <w:t>TrustLayer AI is designed from the ground up to be the compliance infrastructure for enterprise AI deployments. Rather than requiring enterprises to build compliance tooling separately, TrustLayer provides audit trails, documentation, and regulatory mapping as core platform features.</w:t>
      </w:r>
    </w:p>
    <w:p>
      <w:pPr>
        <w:pStyle w:val="Heading2"/>
      </w:pPr>
      <w:r>
        <w:rPr>
          <w:color w:val="0066FF"/>
        </w:rPr>
        <w:t>7.1 EU AI Act — 94% Coverage</w:t>
      </w:r>
    </w:p>
    <w:p>
      <w:pPr>
        <w:spacing w:after="120"/>
        <w:jc w:val="left"/>
      </w:pPr>
      <w:r>
        <w:rPr>
          <w:rFonts w:ascii="Calibri" w:hAnsi="Calibri"/>
          <w:b w:val="0"/>
          <w:i w:val="0"/>
          <w:sz w:val="22"/>
        </w:rPr>
        <w:t>The EU AI Act represents the most significant AI regulation globally. Full enforcement for high-risk AI systems begins August 2026. Non-compliance penalties reach €35 million or 7% of global annual turnover — whichever is higher.</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003388"/>
          </w:tcPr>
          <w:p>
            <w:pPr>
              <w:jc w:val="center"/>
            </w:pPr>
            <w:r>
              <w:rPr>
                <w:rFonts w:ascii="Calibri" w:hAnsi="Calibri"/>
                <w:b/>
                <w:color w:val="FFFFFF"/>
                <w:sz w:val="18"/>
              </w:rPr>
              <w:t>Article</w:t>
            </w:r>
          </w:p>
        </w:tc>
        <w:tc>
          <w:tcPr>
            <w:tcW w:type="dxa" w:w="3168"/>
            <w:shd w:val="clear" w:color="auto" w:fill="003388"/>
          </w:tcPr>
          <w:p>
            <w:pPr>
              <w:jc w:val="center"/>
            </w:pPr>
            <w:r>
              <w:rPr>
                <w:rFonts w:ascii="Calibri" w:hAnsi="Calibri"/>
                <w:b/>
                <w:color w:val="FFFFFF"/>
                <w:sz w:val="18"/>
              </w:rPr>
              <w:t>Requirement</w:t>
            </w:r>
          </w:p>
        </w:tc>
        <w:tc>
          <w:tcPr>
            <w:tcW w:type="dxa" w:w="6336"/>
            <w:shd w:val="clear" w:color="auto" w:fill="003388"/>
          </w:tcPr>
          <w:p>
            <w:pPr>
              <w:jc w:val="center"/>
            </w:pPr>
            <w:r>
              <w:rPr>
                <w:rFonts w:ascii="Calibri" w:hAnsi="Calibri"/>
                <w:b/>
                <w:color w:val="FFFFFF"/>
                <w:sz w:val="18"/>
              </w:rPr>
              <w:t>TrustLayer Implementation</w:t>
            </w:r>
          </w:p>
        </w:tc>
      </w:tr>
      <w:tr>
        <w:tc>
          <w:tcPr>
            <w:tcW w:type="dxa" w:w="1296"/>
            <w:shd w:val="clear" w:color="auto" w:fill="FFFFFF"/>
          </w:tcPr>
          <w:p>
            <w:r>
              <w:rPr>
                <w:rFonts w:ascii="Calibri" w:hAnsi="Calibri"/>
                <w:sz w:val="18"/>
              </w:rPr>
              <w:t>Article 6</w:t>
            </w:r>
          </w:p>
        </w:tc>
        <w:tc>
          <w:tcPr>
            <w:tcW w:type="dxa" w:w="3168"/>
            <w:shd w:val="clear" w:color="auto" w:fill="FFFFFF"/>
          </w:tcPr>
          <w:p>
            <w:r>
              <w:rPr>
                <w:rFonts w:ascii="Calibri" w:hAnsi="Calibri"/>
                <w:sz w:val="18"/>
              </w:rPr>
              <w:t>Risk classification</w:t>
            </w:r>
          </w:p>
        </w:tc>
        <w:tc>
          <w:tcPr>
            <w:tcW w:type="dxa" w:w="6336"/>
            <w:shd w:val="clear" w:color="auto" w:fill="FFFFFF"/>
          </w:tcPr>
          <w:p>
            <w:r>
              <w:rPr>
                <w:rFonts w:ascii="Calibri" w:hAnsi="Calibri"/>
                <w:sz w:val="18"/>
              </w:rPr>
              <w:t>Automatic risk-tier classification per deployment; dashboard view</w:t>
            </w:r>
          </w:p>
        </w:tc>
      </w:tr>
      <w:tr>
        <w:tc>
          <w:tcPr>
            <w:tcW w:type="dxa" w:w="1296"/>
            <w:shd w:val="clear" w:color="auto" w:fill="F0F4FF"/>
          </w:tcPr>
          <w:p>
            <w:r>
              <w:rPr>
                <w:rFonts w:ascii="Calibri" w:hAnsi="Calibri"/>
                <w:sz w:val="18"/>
              </w:rPr>
              <w:t>Article 9</w:t>
            </w:r>
          </w:p>
        </w:tc>
        <w:tc>
          <w:tcPr>
            <w:tcW w:type="dxa" w:w="3168"/>
            <w:shd w:val="clear" w:color="auto" w:fill="F0F4FF"/>
          </w:tcPr>
          <w:p>
            <w:r>
              <w:rPr>
                <w:rFonts w:ascii="Calibri" w:hAnsi="Calibri"/>
                <w:sz w:val="18"/>
              </w:rPr>
              <w:t>Risk management system</w:t>
            </w:r>
          </w:p>
        </w:tc>
        <w:tc>
          <w:tcPr>
            <w:tcW w:type="dxa" w:w="6336"/>
            <w:shd w:val="clear" w:color="auto" w:fill="F0F4FF"/>
          </w:tcPr>
          <w:p>
            <w:r>
              <w:rPr>
                <w:rFonts w:ascii="Calibri" w:hAnsi="Calibri"/>
                <w:sz w:val="18"/>
              </w:rPr>
              <w:t>Continuous monitoring; automated risk assessments; quarterly reports</w:t>
            </w:r>
          </w:p>
        </w:tc>
      </w:tr>
      <w:tr>
        <w:tc>
          <w:tcPr>
            <w:tcW w:type="dxa" w:w="1296"/>
            <w:shd w:val="clear" w:color="auto" w:fill="FFFFFF"/>
          </w:tcPr>
          <w:p>
            <w:r>
              <w:rPr>
                <w:rFonts w:ascii="Calibri" w:hAnsi="Calibri"/>
                <w:sz w:val="18"/>
              </w:rPr>
              <w:t>Article 11</w:t>
            </w:r>
          </w:p>
        </w:tc>
        <w:tc>
          <w:tcPr>
            <w:tcW w:type="dxa" w:w="3168"/>
            <w:shd w:val="clear" w:color="auto" w:fill="FFFFFF"/>
          </w:tcPr>
          <w:p>
            <w:r>
              <w:rPr>
                <w:rFonts w:ascii="Calibri" w:hAnsi="Calibri"/>
                <w:sz w:val="18"/>
              </w:rPr>
              <w:t>Technical documentation</w:t>
            </w:r>
          </w:p>
        </w:tc>
        <w:tc>
          <w:tcPr>
            <w:tcW w:type="dxa" w:w="6336"/>
            <w:shd w:val="clear" w:color="auto" w:fill="FFFFFF"/>
          </w:tcPr>
          <w:p>
            <w:r>
              <w:rPr>
                <w:rFonts w:ascii="Calibri" w:hAnsi="Calibri"/>
                <w:sz w:val="18"/>
              </w:rPr>
              <w:t>Auto-generated per deployment; no manual assembly</w:t>
            </w:r>
          </w:p>
        </w:tc>
      </w:tr>
      <w:tr>
        <w:tc>
          <w:tcPr>
            <w:tcW w:type="dxa" w:w="1296"/>
            <w:shd w:val="clear" w:color="auto" w:fill="F0F4FF"/>
          </w:tcPr>
          <w:p>
            <w:r>
              <w:rPr>
                <w:rFonts w:ascii="Calibri" w:hAnsi="Calibri"/>
                <w:sz w:val="18"/>
              </w:rPr>
              <w:t>Article 13</w:t>
            </w:r>
          </w:p>
        </w:tc>
        <w:tc>
          <w:tcPr>
            <w:tcW w:type="dxa" w:w="3168"/>
            <w:shd w:val="clear" w:color="auto" w:fill="F0F4FF"/>
          </w:tcPr>
          <w:p>
            <w:r>
              <w:rPr>
                <w:rFonts w:ascii="Calibri" w:hAnsi="Calibri"/>
                <w:sz w:val="18"/>
              </w:rPr>
              <w:t>Transparency to users</w:t>
            </w:r>
          </w:p>
        </w:tc>
        <w:tc>
          <w:tcPr>
            <w:tcW w:type="dxa" w:w="6336"/>
            <w:shd w:val="clear" w:color="auto" w:fill="F0F4FF"/>
          </w:tcPr>
          <w:p>
            <w:r>
              <w:rPr>
                <w:rFonts w:ascii="Calibri" w:hAnsi="Calibri"/>
                <w:sz w:val="18"/>
              </w:rPr>
              <w:t>Configurable disclosure messages when AI responses are modified</w:t>
            </w:r>
          </w:p>
        </w:tc>
      </w:tr>
      <w:tr>
        <w:tc>
          <w:tcPr>
            <w:tcW w:type="dxa" w:w="1296"/>
            <w:shd w:val="clear" w:color="auto" w:fill="FFFFFF"/>
          </w:tcPr>
          <w:p>
            <w:r>
              <w:rPr>
                <w:rFonts w:ascii="Calibri" w:hAnsi="Calibri"/>
                <w:sz w:val="18"/>
              </w:rPr>
              <w:t>Article 14</w:t>
            </w:r>
          </w:p>
        </w:tc>
        <w:tc>
          <w:tcPr>
            <w:tcW w:type="dxa" w:w="3168"/>
            <w:shd w:val="clear" w:color="auto" w:fill="FFFFFF"/>
          </w:tcPr>
          <w:p>
            <w:r>
              <w:rPr>
                <w:rFonts w:ascii="Calibri" w:hAnsi="Calibri"/>
                <w:sz w:val="18"/>
              </w:rPr>
              <w:t>Human oversight</w:t>
            </w:r>
          </w:p>
        </w:tc>
        <w:tc>
          <w:tcPr>
            <w:tcW w:type="dxa" w:w="6336"/>
            <w:shd w:val="clear" w:color="auto" w:fill="FFFFFF"/>
          </w:tcPr>
          <w:p>
            <w:r>
              <w:rPr>
                <w:rFonts w:ascii="Calibri" w:hAnsi="Calibri"/>
                <w:sz w:val="18"/>
              </w:rPr>
              <w:t>Every FLAG/BLOCK creates auditable human review record with SLA tracking</w:t>
            </w:r>
          </w:p>
        </w:tc>
      </w:tr>
      <w:tr>
        <w:tc>
          <w:tcPr>
            <w:tcW w:type="dxa" w:w="1296"/>
            <w:shd w:val="clear" w:color="auto" w:fill="F0F4FF"/>
          </w:tcPr>
          <w:p>
            <w:r>
              <w:rPr>
                <w:rFonts w:ascii="Calibri" w:hAnsi="Calibri"/>
                <w:sz w:val="18"/>
              </w:rPr>
              <w:t>Article 15</w:t>
            </w:r>
          </w:p>
        </w:tc>
        <w:tc>
          <w:tcPr>
            <w:tcW w:type="dxa" w:w="3168"/>
            <w:shd w:val="clear" w:color="auto" w:fill="F0F4FF"/>
          </w:tcPr>
          <w:p>
            <w:r>
              <w:rPr>
                <w:rFonts w:ascii="Calibri" w:hAnsi="Calibri"/>
                <w:sz w:val="18"/>
              </w:rPr>
              <w:t>Accuracy &amp; robustness</w:t>
            </w:r>
          </w:p>
        </w:tc>
        <w:tc>
          <w:tcPr>
            <w:tcW w:type="dxa" w:w="6336"/>
            <w:shd w:val="clear" w:color="auto" w:fill="F0F4FF"/>
          </w:tcPr>
          <w:p>
            <w:r>
              <w:rPr>
                <w:rFonts w:ascii="Calibri" w:hAnsi="Calibri"/>
                <w:sz w:val="18"/>
              </w:rPr>
              <w:t>92% catch rate monitoring; robustness metrics in dashboard</w:t>
            </w:r>
          </w:p>
        </w:tc>
      </w:tr>
      <w:tr>
        <w:tc>
          <w:tcPr>
            <w:tcW w:type="dxa" w:w="1296"/>
            <w:shd w:val="clear" w:color="auto" w:fill="FFFFFF"/>
          </w:tcPr>
          <w:p>
            <w:r>
              <w:rPr>
                <w:rFonts w:ascii="Calibri" w:hAnsi="Calibri"/>
                <w:sz w:val="18"/>
              </w:rPr>
              <w:t>Article 72</w:t>
            </w:r>
          </w:p>
        </w:tc>
        <w:tc>
          <w:tcPr>
            <w:tcW w:type="dxa" w:w="3168"/>
            <w:shd w:val="clear" w:color="auto" w:fill="FFFFFF"/>
          </w:tcPr>
          <w:p>
            <w:r>
              <w:rPr>
                <w:rFonts w:ascii="Calibri" w:hAnsi="Calibri"/>
                <w:sz w:val="18"/>
              </w:rPr>
              <w:t>Post-market monitoring</w:t>
            </w:r>
          </w:p>
        </w:tc>
        <w:tc>
          <w:tcPr>
            <w:tcW w:type="dxa" w:w="6336"/>
            <w:shd w:val="clear" w:color="auto" w:fill="FFFFFF"/>
          </w:tcPr>
          <w:p>
            <w:r>
              <w:rPr>
                <w:rFonts w:ascii="Calibri" w:hAnsi="Calibri"/>
                <w:sz w:val="18"/>
              </w:rPr>
              <w:t>Continuous hallucination trend monitoring; auto-incident reporting</w:t>
            </w:r>
          </w:p>
        </w:tc>
      </w:tr>
      <w:tr>
        <w:tc>
          <w:tcPr>
            <w:tcW w:type="dxa" w:w="1296"/>
            <w:shd w:val="clear" w:color="auto" w:fill="F0F4FF"/>
          </w:tcPr>
          <w:p>
            <w:r>
              <w:rPr>
                <w:rFonts w:ascii="Calibri" w:hAnsi="Calibri"/>
                <w:sz w:val="18"/>
              </w:rPr>
              <w:t>Annex IV</w:t>
            </w:r>
          </w:p>
        </w:tc>
        <w:tc>
          <w:tcPr>
            <w:tcW w:type="dxa" w:w="3168"/>
            <w:shd w:val="clear" w:color="auto" w:fill="F0F4FF"/>
          </w:tcPr>
          <w:p>
            <w:r>
              <w:rPr>
                <w:rFonts w:ascii="Calibri" w:hAnsi="Calibri"/>
                <w:sz w:val="18"/>
              </w:rPr>
              <w:t>Detailed technical documentation</w:t>
            </w:r>
          </w:p>
        </w:tc>
        <w:tc>
          <w:tcPr>
            <w:tcW w:type="dxa" w:w="6336"/>
            <w:shd w:val="clear" w:color="auto" w:fill="F0F4FF"/>
          </w:tcPr>
          <w:p>
            <w:r>
              <w:rPr>
                <w:rFonts w:ascii="Calibri" w:hAnsi="Calibri"/>
                <w:sz w:val="18"/>
              </w:rPr>
              <w:t>Full audit trail meets Annex IV requirements</w:t>
            </w:r>
          </w:p>
        </w:tc>
      </w:tr>
    </w:tbl>
    <w:p/>
    <w:p>
      <w:pPr>
        <w:pStyle w:val="Heading2"/>
      </w:pPr>
      <w:r>
        <w:rPr>
          <w:color w:val="0066FF"/>
        </w:rPr>
        <w:t>7.2 NIST AI RMF — 89% Coverage</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003388"/>
          </w:tcPr>
          <w:p>
            <w:pPr>
              <w:jc w:val="center"/>
            </w:pPr>
            <w:r>
              <w:rPr>
                <w:rFonts w:ascii="Calibri" w:hAnsi="Calibri"/>
                <w:b/>
                <w:color w:val="FFFFFF"/>
                <w:sz w:val="18"/>
              </w:rPr>
              <w:t>Function</w:t>
            </w:r>
          </w:p>
        </w:tc>
        <w:tc>
          <w:tcPr>
            <w:tcW w:type="dxa" w:w="4032"/>
            <w:shd w:val="clear" w:color="auto" w:fill="003388"/>
          </w:tcPr>
          <w:p>
            <w:pPr>
              <w:jc w:val="center"/>
            </w:pPr>
            <w:r>
              <w:rPr>
                <w:rFonts w:ascii="Calibri" w:hAnsi="Calibri"/>
                <w:b/>
                <w:color w:val="FFFFFF"/>
                <w:sz w:val="18"/>
              </w:rPr>
              <w:t>Core Areas</w:t>
            </w:r>
          </w:p>
        </w:tc>
        <w:tc>
          <w:tcPr>
            <w:tcW w:type="dxa" w:w="5040"/>
            <w:shd w:val="clear" w:color="auto" w:fill="003388"/>
          </w:tcPr>
          <w:p>
            <w:pPr>
              <w:jc w:val="center"/>
            </w:pPr>
            <w:r>
              <w:rPr>
                <w:rFonts w:ascii="Calibri" w:hAnsi="Calibri"/>
                <w:b/>
                <w:color w:val="FFFFFF"/>
                <w:sz w:val="18"/>
              </w:rPr>
              <w:t>TrustLayer Coverage</w:t>
            </w:r>
          </w:p>
        </w:tc>
      </w:tr>
      <w:tr>
        <w:tc>
          <w:tcPr>
            <w:tcW w:type="dxa" w:w="1728"/>
            <w:shd w:val="clear" w:color="auto" w:fill="FFFFFF"/>
          </w:tcPr>
          <w:p>
            <w:r>
              <w:rPr>
                <w:rFonts w:ascii="Calibri" w:hAnsi="Calibri"/>
                <w:sz w:val="18"/>
              </w:rPr>
              <w:t>GOVERN</w:t>
            </w:r>
          </w:p>
        </w:tc>
        <w:tc>
          <w:tcPr>
            <w:tcW w:type="dxa" w:w="4032"/>
            <w:shd w:val="clear" w:color="auto" w:fill="FFFFFF"/>
          </w:tcPr>
          <w:p>
            <w:r>
              <w:rPr>
                <w:rFonts w:ascii="Calibri" w:hAnsi="Calibri"/>
                <w:sz w:val="18"/>
              </w:rPr>
              <w:t>Policies, accountability, culture, risk tolerance</w:t>
            </w:r>
          </w:p>
        </w:tc>
        <w:tc>
          <w:tcPr>
            <w:tcW w:type="dxa" w:w="5040"/>
            <w:shd w:val="clear" w:color="auto" w:fill="FFFFFF"/>
          </w:tcPr>
          <w:p>
            <w:r>
              <w:rPr>
                <w:rFonts w:ascii="Calibri" w:hAnsi="Calibri"/>
                <w:sz w:val="18"/>
              </w:rPr>
              <w:t>Policy configuration engine; role-based accountability; risk appetite settings</w:t>
            </w:r>
          </w:p>
        </w:tc>
      </w:tr>
      <w:tr>
        <w:tc>
          <w:tcPr>
            <w:tcW w:type="dxa" w:w="1728"/>
            <w:shd w:val="clear" w:color="auto" w:fill="F0F4FF"/>
          </w:tcPr>
          <w:p>
            <w:r>
              <w:rPr>
                <w:rFonts w:ascii="Calibri" w:hAnsi="Calibri"/>
                <w:sz w:val="18"/>
              </w:rPr>
              <w:t>MAP</w:t>
            </w:r>
          </w:p>
        </w:tc>
        <w:tc>
          <w:tcPr>
            <w:tcW w:type="dxa" w:w="4032"/>
            <w:shd w:val="clear" w:color="auto" w:fill="F0F4FF"/>
          </w:tcPr>
          <w:p>
            <w:r>
              <w:rPr>
                <w:rFonts w:ascii="Calibri" w:hAnsi="Calibri"/>
                <w:sz w:val="18"/>
              </w:rPr>
              <w:t>Context, categorization, risk identification</w:t>
            </w:r>
          </w:p>
        </w:tc>
        <w:tc>
          <w:tcPr>
            <w:tcW w:type="dxa" w:w="5040"/>
            <w:shd w:val="clear" w:color="auto" w:fill="F0F4FF"/>
          </w:tcPr>
          <w:p>
            <w:r>
              <w:rPr>
                <w:rFonts w:ascii="Calibri" w:hAnsi="Calibri"/>
                <w:sz w:val="18"/>
              </w:rPr>
              <w:t>Automatic AI system categorization; risk identification by domain</w:t>
            </w:r>
          </w:p>
        </w:tc>
      </w:tr>
      <w:tr>
        <w:tc>
          <w:tcPr>
            <w:tcW w:type="dxa" w:w="1728"/>
            <w:shd w:val="clear" w:color="auto" w:fill="FFFFFF"/>
          </w:tcPr>
          <w:p>
            <w:r>
              <w:rPr>
                <w:rFonts w:ascii="Calibri" w:hAnsi="Calibri"/>
                <w:sz w:val="18"/>
              </w:rPr>
              <w:t>MEASURE</w:t>
            </w:r>
          </w:p>
        </w:tc>
        <w:tc>
          <w:tcPr>
            <w:tcW w:type="dxa" w:w="4032"/>
            <w:shd w:val="clear" w:color="auto" w:fill="FFFFFF"/>
          </w:tcPr>
          <w:p>
            <w:r>
              <w:rPr>
                <w:rFonts w:ascii="Calibri" w:hAnsi="Calibri"/>
                <w:sz w:val="18"/>
              </w:rPr>
              <w:t>Risk analysis, prioritization, residual risk</w:t>
            </w:r>
          </w:p>
        </w:tc>
        <w:tc>
          <w:tcPr>
            <w:tcW w:type="dxa" w:w="5040"/>
            <w:shd w:val="clear" w:color="auto" w:fill="FFFFFF"/>
          </w:tcPr>
          <w:p>
            <w:r>
              <w:rPr>
                <w:rFonts w:ascii="Calibri" w:hAnsi="Calibri"/>
                <w:sz w:val="18"/>
              </w:rPr>
              <w:t>Real-time accuracy metrics; risk score per interaction; trend analysis</w:t>
            </w:r>
          </w:p>
        </w:tc>
      </w:tr>
      <w:tr>
        <w:tc>
          <w:tcPr>
            <w:tcW w:type="dxa" w:w="1728"/>
            <w:shd w:val="clear" w:color="auto" w:fill="F0F4FF"/>
          </w:tcPr>
          <w:p>
            <w:r>
              <w:rPr>
                <w:rFonts w:ascii="Calibri" w:hAnsi="Calibri"/>
                <w:sz w:val="18"/>
              </w:rPr>
              <w:t>MANAGE</w:t>
            </w:r>
          </w:p>
        </w:tc>
        <w:tc>
          <w:tcPr>
            <w:tcW w:type="dxa" w:w="4032"/>
            <w:shd w:val="clear" w:color="auto" w:fill="F0F4FF"/>
          </w:tcPr>
          <w:p>
            <w:r>
              <w:rPr>
                <w:rFonts w:ascii="Calibri" w:hAnsi="Calibri"/>
                <w:sz w:val="18"/>
              </w:rPr>
              <w:t>Risk treatment, monitoring, incident response</w:t>
            </w:r>
          </w:p>
        </w:tc>
        <w:tc>
          <w:tcPr>
            <w:tcW w:type="dxa" w:w="5040"/>
            <w:shd w:val="clear" w:color="auto" w:fill="F0F4FF"/>
          </w:tcPr>
          <w:p>
            <w:r>
              <w:rPr>
                <w:rFonts w:ascii="Calibri" w:hAnsi="Calibri"/>
                <w:sz w:val="18"/>
              </w:rPr>
              <w:t>Automated response (PASS/FLAG/BLOCK); incident logging; escalation workflows</w:t>
            </w:r>
          </w:p>
        </w:tc>
      </w:tr>
    </w:tbl>
    <w:p/>
    <w:p>
      <w:pPr>
        <w:pStyle w:val="Heading2"/>
      </w:pPr>
      <w:r>
        <w:rPr>
          <w:color w:val="0066FF"/>
        </w:rPr>
        <w:t>7.3 ISO/IEC 42001 — 82% Coverage</w:t>
      </w:r>
    </w:p>
    <w:p>
      <w:pPr>
        <w:spacing w:after="120"/>
        <w:jc w:val="left"/>
      </w:pPr>
      <w:r>
        <w:rPr>
          <w:rFonts w:ascii="Calibri" w:hAnsi="Calibri"/>
          <w:b w:val="0"/>
          <w:i w:val="0"/>
          <w:sz w:val="22"/>
        </w:rPr>
        <w:t>ISO/IEC 42001 is the emerging international standard for AI management systems. TrustLayer provides documentation and monitoring capabilities covering 82% of the standard's requirements, including AI objectives, performance evaluation, and continual improvement processes.</w:t>
      </w:r>
    </w:p>
    <w:p>
      <w:pPr>
        <w:pStyle w:val="Heading2"/>
      </w:pPr>
      <w:r>
        <w:rPr>
          <w:color w:val="0066FF"/>
        </w:rPr>
        <w:t>7.4 SOC 2 Type II — 97% Coverage</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003388"/>
          </w:tcPr>
          <w:p>
            <w:pPr>
              <w:jc w:val="center"/>
            </w:pPr>
            <w:r>
              <w:rPr>
                <w:rFonts w:ascii="Calibri" w:hAnsi="Calibri"/>
                <w:b/>
                <w:color w:val="FFFFFF"/>
                <w:sz w:val="20"/>
              </w:rPr>
              <w:t>Trust Service Criteria</w:t>
            </w:r>
          </w:p>
        </w:tc>
        <w:tc>
          <w:tcPr>
            <w:tcW w:type="dxa" w:w="7200"/>
            <w:shd w:val="clear" w:color="auto" w:fill="003388"/>
          </w:tcPr>
          <w:p>
            <w:pPr>
              <w:jc w:val="center"/>
            </w:pPr>
            <w:r>
              <w:rPr>
                <w:rFonts w:ascii="Calibri" w:hAnsi="Calibri"/>
                <w:b/>
                <w:color w:val="FFFFFF"/>
                <w:sz w:val="20"/>
              </w:rPr>
              <w:t>TrustLayer Controls</w:t>
            </w:r>
          </w:p>
        </w:tc>
      </w:tr>
      <w:tr>
        <w:tc>
          <w:tcPr>
            <w:tcW w:type="dxa" w:w="3600"/>
            <w:shd w:val="clear" w:color="auto" w:fill="FFFFFF"/>
          </w:tcPr>
          <w:p>
            <w:r>
              <w:rPr>
                <w:rFonts w:ascii="Calibri" w:hAnsi="Calibri"/>
                <w:sz w:val="20"/>
              </w:rPr>
              <w:t>Availability (A1)</w:t>
            </w:r>
          </w:p>
        </w:tc>
        <w:tc>
          <w:tcPr>
            <w:tcW w:type="dxa" w:w="7200"/>
            <w:shd w:val="clear" w:color="auto" w:fill="FFFFFF"/>
          </w:tcPr>
          <w:p>
            <w:r>
              <w:rPr>
                <w:rFonts w:ascii="Calibri" w:hAnsi="Calibri"/>
                <w:sz w:val="20"/>
              </w:rPr>
              <w:t>99.9% SLA; multi-region; automatic failover; status monitoring</w:t>
            </w:r>
          </w:p>
        </w:tc>
      </w:tr>
      <w:tr>
        <w:tc>
          <w:tcPr>
            <w:tcW w:type="dxa" w:w="3600"/>
            <w:shd w:val="clear" w:color="auto" w:fill="F0F4FF"/>
          </w:tcPr>
          <w:p>
            <w:r>
              <w:rPr>
                <w:rFonts w:ascii="Calibri" w:hAnsi="Calibri"/>
                <w:sz w:val="20"/>
              </w:rPr>
              <w:t>Processing Integrity (PI1)</w:t>
            </w:r>
          </w:p>
        </w:tc>
        <w:tc>
          <w:tcPr>
            <w:tcW w:type="dxa" w:w="7200"/>
            <w:shd w:val="clear" w:color="auto" w:fill="F0F4FF"/>
          </w:tcPr>
          <w:p>
            <w:r>
              <w:rPr>
                <w:rFonts w:ascii="Calibri" w:hAnsi="Calibri"/>
                <w:sz w:val="20"/>
              </w:rPr>
              <w:t>Deterministic scoring model; audit log integrity; result consistency</w:t>
            </w:r>
          </w:p>
        </w:tc>
      </w:tr>
      <w:tr>
        <w:tc>
          <w:tcPr>
            <w:tcW w:type="dxa" w:w="3600"/>
            <w:shd w:val="clear" w:color="auto" w:fill="FFFFFF"/>
          </w:tcPr>
          <w:p>
            <w:r>
              <w:rPr>
                <w:rFonts w:ascii="Calibri" w:hAnsi="Calibri"/>
                <w:sz w:val="20"/>
              </w:rPr>
              <w:t>Confidentiality (C1)</w:t>
            </w:r>
          </w:p>
        </w:tc>
        <w:tc>
          <w:tcPr>
            <w:tcW w:type="dxa" w:w="7200"/>
            <w:shd w:val="clear" w:color="auto" w:fill="FFFFFF"/>
          </w:tcPr>
          <w:p>
            <w:r>
              <w:rPr>
                <w:rFonts w:ascii="Calibri" w:hAnsi="Calibri"/>
                <w:sz w:val="20"/>
              </w:rPr>
              <w:t>Data encryption in transit and at rest; enterprise data not stored</w:t>
            </w:r>
          </w:p>
        </w:tc>
      </w:tr>
      <w:tr>
        <w:tc>
          <w:tcPr>
            <w:tcW w:type="dxa" w:w="3600"/>
            <w:shd w:val="clear" w:color="auto" w:fill="F0F4FF"/>
          </w:tcPr>
          <w:p>
            <w:r>
              <w:rPr>
                <w:rFonts w:ascii="Calibri" w:hAnsi="Calibri"/>
                <w:sz w:val="20"/>
              </w:rPr>
              <w:t>Security (CC6–CC9)</w:t>
            </w:r>
          </w:p>
        </w:tc>
        <w:tc>
          <w:tcPr>
            <w:tcW w:type="dxa" w:w="7200"/>
            <w:shd w:val="clear" w:color="auto" w:fill="F0F4FF"/>
          </w:tcPr>
          <w:p>
            <w:r>
              <w:rPr>
                <w:rFonts w:ascii="Calibri" w:hAnsi="Calibri"/>
                <w:sz w:val="20"/>
              </w:rPr>
              <w:t>Role-based access; API key management; penetration testing; audit logs</w:t>
            </w:r>
          </w:p>
        </w:tc>
      </w:tr>
    </w:tbl>
    <w:p/>
    <w:p>
      <w:pPr>
        <w:pStyle w:val="Heading2"/>
      </w:pPr>
      <w:r>
        <w:rPr>
          <w:color w:val="0066FF"/>
        </w:rPr>
        <w:t>7.5 Audit Trail Design Principles</w:t>
      </w:r>
    </w:p>
    <w:p>
      <w:pPr>
        <w:pStyle w:val="ListBullet"/>
        <w:spacing w:after="60"/>
        <w:ind w:left="432"/>
      </w:pPr>
      <w:r>
        <w:rPr>
          <w:rFonts w:ascii="Calibri" w:hAnsi="Calibri"/>
        </w:rPr>
        <w:t>Immutability: Audit records are written to append-only storage. No update or delete operations are permitted.</w:t>
      </w:r>
    </w:p>
    <w:p>
      <w:pPr>
        <w:pStyle w:val="ListBullet"/>
        <w:spacing w:after="60"/>
        <w:ind w:left="432"/>
      </w:pPr>
      <w:r>
        <w:rPr>
          <w:rFonts w:ascii="Calibri" w:hAnsi="Calibri"/>
        </w:rPr>
        <w:t>Completeness: Every AI interaction is logged — there are no silent passes or unlogged blocks.</w:t>
      </w:r>
    </w:p>
    <w:p>
      <w:pPr>
        <w:pStyle w:val="ListBullet"/>
        <w:spacing w:after="60"/>
        <w:ind w:left="432"/>
      </w:pPr>
      <w:r>
        <w:rPr>
          <w:rFonts w:ascii="Calibri" w:hAnsi="Calibri"/>
        </w:rPr>
        <w:t>Integrity: Audit records are cryptographically hashed; tampering is detectable.</w:t>
      </w:r>
    </w:p>
    <w:p>
      <w:pPr>
        <w:pStyle w:val="ListBullet"/>
        <w:spacing w:after="60"/>
        <w:ind w:left="432"/>
      </w:pPr>
      <w:r>
        <w:rPr>
          <w:rFonts w:ascii="Calibri" w:hAnsi="Calibri"/>
        </w:rPr>
        <w:t>Accessibility: Records are queryable via API for automated compliance reporting.</w:t>
      </w:r>
    </w:p>
    <w:p>
      <w:pPr>
        <w:pStyle w:val="ListBullet"/>
        <w:spacing w:after="60"/>
        <w:ind w:left="432"/>
      </w:pPr>
      <w:r>
        <w:rPr>
          <w:rFonts w:ascii="Calibri" w:hAnsi="Calibri"/>
        </w:rPr>
        <w:t>Retention: Configurable retention policies; default 7 years to satisfy EU AI Act requirements.</w:t>
      </w:r>
    </w:p>
    <w:p>
      <w:r>
        <w:br w:type="page"/>
      </w:r>
    </w:p>
    <w:p>
      <w:pPr>
        <w:pStyle w:val="Heading1"/>
      </w:pPr>
      <w:r>
        <w:rPr>
          <w:color w:val="003388"/>
        </w:rPr>
        <w:t>8. Integration Ecosystem</w:t>
      </w:r>
    </w:p>
    <w:p>
      <w:pPr>
        <w:spacing w:before="40" w:after="120"/>
        <w:pBdr>
          <w:bottom w:val="single" w:sz="12" w:space="1" w:color="0066FF"/>
        </w:pBdr>
      </w:pPr>
    </w:p>
    <w:p>
      <w:pPr>
        <w:pStyle w:val="Heading2"/>
      </w:pPr>
      <w:r>
        <w:rPr>
          <w:color w:val="0066FF"/>
        </w:rPr>
        <w:t>8.1 LLM Provider Support</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388"/>
          </w:tcPr>
          <w:p>
            <w:pPr>
              <w:jc w:val="center"/>
            </w:pPr>
            <w:r>
              <w:rPr>
                <w:rFonts w:ascii="Calibri" w:hAnsi="Calibri"/>
                <w:b/>
                <w:color w:val="FFFFFF"/>
                <w:sz w:val="20"/>
              </w:rPr>
              <w:t>Provider</w:t>
            </w:r>
          </w:p>
        </w:tc>
        <w:tc>
          <w:tcPr>
            <w:tcW w:type="dxa" w:w="4608"/>
            <w:shd w:val="clear" w:color="auto" w:fill="003388"/>
          </w:tcPr>
          <w:p>
            <w:pPr>
              <w:jc w:val="center"/>
            </w:pPr>
            <w:r>
              <w:rPr>
                <w:rFonts w:ascii="Calibri" w:hAnsi="Calibri"/>
                <w:b/>
                <w:color w:val="FFFFFF"/>
                <w:sz w:val="20"/>
              </w:rPr>
              <w:t>Models</w:t>
            </w:r>
          </w:p>
        </w:tc>
        <w:tc>
          <w:tcPr>
            <w:tcW w:type="dxa" w:w="2592"/>
            <w:shd w:val="clear" w:color="auto" w:fill="003388"/>
          </w:tcPr>
          <w:p>
            <w:pPr>
              <w:jc w:val="center"/>
            </w:pPr>
            <w:r>
              <w:rPr>
                <w:rFonts w:ascii="Calibri" w:hAnsi="Calibri"/>
                <w:b/>
                <w:color w:val="FFFFFF"/>
                <w:sz w:val="20"/>
              </w:rPr>
              <w:t>Integration</w:t>
            </w:r>
          </w:p>
        </w:tc>
      </w:tr>
      <w:tr>
        <w:tc>
          <w:tcPr>
            <w:tcW w:type="dxa" w:w="2160"/>
            <w:shd w:val="clear" w:color="auto" w:fill="FFFFFF"/>
          </w:tcPr>
          <w:p>
            <w:r>
              <w:rPr>
                <w:rFonts w:ascii="Calibri" w:hAnsi="Calibri"/>
                <w:sz w:val="20"/>
              </w:rPr>
              <w:t>OpenAI</w:t>
            </w:r>
          </w:p>
        </w:tc>
        <w:tc>
          <w:tcPr>
            <w:tcW w:type="dxa" w:w="4608"/>
            <w:shd w:val="clear" w:color="auto" w:fill="FFFFFF"/>
          </w:tcPr>
          <w:p>
            <w:r>
              <w:rPr>
                <w:rFonts w:ascii="Calibri" w:hAnsi="Calibri"/>
                <w:sz w:val="20"/>
              </w:rPr>
              <w:t>GPT-4, GPT-4o, GPT-4 Turbo, GPT-3.5 Turbo</w:t>
            </w:r>
          </w:p>
        </w:tc>
        <w:tc>
          <w:tcPr>
            <w:tcW w:type="dxa" w:w="2592"/>
            <w:shd w:val="clear" w:color="auto" w:fill="FFFFFF"/>
          </w:tcPr>
          <w:p>
            <w:r>
              <w:rPr>
                <w:rFonts w:ascii="Calibri" w:hAnsi="Calibri"/>
                <w:sz w:val="20"/>
              </w:rPr>
              <w:t>API Gateway + SDK</w:t>
            </w:r>
          </w:p>
        </w:tc>
      </w:tr>
      <w:tr>
        <w:tc>
          <w:tcPr>
            <w:tcW w:type="dxa" w:w="2160"/>
            <w:shd w:val="clear" w:color="auto" w:fill="F0F4FF"/>
          </w:tcPr>
          <w:p>
            <w:r>
              <w:rPr>
                <w:rFonts w:ascii="Calibri" w:hAnsi="Calibri"/>
                <w:sz w:val="20"/>
              </w:rPr>
              <w:t>Anthropic</w:t>
            </w:r>
          </w:p>
        </w:tc>
        <w:tc>
          <w:tcPr>
            <w:tcW w:type="dxa" w:w="4608"/>
            <w:shd w:val="clear" w:color="auto" w:fill="F0F4FF"/>
          </w:tcPr>
          <w:p>
            <w:r>
              <w:rPr>
                <w:rFonts w:ascii="Calibri" w:hAnsi="Calibri"/>
                <w:sz w:val="20"/>
              </w:rPr>
              <w:t>Claude 3 Opus/Sonnet/Haiku, Claude 4</w:t>
            </w:r>
          </w:p>
        </w:tc>
        <w:tc>
          <w:tcPr>
            <w:tcW w:type="dxa" w:w="2592"/>
            <w:shd w:val="clear" w:color="auto" w:fill="F0F4FF"/>
          </w:tcPr>
          <w:p>
            <w:r>
              <w:rPr>
                <w:rFonts w:ascii="Calibri" w:hAnsi="Calibri"/>
                <w:sz w:val="20"/>
              </w:rPr>
              <w:t>API Gateway + SDK</w:t>
            </w:r>
          </w:p>
        </w:tc>
      </w:tr>
      <w:tr>
        <w:tc>
          <w:tcPr>
            <w:tcW w:type="dxa" w:w="2160"/>
            <w:shd w:val="clear" w:color="auto" w:fill="FFFFFF"/>
          </w:tcPr>
          <w:p>
            <w:r>
              <w:rPr>
                <w:rFonts w:ascii="Calibri" w:hAnsi="Calibri"/>
                <w:sz w:val="20"/>
              </w:rPr>
              <w:t>Google</w:t>
            </w:r>
          </w:p>
        </w:tc>
        <w:tc>
          <w:tcPr>
            <w:tcW w:type="dxa" w:w="4608"/>
            <w:shd w:val="clear" w:color="auto" w:fill="FFFFFF"/>
          </w:tcPr>
          <w:p>
            <w:r>
              <w:rPr>
                <w:rFonts w:ascii="Calibri" w:hAnsi="Calibri"/>
                <w:sz w:val="20"/>
              </w:rPr>
              <w:t>Gemini 1.5 Pro, Gemini Flash</w:t>
            </w:r>
          </w:p>
        </w:tc>
        <w:tc>
          <w:tcPr>
            <w:tcW w:type="dxa" w:w="2592"/>
            <w:shd w:val="clear" w:color="auto" w:fill="FFFFFF"/>
          </w:tcPr>
          <w:p>
            <w:r>
              <w:rPr>
                <w:rFonts w:ascii="Calibri" w:hAnsi="Calibri"/>
                <w:sz w:val="20"/>
              </w:rPr>
              <w:t>API Gateway + SDK</w:t>
            </w:r>
          </w:p>
        </w:tc>
      </w:tr>
      <w:tr>
        <w:tc>
          <w:tcPr>
            <w:tcW w:type="dxa" w:w="2160"/>
            <w:shd w:val="clear" w:color="auto" w:fill="F0F4FF"/>
          </w:tcPr>
          <w:p>
            <w:r>
              <w:rPr>
                <w:rFonts w:ascii="Calibri" w:hAnsi="Calibri"/>
                <w:sz w:val="20"/>
              </w:rPr>
              <w:t>Azure OpenAI</w:t>
            </w:r>
          </w:p>
        </w:tc>
        <w:tc>
          <w:tcPr>
            <w:tcW w:type="dxa" w:w="4608"/>
            <w:shd w:val="clear" w:color="auto" w:fill="F0F4FF"/>
          </w:tcPr>
          <w:p>
            <w:r>
              <w:rPr>
                <w:rFonts w:ascii="Calibri" w:hAnsi="Calibri"/>
                <w:sz w:val="20"/>
              </w:rPr>
              <w:t>All Azure-deployed OpenAI models</w:t>
            </w:r>
          </w:p>
        </w:tc>
        <w:tc>
          <w:tcPr>
            <w:tcW w:type="dxa" w:w="2592"/>
            <w:shd w:val="clear" w:color="auto" w:fill="F0F4FF"/>
          </w:tcPr>
          <w:p>
            <w:r>
              <w:rPr>
                <w:rFonts w:ascii="Calibri" w:hAnsi="Calibri"/>
                <w:sz w:val="20"/>
              </w:rPr>
              <w:t>API Gateway</w:t>
            </w:r>
          </w:p>
        </w:tc>
      </w:tr>
      <w:tr>
        <w:tc>
          <w:tcPr>
            <w:tcW w:type="dxa" w:w="2160"/>
            <w:shd w:val="clear" w:color="auto" w:fill="FFFFFF"/>
          </w:tcPr>
          <w:p>
            <w:r>
              <w:rPr>
                <w:rFonts w:ascii="Calibri" w:hAnsi="Calibri"/>
                <w:sz w:val="20"/>
              </w:rPr>
              <w:t>AWS Bedrock</w:t>
            </w:r>
          </w:p>
        </w:tc>
        <w:tc>
          <w:tcPr>
            <w:tcW w:type="dxa" w:w="4608"/>
            <w:shd w:val="clear" w:color="auto" w:fill="FFFFFF"/>
          </w:tcPr>
          <w:p>
            <w:r>
              <w:rPr>
                <w:rFonts w:ascii="Calibri" w:hAnsi="Calibri"/>
                <w:sz w:val="20"/>
              </w:rPr>
              <w:t>Meta Llama 3, Amazon Titan, Mistral</w:t>
            </w:r>
          </w:p>
        </w:tc>
        <w:tc>
          <w:tcPr>
            <w:tcW w:type="dxa" w:w="2592"/>
            <w:shd w:val="clear" w:color="auto" w:fill="FFFFFF"/>
          </w:tcPr>
          <w:p>
            <w:r>
              <w:rPr>
                <w:rFonts w:ascii="Calibri" w:hAnsi="Calibri"/>
                <w:sz w:val="20"/>
              </w:rPr>
              <w:t>API Gateway</w:t>
            </w:r>
          </w:p>
        </w:tc>
      </w:tr>
      <w:tr>
        <w:tc>
          <w:tcPr>
            <w:tcW w:type="dxa" w:w="2160"/>
            <w:shd w:val="clear" w:color="auto" w:fill="F0F4FF"/>
          </w:tcPr>
          <w:p>
            <w:r>
              <w:rPr>
                <w:rFonts w:ascii="Calibri" w:hAnsi="Calibri"/>
                <w:sz w:val="20"/>
              </w:rPr>
              <w:t>Mistral AI</w:t>
            </w:r>
          </w:p>
        </w:tc>
        <w:tc>
          <w:tcPr>
            <w:tcW w:type="dxa" w:w="4608"/>
            <w:shd w:val="clear" w:color="auto" w:fill="F0F4FF"/>
          </w:tcPr>
          <w:p>
            <w:r>
              <w:rPr>
                <w:rFonts w:ascii="Calibri" w:hAnsi="Calibri"/>
                <w:sz w:val="20"/>
              </w:rPr>
              <w:t>Mistral Large, Medium, 7B</w:t>
            </w:r>
          </w:p>
        </w:tc>
        <w:tc>
          <w:tcPr>
            <w:tcW w:type="dxa" w:w="2592"/>
            <w:shd w:val="clear" w:color="auto" w:fill="F0F4FF"/>
          </w:tcPr>
          <w:p>
            <w:r>
              <w:rPr>
                <w:rFonts w:ascii="Calibri" w:hAnsi="Calibri"/>
                <w:sz w:val="20"/>
              </w:rPr>
              <w:t>API Gateway</w:t>
            </w:r>
          </w:p>
        </w:tc>
      </w:tr>
      <w:tr>
        <w:tc>
          <w:tcPr>
            <w:tcW w:type="dxa" w:w="2160"/>
            <w:shd w:val="clear" w:color="auto" w:fill="FFFFFF"/>
          </w:tcPr>
          <w:p>
            <w:r>
              <w:rPr>
                <w:rFonts w:ascii="Calibri" w:hAnsi="Calibri"/>
                <w:sz w:val="20"/>
              </w:rPr>
              <w:t>Cohere</w:t>
            </w:r>
          </w:p>
        </w:tc>
        <w:tc>
          <w:tcPr>
            <w:tcW w:type="dxa" w:w="4608"/>
            <w:shd w:val="clear" w:color="auto" w:fill="FFFFFF"/>
          </w:tcPr>
          <w:p>
            <w:r>
              <w:rPr>
                <w:rFonts w:ascii="Calibri" w:hAnsi="Calibri"/>
                <w:sz w:val="20"/>
              </w:rPr>
              <w:t>Command R, Command R+</w:t>
            </w:r>
          </w:p>
        </w:tc>
        <w:tc>
          <w:tcPr>
            <w:tcW w:type="dxa" w:w="2592"/>
            <w:shd w:val="clear" w:color="auto" w:fill="FFFFFF"/>
          </w:tcPr>
          <w:p>
            <w:r>
              <w:rPr>
                <w:rFonts w:ascii="Calibri" w:hAnsi="Calibri"/>
                <w:sz w:val="20"/>
              </w:rPr>
              <w:t>API Gateway</w:t>
            </w:r>
          </w:p>
        </w:tc>
      </w:tr>
      <w:tr>
        <w:tc>
          <w:tcPr>
            <w:tcW w:type="dxa" w:w="2160"/>
            <w:shd w:val="clear" w:color="auto" w:fill="F0F4FF"/>
          </w:tcPr>
          <w:p>
            <w:r>
              <w:rPr>
                <w:rFonts w:ascii="Calibri" w:hAnsi="Calibri"/>
                <w:sz w:val="20"/>
              </w:rPr>
              <w:t>Self-hosted</w:t>
            </w:r>
          </w:p>
        </w:tc>
        <w:tc>
          <w:tcPr>
            <w:tcW w:type="dxa" w:w="4608"/>
            <w:shd w:val="clear" w:color="auto" w:fill="F0F4FF"/>
          </w:tcPr>
          <w:p>
            <w:r>
              <w:rPr>
                <w:rFonts w:ascii="Calibri" w:hAnsi="Calibri"/>
                <w:sz w:val="20"/>
              </w:rPr>
              <w:t>Any open-source model (Llama, Falcon, etc.)</w:t>
            </w:r>
          </w:p>
        </w:tc>
        <w:tc>
          <w:tcPr>
            <w:tcW w:type="dxa" w:w="2592"/>
            <w:shd w:val="clear" w:color="auto" w:fill="F0F4FF"/>
          </w:tcPr>
          <w:p>
            <w:r>
              <w:rPr>
                <w:rFonts w:ascii="Calibri" w:hAnsi="Calibri"/>
                <w:sz w:val="20"/>
              </w:rPr>
              <w:t>SDK</w:t>
            </w:r>
          </w:p>
        </w:tc>
      </w:tr>
    </w:tbl>
    <w:p/>
    <w:p>
      <w:pPr>
        <w:pStyle w:val="Heading2"/>
      </w:pPr>
      <w:r>
        <w:rPr>
          <w:color w:val="0066FF"/>
        </w:rPr>
        <w:t>8.2 Enterprise Connectors</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003388"/>
          </w:tcPr>
          <w:p>
            <w:pPr>
              <w:jc w:val="center"/>
            </w:pPr>
            <w:r>
              <w:rPr>
                <w:rFonts w:ascii="Calibri" w:hAnsi="Calibri"/>
                <w:b/>
                <w:color w:val="FFFFFF"/>
                <w:sz w:val="20"/>
              </w:rPr>
              <w:t>Category</w:t>
            </w:r>
          </w:p>
        </w:tc>
        <w:tc>
          <w:tcPr>
            <w:tcW w:type="dxa" w:w="4320"/>
            <w:shd w:val="clear" w:color="auto" w:fill="003388"/>
          </w:tcPr>
          <w:p>
            <w:pPr>
              <w:jc w:val="center"/>
            </w:pPr>
            <w:r>
              <w:rPr>
                <w:rFonts w:ascii="Calibri" w:hAnsi="Calibri"/>
                <w:b/>
                <w:color w:val="FFFFFF"/>
                <w:sz w:val="20"/>
              </w:rPr>
              <w:t>Systems</w:t>
            </w:r>
          </w:p>
        </w:tc>
        <w:tc>
          <w:tcPr>
            <w:tcW w:type="dxa" w:w="4608"/>
            <w:shd w:val="clear" w:color="auto" w:fill="003388"/>
          </w:tcPr>
          <w:p>
            <w:pPr>
              <w:jc w:val="center"/>
            </w:pPr>
            <w:r>
              <w:rPr>
                <w:rFonts w:ascii="Calibri" w:hAnsi="Calibri"/>
                <w:b/>
                <w:color w:val="FFFFFF"/>
                <w:sz w:val="20"/>
              </w:rPr>
              <w:t>Data Used For</w:t>
            </w:r>
          </w:p>
        </w:tc>
      </w:tr>
      <w:tr>
        <w:tc>
          <w:tcPr>
            <w:tcW w:type="dxa" w:w="1872"/>
            <w:shd w:val="clear" w:color="auto" w:fill="FFFFFF"/>
          </w:tcPr>
          <w:p>
            <w:r>
              <w:rPr>
                <w:rFonts w:ascii="Calibri" w:hAnsi="Calibri"/>
                <w:sz w:val="20"/>
              </w:rPr>
              <w:t>CRM</w:t>
            </w:r>
          </w:p>
        </w:tc>
        <w:tc>
          <w:tcPr>
            <w:tcW w:type="dxa" w:w="4320"/>
            <w:shd w:val="clear" w:color="auto" w:fill="FFFFFF"/>
          </w:tcPr>
          <w:p>
            <w:r>
              <w:rPr>
                <w:rFonts w:ascii="Calibri" w:hAnsi="Calibri"/>
                <w:sz w:val="20"/>
              </w:rPr>
              <w:t>Salesforce, HubSpot, Microsoft Dynamics</w:t>
            </w:r>
          </w:p>
        </w:tc>
        <w:tc>
          <w:tcPr>
            <w:tcW w:type="dxa" w:w="4608"/>
            <w:shd w:val="clear" w:color="auto" w:fill="FFFFFF"/>
          </w:tcPr>
          <w:p>
            <w:r>
              <w:rPr>
                <w:rFonts w:ascii="Calibri" w:hAnsi="Calibri"/>
                <w:sz w:val="20"/>
              </w:rPr>
              <w:t>Product info, customer data, pricing</w:t>
            </w:r>
          </w:p>
        </w:tc>
      </w:tr>
      <w:tr>
        <w:tc>
          <w:tcPr>
            <w:tcW w:type="dxa" w:w="1872"/>
            <w:shd w:val="clear" w:color="auto" w:fill="F0F4FF"/>
          </w:tcPr>
          <w:p>
            <w:r>
              <w:rPr>
                <w:rFonts w:ascii="Calibri" w:hAnsi="Calibri"/>
                <w:sz w:val="20"/>
              </w:rPr>
              <w:t>ERP</w:t>
            </w:r>
          </w:p>
        </w:tc>
        <w:tc>
          <w:tcPr>
            <w:tcW w:type="dxa" w:w="4320"/>
            <w:shd w:val="clear" w:color="auto" w:fill="F0F4FF"/>
          </w:tcPr>
          <w:p>
            <w:r>
              <w:rPr>
                <w:rFonts w:ascii="Calibri" w:hAnsi="Calibri"/>
                <w:sz w:val="20"/>
              </w:rPr>
              <w:t>SAP, Oracle, Workday</w:t>
            </w:r>
          </w:p>
        </w:tc>
        <w:tc>
          <w:tcPr>
            <w:tcW w:type="dxa" w:w="4608"/>
            <w:shd w:val="clear" w:color="auto" w:fill="F0F4FF"/>
          </w:tcPr>
          <w:p>
            <w:r>
              <w:rPr>
                <w:rFonts w:ascii="Calibri" w:hAnsi="Calibri"/>
                <w:sz w:val="20"/>
              </w:rPr>
              <w:t>Inventory, pricing, policy</w:t>
            </w:r>
          </w:p>
        </w:tc>
      </w:tr>
      <w:tr>
        <w:tc>
          <w:tcPr>
            <w:tcW w:type="dxa" w:w="1872"/>
            <w:shd w:val="clear" w:color="auto" w:fill="FFFFFF"/>
          </w:tcPr>
          <w:p>
            <w:r>
              <w:rPr>
                <w:rFonts w:ascii="Calibri" w:hAnsi="Calibri"/>
                <w:sz w:val="20"/>
              </w:rPr>
              <w:t>ITSM</w:t>
            </w:r>
          </w:p>
        </w:tc>
        <w:tc>
          <w:tcPr>
            <w:tcW w:type="dxa" w:w="4320"/>
            <w:shd w:val="clear" w:color="auto" w:fill="FFFFFF"/>
          </w:tcPr>
          <w:p>
            <w:r>
              <w:rPr>
                <w:rFonts w:ascii="Calibri" w:hAnsi="Calibri"/>
                <w:sz w:val="20"/>
              </w:rPr>
              <w:t>ServiceNow, Jira, Zendesk</w:t>
            </w:r>
          </w:p>
        </w:tc>
        <w:tc>
          <w:tcPr>
            <w:tcW w:type="dxa" w:w="4608"/>
            <w:shd w:val="clear" w:color="auto" w:fill="FFFFFF"/>
          </w:tcPr>
          <w:p>
            <w:r>
              <w:rPr>
                <w:rFonts w:ascii="Calibri" w:hAnsi="Calibri"/>
                <w:sz w:val="20"/>
              </w:rPr>
              <w:t>IT knowledge base, process docs</w:t>
            </w:r>
          </w:p>
        </w:tc>
      </w:tr>
      <w:tr>
        <w:tc>
          <w:tcPr>
            <w:tcW w:type="dxa" w:w="1872"/>
            <w:shd w:val="clear" w:color="auto" w:fill="F0F4FF"/>
          </w:tcPr>
          <w:p>
            <w:r>
              <w:rPr>
                <w:rFonts w:ascii="Calibri" w:hAnsi="Calibri"/>
                <w:sz w:val="20"/>
              </w:rPr>
              <w:t>HRIS</w:t>
            </w:r>
          </w:p>
        </w:tc>
        <w:tc>
          <w:tcPr>
            <w:tcW w:type="dxa" w:w="4320"/>
            <w:shd w:val="clear" w:color="auto" w:fill="F0F4FF"/>
          </w:tcPr>
          <w:p>
            <w:r>
              <w:rPr>
                <w:rFonts w:ascii="Calibri" w:hAnsi="Calibri"/>
                <w:sz w:val="20"/>
              </w:rPr>
              <w:t>Workday, BambooHR, ADP</w:t>
            </w:r>
          </w:p>
        </w:tc>
        <w:tc>
          <w:tcPr>
            <w:tcW w:type="dxa" w:w="4608"/>
            <w:shd w:val="clear" w:color="auto" w:fill="F0F4FF"/>
          </w:tcPr>
          <w:p>
            <w:r>
              <w:rPr>
                <w:rFonts w:ascii="Calibri" w:hAnsi="Calibri"/>
                <w:sz w:val="20"/>
              </w:rPr>
              <w:t>HR policies, employee data</w:t>
            </w:r>
          </w:p>
        </w:tc>
      </w:tr>
      <w:tr>
        <w:tc>
          <w:tcPr>
            <w:tcW w:type="dxa" w:w="1872"/>
            <w:shd w:val="clear" w:color="auto" w:fill="FFFFFF"/>
          </w:tcPr>
          <w:p>
            <w:r>
              <w:rPr>
                <w:rFonts w:ascii="Calibri" w:hAnsi="Calibri"/>
                <w:sz w:val="20"/>
              </w:rPr>
              <w:t>Legal DB</w:t>
            </w:r>
          </w:p>
        </w:tc>
        <w:tc>
          <w:tcPr>
            <w:tcW w:type="dxa" w:w="4320"/>
            <w:shd w:val="clear" w:color="auto" w:fill="FFFFFF"/>
          </w:tcPr>
          <w:p>
            <w:r>
              <w:rPr>
                <w:rFonts w:ascii="Calibri" w:hAnsi="Calibri"/>
                <w:sz w:val="20"/>
              </w:rPr>
              <w:t>Westlaw, LexisNexis, CourtListener</w:t>
            </w:r>
          </w:p>
        </w:tc>
        <w:tc>
          <w:tcPr>
            <w:tcW w:type="dxa" w:w="4608"/>
            <w:shd w:val="clear" w:color="auto" w:fill="FFFFFF"/>
          </w:tcPr>
          <w:p>
            <w:r>
              <w:rPr>
                <w:rFonts w:ascii="Calibri" w:hAnsi="Calibri"/>
                <w:sz w:val="20"/>
              </w:rPr>
              <w:t>Case citations, statutes</w:t>
            </w:r>
          </w:p>
        </w:tc>
      </w:tr>
      <w:tr>
        <w:tc>
          <w:tcPr>
            <w:tcW w:type="dxa" w:w="1872"/>
            <w:shd w:val="clear" w:color="auto" w:fill="F0F4FF"/>
          </w:tcPr>
          <w:p>
            <w:r>
              <w:rPr>
                <w:rFonts w:ascii="Calibri" w:hAnsi="Calibri"/>
                <w:sz w:val="20"/>
              </w:rPr>
              <w:t>Healthcare</w:t>
            </w:r>
          </w:p>
        </w:tc>
        <w:tc>
          <w:tcPr>
            <w:tcW w:type="dxa" w:w="4320"/>
            <w:shd w:val="clear" w:color="auto" w:fill="F0F4FF"/>
          </w:tcPr>
          <w:p>
            <w:r>
              <w:rPr>
                <w:rFonts w:ascii="Calibri" w:hAnsi="Calibri"/>
                <w:sz w:val="20"/>
              </w:rPr>
              <w:t>Epic, Cerner, FDA APIs, PubMed, Formulary DBs</w:t>
            </w:r>
          </w:p>
        </w:tc>
        <w:tc>
          <w:tcPr>
            <w:tcW w:type="dxa" w:w="4608"/>
            <w:shd w:val="clear" w:color="auto" w:fill="F0F4FF"/>
          </w:tcPr>
          <w:p>
            <w:r>
              <w:rPr>
                <w:rFonts w:ascii="Calibri" w:hAnsi="Calibri"/>
                <w:sz w:val="20"/>
              </w:rPr>
              <w:t>Drug data, clinical guidelines</w:t>
            </w:r>
          </w:p>
        </w:tc>
      </w:tr>
      <w:tr>
        <w:tc>
          <w:tcPr>
            <w:tcW w:type="dxa" w:w="1872"/>
            <w:shd w:val="clear" w:color="auto" w:fill="FFFFFF"/>
          </w:tcPr>
          <w:p>
            <w:r>
              <w:rPr>
                <w:rFonts w:ascii="Calibri" w:hAnsi="Calibri"/>
                <w:sz w:val="20"/>
              </w:rPr>
              <w:t>Financial</w:t>
            </w:r>
          </w:p>
        </w:tc>
        <w:tc>
          <w:tcPr>
            <w:tcW w:type="dxa" w:w="4320"/>
            <w:shd w:val="clear" w:color="auto" w:fill="FFFFFF"/>
          </w:tcPr>
          <w:p>
            <w:r>
              <w:rPr>
                <w:rFonts w:ascii="Calibri" w:hAnsi="Calibri"/>
                <w:sz w:val="20"/>
              </w:rPr>
              <w:t>Bloomberg, Reuters, Core Banking APIs</w:t>
            </w:r>
          </w:p>
        </w:tc>
        <w:tc>
          <w:tcPr>
            <w:tcW w:type="dxa" w:w="4608"/>
            <w:shd w:val="clear" w:color="auto" w:fill="FFFFFF"/>
          </w:tcPr>
          <w:p>
            <w:r>
              <w:rPr>
                <w:rFonts w:ascii="Calibri" w:hAnsi="Calibri"/>
                <w:sz w:val="20"/>
              </w:rPr>
              <w:t>Rates, market data, product pricing</w:t>
            </w:r>
          </w:p>
        </w:tc>
      </w:tr>
      <w:tr>
        <w:tc>
          <w:tcPr>
            <w:tcW w:type="dxa" w:w="1872"/>
            <w:shd w:val="clear" w:color="auto" w:fill="F0F4FF"/>
          </w:tcPr>
          <w:p>
            <w:r>
              <w:rPr>
                <w:rFonts w:ascii="Calibri" w:hAnsi="Calibri"/>
                <w:sz w:val="20"/>
              </w:rPr>
              <w:t>Identity</w:t>
            </w:r>
          </w:p>
        </w:tc>
        <w:tc>
          <w:tcPr>
            <w:tcW w:type="dxa" w:w="4320"/>
            <w:shd w:val="clear" w:color="auto" w:fill="F0F4FF"/>
          </w:tcPr>
          <w:p>
            <w:r>
              <w:rPr>
                <w:rFonts w:ascii="Calibri" w:hAnsi="Calibri"/>
                <w:sz w:val="20"/>
              </w:rPr>
              <w:t>Active Directory, Okta, Azure AD</w:t>
            </w:r>
          </w:p>
        </w:tc>
        <w:tc>
          <w:tcPr>
            <w:tcW w:type="dxa" w:w="4608"/>
            <w:shd w:val="clear" w:color="auto" w:fill="F0F4FF"/>
          </w:tcPr>
          <w:p>
            <w:r>
              <w:rPr>
                <w:rFonts w:ascii="Calibri" w:hAnsi="Calibri"/>
                <w:sz w:val="20"/>
              </w:rPr>
              <w:t>User context, permissions</w:t>
            </w:r>
          </w:p>
        </w:tc>
      </w:tr>
    </w:tbl>
    <w:p/>
    <w:p>
      <w:pPr>
        <w:pStyle w:val="Heading2"/>
      </w:pPr>
      <w:r>
        <w:rPr>
          <w:color w:val="0066FF"/>
        </w:rPr>
        <w:t>8.3 SDK Integration</w:t>
      </w:r>
    </w:p>
    <w:p>
      <w:pPr>
        <w:spacing w:after="120"/>
        <w:jc w:val="left"/>
      </w:pPr>
      <w:r>
        <w:rPr>
          <w:rFonts w:ascii="Calibri" w:hAnsi="Calibri"/>
          <w:b w:val="0"/>
          <w:i w:val="0"/>
          <w:sz w:val="22"/>
        </w:rPr>
        <w:t>Python SDK example (minimal integration):</w:t>
      </w:r>
    </w:p>
    <w:tbl>
      <w:tblPr>
        <w:tblW w:type="auto" w:w="0"/>
        <w:jc w:val="left"/>
        <w:tblLook w:firstColumn="1" w:firstRow="1" w:lastColumn="0" w:lastRow="0" w:noHBand="0" w:noVBand="1" w:val="04A0"/>
      </w:tblPr>
      <w:tblGrid>
        <w:gridCol w:w="9360"/>
      </w:tblGrid>
      <w:tr>
        <w:tc>
          <w:tcPr>
            <w:tcW w:type="dxa" w:w="9360"/>
            <w:shd w:val="clear" w:color="auto" w:fill="F0F4FF"/>
          </w:tcPr>
          <w:p>
            <w:r>
              <w:rPr>
                <w:rFonts w:ascii="Courier New" w:hAnsi="Courier New"/>
                <w:sz w:val="18"/>
              </w:rPr>
              <w:t>from trustlayer import TrustLayerClient</w:t>
            </w:r>
          </w:p>
          <w:p>
            <w:r>
              <w:rPr>
                <w:rFonts w:ascii="Courier New" w:hAnsi="Courier New"/>
                <w:sz w:val="18"/>
              </w:rPr>
            </w:r>
          </w:p>
          <w:p>
            <w:r>
              <w:rPr>
                <w:rFonts w:ascii="Courier New" w:hAnsi="Courier New"/>
                <w:sz w:val="18"/>
              </w:rPr>
              <w:t>client = TrustLayerClient(</w:t>
            </w:r>
          </w:p>
          <w:p>
            <w:r>
              <w:rPr>
                <w:rFonts w:ascii="Courier New" w:hAnsi="Courier New"/>
                <w:sz w:val="18"/>
              </w:rPr>
              <w:t xml:space="preserve">    api_key='tl_prod_xxxxxxxxxxxx',</w:t>
            </w:r>
          </w:p>
          <w:p>
            <w:r>
              <w:rPr>
                <w:rFonts w:ascii="Courier New" w:hAnsi="Courier New"/>
                <w:sz w:val="18"/>
              </w:rPr>
              <w:t xml:space="preserve">    industry='BFSI_Banking',</w:t>
            </w:r>
          </w:p>
          <w:p>
            <w:r>
              <w:rPr>
                <w:rFonts w:ascii="Courier New" w:hAnsi="Courier New"/>
                <w:sz w:val="18"/>
              </w:rPr>
              <w:t xml:space="preserve">    grounding_sources=['salesforce', 'core_banking']</w:t>
            </w:r>
          </w:p>
          <w:p>
            <w:r>
              <w:rPr>
                <w:rFonts w:ascii="Courier New" w:hAnsi="Courier New"/>
                <w:sz w:val="18"/>
              </w:rPr>
              <w:t>)</w:t>
            </w:r>
          </w:p>
          <w:p>
            <w:r>
              <w:rPr>
                <w:rFonts w:ascii="Courier New" w:hAnsi="Courier New"/>
                <w:sz w:val="18"/>
              </w:rPr>
            </w:r>
          </w:p>
          <w:p>
            <w:r>
              <w:rPr>
                <w:rFonts w:ascii="Courier New" w:hAnsi="Courier New"/>
                <w:sz w:val="18"/>
              </w:rPr>
              <w:t># Wrap your existing LLM call</w:t>
            </w:r>
          </w:p>
          <w:p>
            <w:r>
              <w:rPr>
                <w:rFonts w:ascii="Courier New" w:hAnsi="Courier New"/>
                <w:sz w:val="18"/>
              </w:rPr>
              <w:t>llm_response = openai_client.chat.completions.create(...)</w:t>
            </w:r>
          </w:p>
          <w:p>
            <w:r>
              <w:rPr>
                <w:rFonts w:ascii="Courier New" w:hAnsi="Courier New"/>
                <w:sz w:val="18"/>
              </w:rPr>
            </w:r>
          </w:p>
          <w:p>
            <w:r>
              <w:rPr>
                <w:rFonts w:ascii="Courier New" w:hAnsi="Courier New"/>
                <w:sz w:val="18"/>
              </w:rPr>
              <w:t>result = client.verify(</w:t>
            </w:r>
          </w:p>
          <w:p>
            <w:r>
              <w:rPr>
                <w:rFonts w:ascii="Courier New" w:hAnsi="Courier New"/>
                <w:sz w:val="18"/>
              </w:rPr>
              <w:t xml:space="preserve">    query=user_message,</w:t>
            </w:r>
          </w:p>
          <w:p>
            <w:r>
              <w:rPr>
                <w:rFonts w:ascii="Courier New" w:hAnsi="Courier New"/>
                <w:sz w:val="18"/>
              </w:rPr>
              <w:t xml:space="preserve">    llm_response=llm_response.choices[0].message.content,</w:t>
            </w:r>
          </w:p>
          <w:p>
            <w:r>
              <w:rPr>
                <w:rFonts w:ascii="Courier New" w:hAnsi="Courier New"/>
                <w:sz w:val="18"/>
              </w:rPr>
              <w:t xml:space="preserve">    context={'user_id': user.id, 'session_id': session.id}</w:t>
            </w:r>
          </w:p>
          <w:p>
            <w:r>
              <w:rPr>
                <w:rFonts w:ascii="Courier New" w:hAnsi="Courier New"/>
                <w:sz w:val="18"/>
              </w:rPr>
              <w:t>)</w:t>
            </w:r>
          </w:p>
          <w:p>
            <w:r>
              <w:rPr>
                <w:rFonts w:ascii="Courier New" w:hAnsi="Courier New"/>
                <w:sz w:val="18"/>
              </w:rPr>
            </w:r>
          </w:p>
          <w:p>
            <w:r>
              <w:rPr>
                <w:rFonts w:ascii="Courier New" w:hAnsi="Courier New"/>
                <w:sz w:val="18"/>
              </w:rPr>
              <w:t>if result.action == 'PASS':</w:t>
            </w:r>
          </w:p>
          <w:p>
            <w:r>
              <w:rPr>
                <w:rFonts w:ascii="Courier New" w:hAnsi="Courier New"/>
                <w:sz w:val="18"/>
              </w:rPr>
              <w:t xml:space="preserve">    deliver_to_user(result.content)</w:t>
            </w:r>
          </w:p>
          <w:p>
            <w:r>
              <w:rPr>
                <w:rFonts w:ascii="Courier New" w:hAnsi="Courier New"/>
                <w:sz w:val="18"/>
              </w:rPr>
              <w:t>elif result.action == 'FLAG':</w:t>
            </w:r>
          </w:p>
          <w:p>
            <w:r>
              <w:rPr>
                <w:rFonts w:ascii="Courier New" w:hAnsi="Courier New"/>
                <w:sz w:val="18"/>
              </w:rPr>
              <w:t xml:space="preserve">    queue_for_human_review(result)</w:t>
            </w:r>
          </w:p>
          <w:p>
            <w:r>
              <w:rPr>
                <w:rFonts w:ascii="Courier New" w:hAnsi="Courier New"/>
                <w:sz w:val="18"/>
              </w:rPr>
              <w:t>else:  # BLOCK</w:t>
            </w:r>
          </w:p>
          <w:p>
            <w:r>
              <w:rPr>
                <w:rFonts w:ascii="Courier New" w:hAnsi="Courier New"/>
                <w:sz w:val="18"/>
              </w:rPr>
              <w:t xml:space="preserve">    deliver_fallback_message(result.fallback_suggestion)</w:t>
            </w:r>
          </w:p>
          <w:p>
            <w:r>
              <w:rPr>
                <w:rFonts w:ascii="Courier New" w:hAnsi="Courier New"/>
                <w:sz w:val="18"/>
              </w:rPr>
              <w:t xml:space="preserve">    log_incident(result)</w:t>
            </w:r>
          </w:p>
        </w:tc>
      </w:tr>
    </w:tbl>
    <w:p/>
    <w:p>
      <w:pPr>
        <w:pStyle w:val="Heading2"/>
      </w:pPr>
      <w:r>
        <w:rPr>
          <w:color w:val="0066FF"/>
        </w:rPr>
        <w:t>8.4 API Gateway Mode (Zero Code)</w:t>
      </w:r>
    </w:p>
    <w:tbl>
      <w:tblPr>
        <w:tblW w:type="auto" w:w="0"/>
        <w:jc w:val="left"/>
        <w:tblLook w:firstColumn="1" w:firstRow="1" w:lastColumn="0" w:lastRow="0" w:noHBand="0" w:noVBand="1" w:val="04A0"/>
      </w:tblPr>
      <w:tblGrid>
        <w:gridCol w:w="9360"/>
      </w:tblGrid>
      <w:tr>
        <w:tc>
          <w:tcPr>
            <w:tcW w:type="dxa" w:w="9360"/>
            <w:shd w:val="clear" w:color="auto" w:fill="F0F4FF"/>
          </w:tcPr>
          <w:p>
            <w:r>
              <w:rPr>
                <w:rFonts w:ascii="Courier New" w:hAnsi="Courier New"/>
                <w:sz w:val="18"/>
              </w:rPr>
              <w:t># BEFORE TrustLayer</w:t>
            </w:r>
          </w:p>
          <w:p>
            <w:r>
              <w:rPr>
                <w:rFonts w:ascii="Courier New" w:hAnsi="Courier New"/>
                <w:sz w:val="18"/>
              </w:rPr>
              <w:t>POST https://api.openai.com/v1/chat/completions</w:t>
            </w:r>
          </w:p>
          <w:p>
            <w:r>
              <w:rPr>
                <w:rFonts w:ascii="Courier New" w:hAnsi="Courier New"/>
                <w:sz w:val="18"/>
              </w:rPr>
              <w:t>Headers: Authorization: Bearer sk-...</w:t>
            </w:r>
          </w:p>
          <w:p>
            <w:r>
              <w:rPr>
                <w:rFonts w:ascii="Courier New" w:hAnsi="Courier New"/>
                <w:sz w:val="18"/>
              </w:rPr>
            </w:r>
          </w:p>
          <w:p>
            <w:r>
              <w:rPr>
                <w:rFonts w:ascii="Courier New" w:hAnsi="Courier New"/>
                <w:sz w:val="18"/>
              </w:rPr>
              <w:t># AFTER TrustLayer — ZERO CODE CHANGE</w:t>
            </w:r>
          </w:p>
          <w:p>
            <w:r>
              <w:rPr>
                <w:rFonts w:ascii="Courier New" w:hAnsi="Courier New"/>
                <w:sz w:val="18"/>
              </w:rPr>
              <w:t>POST https://gateway.trustlayer.ai/openai/v1/chat/completions</w:t>
            </w:r>
          </w:p>
          <w:p>
            <w:r>
              <w:rPr>
                <w:rFonts w:ascii="Courier New" w:hAnsi="Courier New"/>
                <w:sz w:val="18"/>
              </w:rPr>
              <w:t>Headers: Authorization: Bearer sk-...              # unchanged</w:t>
            </w:r>
          </w:p>
          <w:p>
            <w:r>
              <w:rPr>
                <w:rFonts w:ascii="Courier New" w:hAnsi="Courier New"/>
                <w:sz w:val="18"/>
              </w:rPr>
              <w:t xml:space="preserve">         X-TrustLayer-Key: tl_prod_xxxx</w:t>
            </w:r>
          </w:p>
          <w:p>
            <w:r>
              <w:rPr>
                <w:rFonts w:ascii="Courier New" w:hAnsi="Courier New"/>
                <w:sz w:val="18"/>
              </w:rPr>
              <w:t xml:space="preserve">         X-TrustLayer-Industry: BFSI_Banking       # optional</w:t>
            </w:r>
          </w:p>
          <w:p>
            <w:r>
              <w:rPr>
                <w:rFonts w:ascii="Courier New" w:hAnsi="Courier New"/>
                <w:sz w:val="18"/>
              </w:rPr>
              <w:t xml:space="preserve">         X-TrustLayer-Grounding: salesforce,core_banking  # optional</w:t>
            </w:r>
          </w:p>
          <w:p>
            <w:r>
              <w:rPr>
                <w:rFonts w:ascii="Courier New" w:hAnsi="Courier New"/>
                <w:sz w:val="18"/>
              </w:rPr>
            </w:r>
          </w:p>
          <w:p>
            <w:r>
              <w:rPr>
                <w:rFonts w:ascii="Courier New" w:hAnsi="Courier New"/>
                <w:sz w:val="18"/>
              </w:rPr>
              <w:t># TrustLayer intercepts, analyzes, and returns verified response</w:t>
            </w:r>
          </w:p>
          <w:p>
            <w:r>
              <w:rPr>
                <w:rFonts w:ascii="Courier New" w:hAnsi="Courier New"/>
                <w:sz w:val="18"/>
              </w:rPr>
              <w:t># BLOCK responses return 200 with fallback_content field set</w:t>
            </w:r>
          </w:p>
        </w:tc>
      </w:tr>
    </w:tbl>
    <w:p/>
    <w:p>
      <w:r>
        <w:br w:type="page"/>
      </w:r>
    </w:p>
    <w:p>
      <w:pPr>
        <w:pStyle w:val="Heading1"/>
      </w:pPr>
      <w:r>
        <w:rPr>
          <w:color w:val="003388"/>
        </w:rPr>
        <w:t>9. Technology Stack</w:t>
      </w:r>
    </w:p>
    <w:p>
      <w:pPr>
        <w:spacing w:before="40" w:after="120"/>
        <w:pBdr>
          <w:bottom w:val="single" w:sz="12" w:space="1" w:color="0066FF"/>
        </w:pBdr>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003388"/>
          </w:tcPr>
          <w:p>
            <w:pPr>
              <w:jc w:val="center"/>
            </w:pPr>
            <w:r>
              <w:rPr>
                <w:rFonts w:ascii="Calibri" w:hAnsi="Calibri"/>
                <w:b/>
                <w:color w:val="FFFFFF"/>
                <w:sz w:val="18"/>
              </w:rPr>
              <w:t>Layer</w:t>
            </w:r>
          </w:p>
        </w:tc>
        <w:tc>
          <w:tcPr>
            <w:tcW w:type="dxa" w:w="2592"/>
            <w:shd w:val="clear" w:color="auto" w:fill="003388"/>
          </w:tcPr>
          <w:p>
            <w:pPr>
              <w:jc w:val="center"/>
            </w:pPr>
            <w:r>
              <w:rPr>
                <w:rFonts w:ascii="Calibri" w:hAnsi="Calibri"/>
                <w:b/>
                <w:color w:val="FFFFFF"/>
                <w:sz w:val="18"/>
              </w:rPr>
              <w:t>Component</w:t>
            </w:r>
          </w:p>
        </w:tc>
        <w:tc>
          <w:tcPr>
            <w:tcW w:type="dxa" w:w="3168"/>
            <w:shd w:val="clear" w:color="auto" w:fill="003388"/>
          </w:tcPr>
          <w:p>
            <w:pPr>
              <w:jc w:val="center"/>
            </w:pPr>
            <w:r>
              <w:rPr>
                <w:rFonts w:ascii="Calibri" w:hAnsi="Calibri"/>
                <w:b/>
                <w:color w:val="FFFFFF"/>
                <w:sz w:val="18"/>
              </w:rPr>
              <w:t>Technology</w:t>
            </w:r>
          </w:p>
        </w:tc>
        <w:tc>
          <w:tcPr>
            <w:tcW w:type="dxa" w:w="3456"/>
            <w:shd w:val="clear" w:color="auto" w:fill="003388"/>
          </w:tcPr>
          <w:p>
            <w:pPr>
              <w:jc w:val="center"/>
            </w:pPr>
            <w:r>
              <w:rPr>
                <w:rFonts w:ascii="Calibri" w:hAnsi="Calibri"/>
                <w:b/>
                <w:color w:val="FFFFFF"/>
                <w:sz w:val="18"/>
              </w:rPr>
              <w:t>Purpose</w:t>
            </w:r>
          </w:p>
        </w:tc>
      </w:tr>
      <w:tr>
        <w:tc>
          <w:tcPr>
            <w:tcW w:type="dxa" w:w="1872"/>
            <w:shd w:val="clear" w:color="auto" w:fill="FFFFFF"/>
          </w:tcPr>
          <w:p>
            <w:r>
              <w:rPr>
                <w:rFonts w:ascii="Calibri" w:hAnsi="Calibri"/>
                <w:sz w:val="18"/>
              </w:rPr>
              <w:t>Application</w:t>
            </w:r>
          </w:p>
        </w:tc>
        <w:tc>
          <w:tcPr>
            <w:tcW w:type="dxa" w:w="2592"/>
            <w:shd w:val="clear" w:color="auto" w:fill="FFFFFF"/>
          </w:tcPr>
          <w:p>
            <w:r>
              <w:rPr>
                <w:rFonts w:ascii="Calibri" w:hAnsi="Calibri"/>
                <w:sz w:val="18"/>
              </w:rPr>
              <w:t>Demo Frontend</w:t>
            </w:r>
          </w:p>
        </w:tc>
        <w:tc>
          <w:tcPr>
            <w:tcW w:type="dxa" w:w="3168"/>
            <w:shd w:val="clear" w:color="auto" w:fill="FFFFFF"/>
          </w:tcPr>
          <w:p>
            <w:r>
              <w:rPr>
                <w:rFonts w:ascii="Calibri" w:hAnsi="Calibri"/>
                <w:sz w:val="18"/>
              </w:rPr>
              <w:t>Streamlit 1.32+ + Plotly</w:t>
            </w:r>
          </w:p>
        </w:tc>
        <w:tc>
          <w:tcPr>
            <w:tcW w:type="dxa" w:w="3456"/>
            <w:shd w:val="clear" w:color="auto" w:fill="FFFFFF"/>
          </w:tcPr>
          <w:p>
            <w:r>
              <w:rPr>
                <w:rFonts w:ascii="Calibri" w:hAnsi="Calibri"/>
                <w:sz w:val="18"/>
              </w:rPr>
              <w:t>Interactive hackathon demonstration</w:t>
            </w:r>
          </w:p>
        </w:tc>
      </w:tr>
      <w:tr>
        <w:tc>
          <w:tcPr>
            <w:tcW w:type="dxa" w:w="1872"/>
            <w:shd w:val="clear" w:color="auto" w:fill="F0F4FF"/>
          </w:tcPr>
          <w:p>
            <w:r>
              <w:rPr>
                <w:rFonts w:ascii="Calibri" w:hAnsi="Calibri"/>
                <w:sz w:val="18"/>
              </w:rPr>
              <w:t>Application</w:t>
            </w:r>
          </w:p>
        </w:tc>
        <w:tc>
          <w:tcPr>
            <w:tcW w:type="dxa" w:w="2592"/>
            <w:shd w:val="clear" w:color="auto" w:fill="F0F4FF"/>
          </w:tcPr>
          <w:p>
            <w:r>
              <w:rPr>
                <w:rFonts w:ascii="Calibri" w:hAnsi="Calibri"/>
                <w:sz w:val="18"/>
              </w:rPr>
              <w:t>API Gateway</w:t>
            </w:r>
          </w:p>
        </w:tc>
        <w:tc>
          <w:tcPr>
            <w:tcW w:type="dxa" w:w="3168"/>
            <w:shd w:val="clear" w:color="auto" w:fill="F0F4FF"/>
          </w:tcPr>
          <w:p>
            <w:r>
              <w:rPr>
                <w:rFonts w:ascii="Calibri" w:hAnsi="Calibri"/>
                <w:sz w:val="18"/>
              </w:rPr>
              <w:t>FastAPI (Python 3.11)</w:t>
            </w:r>
          </w:p>
        </w:tc>
        <w:tc>
          <w:tcPr>
            <w:tcW w:type="dxa" w:w="3456"/>
            <w:shd w:val="clear" w:color="auto" w:fill="F0F4FF"/>
          </w:tcPr>
          <w:p>
            <w:r>
              <w:rPr>
                <w:rFonts w:ascii="Calibri" w:hAnsi="Calibri"/>
                <w:sz w:val="18"/>
              </w:rPr>
              <w:t>Async high-performance routing</w:t>
            </w:r>
          </w:p>
        </w:tc>
      </w:tr>
      <w:tr>
        <w:tc>
          <w:tcPr>
            <w:tcW w:type="dxa" w:w="1872"/>
            <w:shd w:val="clear" w:color="auto" w:fill="FFFFFF"/>
          </w:tcPr>
          <w:p>
            <w:r>
              <w:rPr>
                <w:rFonts w:ascii="Calibri" w:hAnsi="Calibri"/>
                <w:sz w:val="18"/>
              </w:rPr>
              <w:t>Application</w:t>
            </w:r>
          </w:p>
        </w:tc>
        <w:tc>
          <w:tcPr>
            <w:tcW w:type="dxa" w:w="2592"/>
            <w:shd w:val="clear" w:color="auto" w:fill="FFFFFF"/>
          </w:tcPr>
          <w:p>
            <w:r>
              <w:rPr>
                <w:rFonts w:ascii="Calibri" w:hAnsi="Calibri"/>
                <w:sz w:val="18"/>
              </w:rPr>
              <w:t>Detection Orchestrator</w:t>
            </w:r>
          </w:p>
        </w:tc>
        <w:tc>
          <w:tcPr>
            <w:tcW w:type="dxa" w:w="3168"/>
            <w:shd w:val="clear" w:color="auto" w:fill="FFFFFF"/>
          </w:tcPr>
          <w:p>
            <w:r>
              <w:rPr>
                <w:rFonts w:ascii="Calibri" w:hAnsi="Calibri"/>
                <w:sz w:val="18"/>
              </w:rPr>
              <w:t>asyncio + concurrent.futures</w:t>
            </w:r>
          </w:p>
        </w:tc>
        <w:tc>
          <w:tcPr>
            <w:tcW w:type="dxa" w:w="3456"/>
            <w:shd w:val="clear" w:color="auto" w:fill="FFFFFF"/>
          </w:tcPr>
          <w:p>
            <w:r>
              <w:rPr>
                <w:rFonts w:ascii="Calibri" w:hAnsi="Calibri"/>
                <w:sz w:val="18"/>
              </w:rPr>
              <w:t>Parallel technique coordination</w:t>
            </w:r>
          </w:p>
        </w:tc>
      </w:tr>
      <w:tr>
        <w:tc>
          <w:tcPr>
            <w:tcW w:type="dxa" w:w="1872"/>
            <w:shd w:val="clear" w:color="auto" w:fill="F0F4FF"/>
          </w:tcPr>
          <w:p>
            <w:r>
              <w:rPr>
                <w:rFonts w:ascii="Calibri" w:hAnsi="Calibri"/>
                <w:sz w:val="18"/>
              </w:rPr>
              <w:t>ML/NLP</w:t>
            </w:r>
          </w:p>
        </w:tc>
        <w:tc>
          <w:tcPr>
            <w:tcW w:type="dxa" w:w="2592"/>
            <w:shd w:val="clear" w:color="auto" w:fill="F0F4FF"/>
          </w:tcPr>
          <w:p>
            <w:r>
              <w:rPr>
                <w:rFonts w:ascii="Calibri" w:hAnsi="Calibri"/>
                <w:sz w:val="18"/>
              </w:rPr>
              <w:t>Semantic Analysis</w:t>
            </w:r>
          </w:p>
        </w:tc>
        <w:tc>
          <w:tcPr>
            <w:tcW w:type="dxa" w:w="3168"/>
            <w:shd w:val="clear" w:color="auto" w:fill="F0F4FF"/>
          </w:tcPr>
          <w:p>
            <w:r>
              <w:rPr>
                <w:rFonts w:ascii="Calibri" w:hAnsi="Calibri"/>
                <w:sz w:val="18"/>
              </w:rPr>
              <w:t>sentence-transformers 3.x</w:t>
            </w:r>
          </w:p>
        </w:tc>
        <w:tc>
          <w:tcPr>
            <w:tcW w:type="dxa" w:w="3456"/>
            <w:shd w:val="clear" w:color="auto" w:fill="F0F4FF"/>
          </w:tcPr>
          <w:p>
            <w:r>
              <w:rPr>
                <w:rFonts w:ascii="Calibri" w:hAnsi="Calibri"/>
                <w:sz w:val="18"/>
              </w:rPr>
              <w:t>Embedding-based entropy calculation</w:t>
            </w:r>
          </w:p>
        </w:tc>
      </w:tr>
      <w:tr>
        <w:tc>
          <w:tcPr>
            <w:tcW w:type="dxa" w:w="1872"/>
            <w:shd w:val="clear" w:color="auto" w:fill="FFFFFF"/>
          </w:tcPr>
          <w:p>
            <w:r>
              <w:rPr>
                <w:rFonts w:ascii="Calibri" w:hAnsi="Calibri"/>
                <w:sz w:val="18"/>
              </w:rPr>
              <w:t>ML/NLP</w:t>
            </w:r>
          </w:p>
        </w:tc>
        <w:tc>
          <w:tcPr>
            <w:tcW w:type="dxa" w:w="2592"/>
            <w:shd w:val="clear" w:color="auto" w:fill="FFFFFF"/>
          </w:tcPr>
          <w:p>
            <w:r>
              <w:rPr>
                <w:rFonts w:ascii="Calibri" w:hAnsi="Calibri"/>
                <w:sz w:val="18"/>
              </w:rPr>
              <w:t>Claim Extraction</w:t>
            </w:r>
          </w:p>
        </w:tc>
        <w:tc>
          <w:tcPr>
            <w:tcW w:type="dxa" w:w="3168"/>
            <w:shd w:val="clear" w:color="auto" w:fill="FFFFFF"/>
          </w:tcPr>
          <w:p>
            <w:r>
              <w:rPr>
                <w:rFonts w:ascii="Calibri" w:hAnsi="Calibri"/>
                <w:sz w:val="18"/>
              </w:rPr>
              <w:t>spaCy 3.x + custom NER</w:t>
            </w:r>
          </w:p>
        </w:tc>
        <w:tc>
          <w:tcPr>
            <w:tcW w:type="dxa" w:w="3456"/>
            <w:shd w:val="clear" w:color="auto" w:fill="FFFFFF"/>
          </w:tcPr>
          <w:p>
            <w:r>
              <w:rPr>
                <w:rFonts w:ascii="Calibri" w:hAnsi="Calibri"/>
                <w:sz w:val="18"/>
              </w:rPr>
              <w:t>Named entity + assertion extraction</w:t>
            </w:r>
          </w:p>
        </w:tc>
      </w:tr>
      <w:tr>
        <w:tc>
          <w:tcPr>
            <w:tcW w:type="dxa" w:w="1872"/>
            <w:shd w:val="clear" w:color="auto" w:fill="F0F4FF"/>
          </w:tcPr>
          <w:p>
            <w:r>
              <w:rPr>
                <w:rFonts w:ascii="Calibri" w:hAnsi="Calibri"/>
                <w:sz w:val="18"/>
              </w:rPr>
              <w:t>ML/NLP</w:t>
            </w:r>
          </w:p>
        </w:tc>
        <w:tc>
          <w:tcPr>
            <w:tcW w:type="dxa" w:w="2592"/>
            <w:shd w:val="clear" w:color="auto" w:fill="F0F4FF"/>
          </w:tcPr>
          <w:p>
            <w:r>
              <w:rPr>
                <w:rFonts w:ascii="Calibri" w:hAnsi="Calibri"/>
                <w:sz w:val="18"/>
              </w:rPr>
              <w:t>Pattern Recognition</w:t>
            </w:r>
          </w:p>
        </w:tc>
        <w:tc>
          <w:tcPr>
            <w:tcW w:type="dxa" w:w="3168"/>
            <w:shd w:val="clear" w:color="auto" w:fill="F0F4FF"/>
          </w:tcPr>
          <w:p>
            <w:r>
              <w:rPr>
                <w:rFonts w:ascii="Calibri" w:hAnsi="Calibri"/>
                <w:sz w:val="18"/>
              </w:rPr>
              <w:t>Fine-tuned RoBERTa (HuggingFace)</w:t>
            </w:r>
          </w:p>
        </w:tc>
        <w:tc>
          <w:tcPr>
            <w:tcW w:type="dxa" w:w="3456"/>
            <w:shd w:val="clear" w:color="auto" w:fill="F0F4FF"/>
          </w:tcPr>
          <w:p>
            <w:r>
              <w:rPr>
                <w:rFonts w:ascii="Calibri" w:hAnsi="Calibri"/>
                <w:sz w:val="18"/>
              </w:rPr>
              <w:t>Hallucination signature classifier</w:t>
            </w:r>
          </w:p>
        </w:tc>
      </w:tr>
      <w:tr>
        <w:tc>
          <w:tcPr>
            <w:tcW w:type="dxa" w:w="1872"/>
            <w:shd w:val="clear" w:color="auto" w:fill="FFFFFF"/>
          </w:tcPr>
          <w:p>
            <w:r>
              <w:rPr>
                <w:rFonts w:ascii="Calibri" w:hAnsi="Calibri"/>
                <w:sz w:val="18"/>
              </w:rPr>
              <w:t>ML/NLP</w:t>
            </w:r>
          </w:p>
        </w:tc>
        <w:tc>
          <w:tcPr>
            <w:tcW w:type="dxa" w:w="2592"/>
            <w:shd w:val="clear" w:color="auto" w:fill="FFFFFF"/>
          </w:tcPr>
          <w:p>
            <w:r>
              <w:rPr>
                <w:rFonts w:ascii="Calibri" w:hAnsi="Calibri"/>
                <w:sz w:val="18"/>
              </w:rPr>
              <w:t>Numerical Validation</w:t>
            </w:r>
          </w:p>
        </w:tc>
        <w:tc>
          <w:tcPr>
            <w:tcW w:type="dxa" w:w="3168"/>
            <w:shd w:val="clear" w:color="auto" w:fill="FFFFFF"/>
          </w:tcPr>
          <w:p>
            <w:r>
              <w:rPr>
                <w:rFonts w:ascii="Calibri" w:hAnsi="Calibri"/>
                <w:sz w:val="18"/>
              </w:rPr>
              <w:t>Regex pipeline + NER</w:t>
            </w:r>
          </w:p>
        </w:tc>
        <w:tc>
          <w:tcPr>
            <w:tcW w:type="dxa" w:w="3456"/>
            <w:shd w:val="clear" w:color="auto" w:fill="FFFFFF"/>
          </w:tcPr>
          <w:p>
            <w:r>
              <w:rPr>
                <w:rFonts w:ascii="Calibri" w:hAnsi="Calibri"/>
                <w:sz w:val="18"/>
              </w:rPr>
              <w:t>Numerical entity extraction &amp; lookup</w:t>
            </w:r>
          </w:p>
        </w:tc>
      </w:tr>
      <w:tr>
        <w:tc>
          <w:tcPr>
            <w:tcW w:type="dxa" w:w="1872"/>
            <w:shd w:val="clear" w:color="auto" w:fill="F0F4FF"/>
          </w:tcPr>
          <w:p>
            <w:r>
              <w:rPr>
                <w:rFonts w:ascii="Calibri" w:hAnsi="Calibri"/>
                <w:sz w:val="18"/>
              </w:rPr>
              <w:t>Data</w:t>
            </w:r>
          </w:p>
        </w:tc>
        <w:tc>
          <w:tcPr>
            <w:tcW w:type="dxa" w:w="2592"/>
            <w:shd w:val="clear" w:color="auto" w:fill="F0F4FF"/>
          </w:tcPr>
          <w:p>
            <w:r>
              <w:rPr>
                <w:rFonts w:ascii="Calibri" w:hAnsi="Calibri"/>
                <w:sz w:val="18"/>
              </w:rPr>
              <w:t>Audit Store</w:t>
            </w:r>
          </w:p>
        </w:tc>
        <w:tc>
          <w:tcPr>
            <w:tcW w:type="dxa" w:w="3168"/>
            <w:shd w:val="clear" w:color="auto" w:fill="F0F4FF"/>
          </w:tcPr>
          <w:p>
            <w:r>
              <w:rPr>
                <w:rFonts w:ascii="Calibri" w:hAnsi="Calibri"/>
                <w:sz w:val="18"/>
              </w:rPr>
              <w:t>PostgreSQL 15 (append-only)</w:t>
            </w:r>
          </w:p>
        </w:tc>
        <w:tc>
          <w:tcPr>
            <w:tcW w:type="dxa" w:w="3456"/>
            <w:shd w:val="clear" w:color="auto" w:fill="F0F4FF"/>
          </w:tcPr>
          <w:p>
            <w:r>
              <w:rPr>
                <w:rFonts w:ascii="Calibri" w:hAnsi="Calibri"/>
                <w:sz w:val="18"/>
              </w:rPr>
              <w:t>Immutable interaction records</w:t>
            </w:r>
          </w:p>
        </w:tc>
      </w:tr>
      <w:tr>
        <w:tc>
          <w:tcPr>
            <w:tcW w:type="dxa" w:w="1872"/>
            <w:shd w:val="clear" w:color="auto" w:fill="FFFFFF"/>
          </w:tcPr>
          <w:p>
            <w:r>
              <w:rPr>
                <w:rFonts w:ascii="Calibri" w:hAnsi="Calibri"/>
                <w:sz w:val="18"/>
              </w:rPr>
              <w:t>Data</w:t>
            </w:r>
          </w:p>
        </w:tc>
        <w:tc>
          <w:tcPr>
            <w:tcW w:type="dxa" w:w="2592"/>
            <w:shd w:val="clear" w:color="auto" w:fill="FFFFFF"/>
          </w:tcPr>
          <w:p>
            <w:r>
              <w:rPr>
                <w:rFonts w:ascii="Calibri" w:hAnsi="Calibri"/>
                <w:sz w:val="18"/>
              </w:rPr>
              <w:t>Time-series Metrics</w:t>
            </w:r>
          </w:p>
        </w:tc>
        <w:tc>
          <w:tcPr>
            <w:tcW w:type="dxa" w:w="3168"/>
            <w:shd w:val="clear" w:color="auto" w:fill="FFFFFF"/>
          </w:tcPr>
          <w:p>
            <w:r>
              <w:rPr>
                <w:rFonts w:ascii="Calibri" w:hAnsi="Calibri"/>
                <w:sz w:val="18"/>
              </w:rPr>
              <w:t>TimescaleDB</w:t>
            </w:r>
          </w:p>
        </w:tc>
        <w:tc>
          <w:tcPr>
            <w:tcW w:type="dxa" w:w="3456"/>
            <w:shd w:val="clear" w:color="auto" w:fill="FFFFFF"/>
          </w:tcPr>
          <w:p>
            <w:r>
              <w:rPr>
                <w:rFonts w:ascii="Calibri" w:hAnsi="Calibri"/>
                <w:sz w:val="18"/>
              </w:rPr>
              <w:t>Detection rate trends</w:t>
            </w:r>
          </w:p>
        </w:tc>
      </w:tr>
      <w:tr>
        <w:tc>
          <w:tcPr>
            <w:tcW w:type="dxa" w:w="1872"/>
            <w:shd w:val="clear" w:color="auto" w:fill="F0F4FF"/>
          </w:tcPr>
          <w:p>
            <w:r>
              <w:rPr>
                <w:rFonts w:ascii="Calibri" w:hAnsi="Calibri"/>
                <w:sz w:val="18"/>
              </w:rPr>
              <w:t>Data</w:t>
            </w:r>
          </w:p>
        </w:tc>
        <w:tc>
          <w:tcPr>
            <w:tcW w:type="dxa" w:w="2592"/>
            <w:shd w:val="clear" w:color="auto" w:fill="F0F4FF"/>
          </w:tcPr>
          <w:p>
            <w:r>
              <w:rPr>
                <w:rFonts w:ascii="Calibri" w:hAnsi="Calibri"/>
                <w:sz w:val="18"/>
              </w:rPr>
              <w:t>Enterprise Cache</w:t>
            </w:r>
          </w:p>
        </w:tc>
        <w:tc>
          <w:tcPr>
            <w:tcW w:type="dxa" w:w="3168"/>
            <w:shd w:val="clear" w:color="auto" w:fill="F0F4FF"/>
          </w:tcPr>
          <w:p>
            <w:r>
              <w:rPr>
                <w:rFonts w:ascii="Calibri" w:hAnsi="Calibri"/>
                <w:sz w:val="18"/>
              </w:rPr>
              <w:t>Redis 7 (TTL-based)</w:t>
            </w:r>
          </w:p>
        </w:tc>
        <w:tc>
          <w:tcPr>
            <w:tcW w:type="dxa" w:w="3456"/>
            <w:shd w:val="clear" w:color="auto" w:fill="F0F4FF"/>
          </w:tcPr>
          <w:p>
            <w:r>
              <w:rPr>
                <w:rFonts w:ascii="Calibri" w:hAnsi="Calibri"/>
                <w:sz w:val="18"/>
              </w:rPr>
              <w:t>Fresh enterprise data snapshots</w:t>
            </w:r>
          </w:p>
        </w:tc>
      </w:tr>
      <w:tr>
        <w:tc>
          <w:tcPr>
            <w:tcW w:type="dxa" w:w="1872"/>
            <w:shd w:val="clear" w:color="auto" w:fill="FFFFFF"/>
          </w:tcPr>
          <w:p>
            <w:r>
              <w:rPr>
                <w:rFonts w:ascii="Calibri" w:hAnsi="Calibri"/>
                <w:sz w:val="18"/>
              </w:rPr>
              <w:t>Data</w:t>
            </w:r>
          </w:p>
        </w:tc>
        <w:tc>
          <w:tcPr>
            <w:tcW w:type="dxa" w:w="2592"/>
            <w:shd w:val="clear" w:color="auto" w:fill="FFFFFF"/>
          </w:tcPr>
          <w:p>
            <w:r>
              <w:rPr>
                <w:rFonts w:ascii="Calibri" w:hAnsi="Calibri"/>
                <w:sz w:val="18"/>
              </w:rPr>
              <w:t>Vector Store</w:t>
            </w:r>
          </w:p>
        </w:tc>
        <w:tc>
          <w:tcPr>
            <w:tcW w:type="dxa" w:w="3168"/>
            <w:shd w:val="clear" w:color="auto" w:fill="FFFFFF"/>
          </w:tcPr>
          <w:p>
            <w:r>
              <w:rPr>
                <w:rFonts w:ascii="Calibri" w:hAnsi="Calibri"/>
                <w:sz w:val="18"/>
              </w:rPr>
              <w:t>pgvector / Pinecone</w:t>
            </w:r>
          </w:p>
        </w:tc>
        <w:tc>
          <w:tcPr>
            <w:tcW w:type="dxa" w:w="3456"/>
            <w:shd w:val="clear" w:color="auto" w:fill="FFFFFF"/>
          </w:tcPr>
          <w:p>
            <w:r>
              <w:rPr>
                <w:rFonts w:ascii="Calibri" w:hAnsi="Calibri"/>
                <w:sz w:val="18"/>
              </w:rPr>
              <w:t>Semantic similarity search</w:t>
            </w:r>
          </w:p>
        </w:tc>
      </w:tr>
      <w:tr>
        <w:tc>
          <w:tcPr>
            <w:tcW w:type="dxa" w:w="1872"/>
            <w:shd w:val="clear" w:color="auto" w:fill="F0F4FF"/>
          </w:tcPr>
          <w:p>
            <w:r>
              <w:rPr>
                <w:rFonts w:ascii="Calibri" w:hAnsi="Calibri"/>
                <w:sz w:val="18"/>
              </w:rPr>
              <w:t>Infrastructure</w:t>
            </w:r>
          </w:p>
        </w:tc>
        <w:tc>
          <w:tcPr>
            <w:tcW w:type="dxa" w:w="2592"/>
            <w:shd w:val="clear" w:color="auto" w:fill="F0F4FF"/>
          </w:tcPr>
          <w:p>
            <w:r>
              <w:rPr>
                <w:rFonts w:ascii="Calibri" w:hAnsi="Calibri"/>
                <w:sz w:val="18"/>
              </w:rPr>
              <w:t>Containers</w:t>
            </w:r>
          </w:p>
        </w:tc>
        <w:tc>
          <w:tcPr>
            <w:tcW w:type="dxa" w:w="3168"/>
            <w:shd w:val="clear" w:color="auto" w:fill="F0F4FF"/>
          </w:tcPr>
          <w:p>
            <w:r>
              <w:rPr>
                <w:rFonts w:ascii="Calibri" w:hAnsi="Calibri"/>
                <w:sz w:val="18"/>
              </w:rPr>
              <w:t>Docker + Docker Compose</w:t>
            </w:r>
          </w:p>
        </w:tc>
        <w:tc>
          <w:tcPr>
            <w:tcW w:type="dxa" w:w="3456"/>
            <w:shd w:val="clear" w:color="auto" w:fill="F0F4FF"/>
          </w:tcPr>
          <w:p>
            <w:r>
              <w:rPr>
                <w:rFonts w:ascii="Calibri" w:hAnsi="Calibri"/>
                <w:sz w:val="18"/>
              </w:rPr>
              <w:t>Reproducible environments</w:t>
            </w:r>
          </w:p>
        </w:tc>
      </w:tr>
      <w:tr>
        <w:tc>
          <w:tcPr>
            <w:tcW w:type="dxa" w:w="1872"/>
            <w:shd w:val="clear" w:color="auto" w:fill="FFFFFF"/>
          </w:tcPr>
          <w:p>
            <w:r>
              <w:rPr>
                <w:rFonts w:ascii="Calibri" w:hAnsi="Calibri"/>
                <w:sz w:val="18"/>
              </w:rPr>
              <w:t>Infrastructure</w:t>
            </w:r>
          </w:p>
        </w:tc>
        <w:tc>
          <w:tcPr>
            <w:tcW w:type="dxa" w:w="2592"/>
            <w:shd w:val="clear" w:color="auto" w:fill="FFFFFF"/>
          </w:tcPr>
          <w:p>
            <w:r>
              <w:rPr>
                <w:rFonts w:ascii="Calibri" w:hAnsi="Calibri"/>
                <w:sz w:val="18"/>
              </w:rPr>
              <w:t>Orchestration</w:t>
            </w:r>
          </w:p>
        </w:tc>
        <w:tc>
          <w:tcPr>
            <w:tcW w:type="dxa" w:w="3168"/>
            <w:shd w:val="clear" w:color="auto" w:fill="FFFFFF"/>
          </w:tcPr>
          <w:p>
            <w:r>
              <w:rPr>
                <w:rFonts w:ascii="Calibri" w:hAnsi="Calibri"/>
                <w:sz w:val="18"/>
              </w:rPr>
              <w:t>Kubernetes (EKS / AKS / GKE)</w:t>
            </w:r>
          </w:p>
        </w:tc>
        <w:tc>
          <w:tcPr>
            <w:tcW w:type="dxa" w:w="3456"/>
            <w:shd w:val="clear" w:color="auto" w:fill="FFFFFF"/>
          </w:tcPr>
          <w:p>
            <w:r>
              <w:rPr>
                <w:rFonts w:ascii="Calibri" w:hAnsi="Calibri"/>
                <w:sz w:val="18"/>
              </w:rPr>
              <w:t>Auto-scaling, self-healing</w:t>
            </w:r>
          </w:p>
        </w:tc>
      </w:tr>
      <w:tr>
        <w:tc>
          <w:tcPr>
            <w:tcW w:type="dxa" w:w="1872"/>
            <w:shd w:val="clear" w:color="auto" w:fill="F0F4FF"/>
          </w:tcPr>
          <w:p>
            <w:r>
              <w:rPr>
                <w:rFonts w:ascii="Calibri" w:hAnsi="Calibri"/>
                <w:sz w:val="18"/>
              </w:rPr>
              <w:t>Infrastructure</w:t>
            </w:r>
          </w:p>
        </w:tc>
        <w:tc>
          <w:tcPr>
            <w:tcW w:type="dxa" w:w="2592"/>
            <w:shd w:val="clear" w:color="auto" w:fill="F0F4FF"/>
          </w:tcPr>
          <w:p>
            <w:r>
              <w:rPr>
                <w:rFonts w:ascii="Calibri" w:hAnsi="Calibri"/>
                <w:sz w:val="18"/>
              </w:rPr>
              <w:t>Cloud</w:t>
            </w:r>
          </w:p>
        </w:tc>
        <w:tc>
          <w:tcPr>
            <w:tcW w:type="dxa" w:w="3168"/>
            <w:shd w:val="clear" w:color="auto" w:fill="F0F4FF"/>
          </w:tcPr>
          <w:p>
            <w:r>
              <w:rPr>
                <w:rFonts w:ascii="Calibri" w:hAnsi="Calibri"/>
                <w:sz w:val="18"/>
              </w:rPr>
              <w:t>AWS / Azure / GCP</w:t>
            </w:r>
          </w:p>
        </w:tc>
        <w:tc>
          <w:tcPr>
            <w:tcW w:type="dxa" w:w="3456"/>
            <w:shd w:val="clear" w:color="auto" w:fill="F0F4FF"/>
          </w:tcPr>
          <w:p>
            <w:r>
              <w:rPr>
                <w:rFonts w:ascii="Calibri" w:hAnsi="Calibri"/>
                <w:sz w:val="18"/>
              </w:rPr>
              <w:t>Multi-cloud deployment</w:t>
            </w:r>
          </w:p>
        </w:tc>
      </w:tr>
      <w:tr>
        <w:tc>
          <w:tcPr>
            <w:tcW w:type="dxa" w:w="1872"/>
            <w:shd w:val="clear" w:color="auto" w:fill="FFFFFF"/>
          </w:tcPr>
          <w:p>
            <w:r>
              <w:rPr>
                <w:rFonts w:ascii="Calibri" w:hAnsi="Calibri"/>
                <w:sz w:val="18"/>
              </w:rPr>
              <w:t>Infrastructure</w:t>
            </w:r>
          </w:p>
        </w:tc>
        <w:tc>
          <w:tcPr>
            <w:tcW w:type="dxa" w:w="2592"/>
            <w:shd w:val="clear" w:color="auto" w:fill="FFFFFF"/>
          </w:tcPr>
          <w:p>
            <w:r>
              <w:rPr>
                <w:rFonts w:ascii="Calibri" w:hAnsi="Calibri"/>
                <w:sz w:val="18"/>
              </w:rPr>
              <w:t>CI/CD</w:t>
            </w:r>
          </w:p>
        </w:tc>
        <w:tc>
          <w:tcPr>
            <w:tcW w:type="dxa" w:w="3168"/>
            <w:shd w:val="clear" w:color="auto" w:fill="FFFFFF"/>
          </w:tcPr>
          <w:p>
            <w:r>
              <w:rPr>
                <w:rFonts w:ascii="Calibri" w:hAnsi="Calibri"/>
                <w:sz w:val="18"/>
              </w:rPr>
              <w:t>GitHub Actions</w:t>
            </w:r>
          </w:p>
        </w:tc>
        <w:tc>
          <w:tcPr>
            <w:tcW w:type="dxa" w:w="3456"/>
            <w:shd w:val="clear" w:color="auto" w:fill="FFFFFF"/>
          </w:tcPr>
          <w:p>
            <w:r>
              <w:rPr>
                <w:rFonts w:ascii="Calibri" w:hAnsi="Calibri"/>
                <w:sz w:val="18"/>
              </w:rPr>
              <w:t>Automated test &amp; deploy</w:t>
            </w:r>
          </w:p>
        </w:tc>
      </w:tr>
      <w:tr>
        <w:tc>
          <w:tcPr>
            <w:tcW w:type="dxa" w:w="1872"/>
            <w:shd w:val="clear" w:color="auto" w:fill="F0F4FF"/>
          </w:tcPr>
          <w:p>
            <w:r>
              <w:rPr>
                <w:rFonts w:ascii="Calibri" w:hAnsi="Calibri"/>
                <w:sz w:val="18"/>
              </w:rPr>
              <w:t>Infrastructure</w:t>
            </w:r>
          </w:p>
        </w:tc>
        <w:tc>
          <w:tcPr>
            <w:tcW w:type="dxa" w:w="2592"/>
            <w:shd w:val="clear" w:color="auto" w:fill="F0F4FF"/>
          </w:tcPr>
          <w:p>
            <w:r>
              <w:rPr>
                <w:rFonts w:ascii="Calibri" w:hAnsi="Calibri"/>
                <w:sz w:val="18"/>
              </w:rPr>
              <w:t>Observability</w:t>
            </w:r>
          </w:p>
        </w:tc>
        <w:tc>
          <w:tcPr>
            <w:tcW w:type="dxa" w:w="3168"/>
            <w:shd w:val="clear" w:color="auto" w:fill="F0F4FF"/>
          </w:tcPr>
          <w:p>
            <w:r>
              <w:rPr>
                <w:rFonts w:ascii="Calibri" w:hAnsi="Calibri"/>
                <w:sz w:val="18"/>
              </w:rPr>
              <w:t>Prometheus + Grafana</w:t>
            </w:r>
          </w:p>
        </w:tc>
        <w:tc>
          <w:tcPr>
            <w:tcW w:type="dxa" w:w="3456"/>
            <w:shd w:val="clear" w:color="auto" w:fill="F0F4FF"/>
          </w:tcPr>
          <w:p>
            <w:r>
              <w:rPr>
                <w:rFonts w:ascii="Calibri" w:hAnsi="Calibri"/>
                <w:sz w:val="18"/>
              </w:rPr>
              <w:t>Real-time monitoring &amp; alerting</w:t>
            </w:r>
          </w:p>
        </w:tc>
      </w:tr>
    </w:tbl>
    <w:p/>
    <w:p>
      <w:r>
        <w:br w:type="page"/>
      </w:r>
    </w:p>
    <w:p>
      <w:pPr>
        <w:pStyle w:val="Heading1"/>
      </w:pPr>
      <w:r>
        <w:rPr>
          <w:color w:val="003388"/>
        </w:rPr>
        <w:t>10. ROI &amp; Business Case</w:t>
      </w:r>
    </w:p>
    <w:p>
      <w:pPr>
        <w:spacing w:before="40" w:after="120"/>
        <w:pBdr>
          <w:bottom w:val="single" w:sz="12" w:space="1" w:color="0066FF"/>
        </w:pBdr>
      </w:pPr>
    </w:p>
    <w:p>
      <w:pPr>
        <w:pStyle w:val="Heading2"/>
      </w:pPr>
      <w:r>
        <w:rPr>
          <w:color w:val="0066FF"/>
        </w:rPr>
        <w:t>10.1 Cost of Inaction</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003388"/>
          </w:tcPr>
          <w:p>
            <w:pPr>
              <w:jc w:val="center"/>
            </w:pPr>
            <w:r>
              <w:rPr>
                <w:rFonts w:ascii="Calibri" w:hAnsi="Calibri"/>
                <w:b/>
                <w:color w:val="FFFFFF"/>
                <w:sz w:val="20"/>
              </w:rPr>
              <w:t>Risk</w:t>
            </w:r>
          </w:p>
        </w:tc>
        <w:tc>
          <w:tcPr>
            <w:tcW w:type="dxa" w:w="6480"/>
            <w:shd w:val="clear" w:color="auto" w:fill="003388"/>
          </w:tcPr>
          <w:p>
            <w:pPr>
              <w:jc w:val="center"/>
            </w:pPr>
            <w:r>
              <w:rPr>
                <w:rFonts w:ascii="Calibri" w:hAnsi="Calibri"/>
                <w:b/>
                <w:color w:val="FFFFFF"/>
                <w:sz w:val="20"/>
              </w:rPr>
              <w:t>Calculation</w:t>
            </w:r>
          </w:p>
        </w:tc>
        <w:tc>
          <w:tcPr>
            <w:tcW w:type="dxa" w:w="2160"/>
            <w:shd w:val="clear" w:color="auto" w:fill="003388"/>
          </w:tcPr>
          <w:p>
            <w:pPr>
              <w:jc w:val="center"/>
            </w:pPr>
            <w:r>
              <w:rPr>
                <w:rFonts w:ascii="Calibri" w:hAnsi="Calibri"/>
                <w:b/>
                <w:color w:val="FFFFFF"/>
                <w:sz w:val="20"/>
              </w:rPr>
              <w:t>Annual Value</w:t>
            </w:r>
          </w:p>
        </w:tc>
      </w:tr>
      <w:tr>
        <w:tc>
          <w:tcPr>
            <w:tcW w:type="dxa" w:w="2880"/>
            <w:shd w:val="clear" w:color="auto" w:fill="FFFFFF"/>
          </w:tcPr>
          <w:p>
            <w:r>
              <w:rPr>
                <w:rFonts w:ascii="Calibri" w:hAnsi="Calibri"/>
                <w:sz w:val="20"/>
              </w:rPr>
              <w:t>Critical incidents</w:t>
            </w:r>
          </w:p>
        </w:tc>
        <w:tc>
          <w:tcPr>
            <w:tcW w:type="dxa" w:w="6480"/>
            <w:shd w:val="clear" w:color="auto" w:fill="FFFFFF"/>
          </w:tcPr>
          <w:p>
            <w:r>
              <w:rPr>
                <w:rFonts w:ascii="Calibri" w:hAnsi="Calibri"/>
                <w:sz w:val="20"/>
              </w:rPr>
              <w:t>100K queries/mo × 15% hallucination × 25% critical × 12mo = 45,000 critical/yr; ~30 incidents</w:t>
            </w:r>
          </w:p>
        </w:tc>
        <w:tc>
          <w:tcPr>
            <w:tcW w:type="dxa" w:w="2160"/>
            <w:shd w:val="clear" w:color="auto" w:fill="FFFFFF"/>
          </w:tcPr>
          <w:p>
            <w:r>
              <w:rPr>
                <w:rFonts w:ascii="Calibri" w:hAnsi="Calibri"/>
                <w:sz w:val="20"/>
              </w:rPr>
              <w:t>$72,000,000</w:t>
            </w:r>
          </w:p>
        </w:tc>
      </w:tr>
      <w:tr>
        <w:tc>
          <w:tcPr>
            <w:tcW w:type="dxa" w:w="2880"/>
            <w:shd w:val="clear" w:color="auto" w:fill="F0F4FF"/>
          </w:tcPr>
          <w:p>
            <w:r>
              <w:rPr>
                <w:rFonts w:ascii="Calibri" w:hAnsi="Calibri"/>
                <w:sz w:val="20"/>
              </w:rPr>
              <w:t>EU AI Act fines</w:t>
            </w:r>
          </w:p>
        </w:tc>
        <w:tc>
          <w:tcPr>
            <w:tcW w:type="dxa" w:w="6480"/>
            <w:shd w:val="clear" w:color="auto" w:fill="F0F4FF"/>
          </w:tcPr>
          <w:p>
            <w:r>
              <w:rPr>
                <w:rFonts w:ascii="Calibri" w:hAnsi="Calibri"/>
                <w:sz w:val="20"/>
              </w:rPr>
              <w:t>Non-compliance in 2026; single major incident</w:t>
            </w:r>
          </w:p>
        </w:tc>
        <w:tc>
          <w:tcPr>
            <w:tcW w:type="dxa" w:w="2160"/>
            <w:shd w:val="clear" w:color="auto" w:fill="F0F4FF"/>
          </w:tcPr>
          <w:p>
            <w:r>
              <w:rPr>
                <w:rFonts w:ascii="Calibri" w:hAnsi="Calibri"/>
                <w:sz w:val="20"/>
              </w:rPr>
              <w:t>Up to €35,000,000</w:t>
            </w:r>
          </w:p>
        </w:tc>
      </w:tr>
      <w:tr>
        <w:tc>
          <w:tcPr>
            <w:tcW w:type="dxa" w:w="2880"/>
            <w:shd w:val="clear" w:color="auto" w:fill="FFFFFF"/>
          </w:tcPr>
          <w:p>
            <w:r>
              <w:rPr>
                <w:rFonts w:ascii="Calibri" w:hAnsi="Calibri"/>
                <w:sz w:val="20"/>
              </w:rPr>
              <w:t>Reputation damage</w:t>
            </w:r>
          </w:p>
        </w:tc>
        <w:tc>
          <w:tcPr>
            <w:tcW w:type="dxa" w:w="6480"/>
            <w:shd w:val="clear" w:color="auto" w:fill="FFFFFF"/>
          </w:tcPr>
          <w:p>
            <w:r>
              <w:rPr>
                <w:rFonts w:ascii="Calibri" w:hAnsi="Calibri"/>
                <w:sz w:val="20"/>
              </w:rPr>
              <w:t>Customer churn, PR crisis, brand recovery</w:t>
            </w:r>
          </w:p>
        </w:tc>
        <w:tc>
          <w:tcPr>
            <w:tcW w:type="dxa" w:w="2160"/>
            <w:shd w:val="clear" w:color="auto" w:fill="FFFFFF"/>
          </w:tcPr>
          <w:p>
            <w:r>
              <w:rPr>
                <w:rFonts w:ascii="Calibri" w:hAnsi="Calibri"/>
                <w:sz w:val="20"/>
              </w:rPr>
              <w:t>Unquantified</w:t>
            </w:r>
          </w:p>
        </w:tc>
      </w:tr>
      <w:tr>
        <w:tc>
          <w:tcPr>
            <w:tcW w:type="dxa" w:w="2880"/>
            <w:shd w:val="clear" w:color="auto" w:fill="F0F4FF"/>
          </w:tcPr>
          <w:p>
            <w:r>
              <w:rPr>
                <w:rFonts w:ascii="Calibri" w:hAnsi="Calibri"/>
                <w:sz w:val="20"/>
              </w:rPr>
              <w:t>Legal liability</w:t>
            </w:r>
          </w:p>
        </w:tc>
        <w:tc>
          <w:tcPr>
            <w:tcW w:type="dxa" w:w="6480"/>
            <w:shd w:val="clear" w:color="auto" w:fill="F0F4FF"/>
          </w:tcPr>
          <w:p>
            <w:r>
              <w:rPr>
                <w:rFonts w:ascii="Calibri" w:hAnsi="Calibri"/>
                <w:sz w:val="20"/>
              </w:rPr>
              <w:t>Malpractice, negligence, consumer protection claims</w:t>
            </w:r>
          </w:p>
        </w:tc>
        <w:tc>
          <w:tcPr>
            <w:tcW w:type="dxa" w:w="2160"/>
            <w:shd w:val="clear" w:color="auto" w:fill="F0F4FF"/>
          </w:tcPr>
          <w:p>
            <w:r>
              <w:rPr>
                <w:rFonts w:ascii="Calibri" w:hAnsi="Calibri"/>
                <w:sz w:val="20"/>
              </w:rPr>
              <w:t>Uncapped</w:t>
            </w:r>
          </w:p>
        </w:tc>
      </w:tr>
    </w:tbl>
    <w:p/>
    <w:p>
      <w:pPr>
        <w:pStyle w:val="Heading2"/>
      </w:pPr>
      <w:r>
        <w:rPr>
          <w:color w:val="0066FF"/>
        </w:rPr>
        <w:t>10.2 ROI Model</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3388"/>
          </w:tcPr>
          <w:p>
            <w:pPr>
              <w:jc w:val="center"/>
            </w:pPr>
            <w:r>
              <w:rPr>
                <w:rFonts w:ascii="Calibri" w:hAnsi="Calibri"/>
                <w:b/>
                <w:color w:val="FFFFFF"/>
                <w:sz w:val="20"/>
              </w:rPr>
              <w:t>Metric</w:t>
            </w:r>
          </w:p>
        </w:tc>
        <w:tc>
          <w:tcPr>
            <w:tcW w:type="dxa" w:w="2880"/>
            <w:shd w:val="clear" w:color="auto" w:fill="003388"/>
          </w:tcPr>
          <w:p>
            <w:pPr>
              <w:jc w:val="center"/>
            </w:pPr>
            <w:r>
              <w:rPr>
                <w:rFonts w:ascii="Calibri" w:hAnsi="Calibri"/>
                <w:b/>
                <w:color w:val="FFFFFF"/>
                <w:sz w:val="20"/>
              </w:rPr>
              <w:t>Without TrustLayer</w:t>
            </w:r>
          </w:p>
        </w:tc>
        <w:tc>
          <w:tcPr>
            <w:tcW w:type="dxa" w:w="2880"/>
            <w:shd w:val="clear" w:color="auto" w:fill="003388"/>
          </w:tcPr>
          <w:p>
            <w:pPr>
              <w:jc w:val="center"/>
            </w:pPr>
            <w:r>
              <w:rPr>
                <w:rFonts w:ascii="Calibri" w:hAnsi="Calibri"/>
                <w:b/>
                <w:color w:val="FFFFFF"/>
                <w:sz w:val="20"/>
              </w:rPr>
              <w:t>With TrustLayer</w:t>
            </w:r>
          </w:p>
        </w:tc>
      </w:tr>
      <w:tr>
        <w:tc>
          <w:tcPr>
            <w:tcW w:type="dxa" w:w="4608"/>
            <w:shd w:val="clear" w:color="auto" w:fill="FFFFFF"/>
          </w:tcPr>
          <w:p>
            <w:r>
              <w:rPr>
                <w:rFonts w:ascii="Calibri" w:hAnsi="Calibri"/>
                <w:sz w:val="20"/>
              </w:rPr>
              <w:t>Monthly query volume</w:t>
            </w:r>
          </w:p>
        </w:tc>
        <w:tc>
          <w:tcPr>
            <w:tcW w:type="dxa" w:w="2880"/>
            <w:shd w:val="clear" w:color="auto" w:fill="FFFFFF"/>
          </w:tcPr>
          <w:p>
            <w:r>
              <w:rPr>
                <w:rFonts w:ascii="Calibri" w:hAnsi="Calibri"/>
                <w:sz w:val="20"/>
              </w:rPr>
              <w:t>100,000</w:t>
            </w:r>
          </w:p>
        </w:tc>
        <w:tc>
          <w:tcPr>
            <w:tcW w:type="dxa" w:w="2880"/>
            <w:shd w:val="clear" w:color="auto" w:fill="FFFFFF"/>
          </w:tcPr>
          <w:p>
            <w:r>
              <w:rPr>
                <w:rFonts w:ascii="Calibri" w:hAnsi="Calibri"/>
                <w:sz w:val="20"/>
              </w:rPr>
              <w:t>100,000</w:t>
            </w:r>
          </w:p>
        </w:tc>
      </w:tr>
      <w:tr>
        <w:tc>
          <w:tcPr>
            <w:tcW w:type="dxa" w:w="4608"/>
            <w:shd w:val="clear" w:color="auto" w:fill="F0F4FF"/>
          </w:tcPr>
          <w:p>
            <w:r>
              <w:rPr>
                <w:rFonts w:ascii="Calibri" w:hAnsi="Calibri"/>
                <w:sz w:val="20"/>
              </w:rPr>
              <w:t>Hallucination rate</w:t>
            </w:r>
          </w:p>
        </w:tc>
        <w:tc>
          <w:tcPr>
            <w:tcW w:type="dxa" w:w="2880"/>
            <w:shd w:val="clear" w:color="auto" w:fill="F0F4FF"/>
          </w:tcPr>
          <w:p>
            <w:r>
              <w:rPr>
                <w:rFonts w:ascii="Calibri" w:hAnsi="Calibri"/>
                <w:sz w:val="20"/>
              </w:rPr>
              <w:t>15%</w:t>
            </w:r>
          </w:p>
        </w:tc>
        <w:tc>
          <w:tcPr>
            <w:tcW w:type="dxa" w:w="2880"/>
            <w:shd w:val="clear" w:color="auto" w:fill="F0F4FF"/>
          </w:tcPr>
          <w:p>
            <w:r>
              <w:rPr>
                <w:rFonts w:ascii="Calibri" w:hAnsi="Calibri"/>
                <w:sz w:val="20"/>
              </w:rPr>
              <w:t>15%</w:t>
            </w:r>
          </w:p>
        </w:tc>
      </w:tr>
      <w:tr>
        <w:tc>
          <w:tcPr>
            <w:tcW w:type="dxa" w:w="4608"/>
            <w:shd w:val="clear" w:color="auto" w:fill="FFFFFF"/>
          </w:tcPr>
          <w:p>
            <w:r>
              <w:rPr>
                <w:rFonts w:ascii="Calibri" w:hAnsi="Calibri"/>
                <w:sz w:val="20"/>
              </w:rPr>
              <w:t>Critical incidents / year</w:t>
            </w:r>
          </w:p>
        </w:tc>
        <w:tc>
          <w:tcPr>
            <w:tcW w:type="dxa" w:w="2880"/>
            <w:shd w:val="clear" w:color="auto" w:fill="FFFFFF"/>
          </w:tcPr>
          <w:p>
            <w:r>
              <w:rPr>
                <w:rFonts w:ascii="Calibri" w:hAnsi="Calibri"/>
                <w:sz w:val="20"/>
              </w:rPr>
              <w:t>~30</w:t>
            </w:r>
          </w:p>
        </w:tc>
        <w:tc>
          <w:tcPr>
            <w:tcW w:type="dxa" w:w="2880"/>
            <w:shd w:val="clear" w:color="auto" w:fill="FFFFFF"/>
          </w:tcPr>
          <w:p>
            <w:r>
              <w:rPr>
                <w:rFonts w:ascii="Calibri" w:hAnsi="Calibri"/>
                <w:sz w:val="20"/>
              </w:rPr>
              <w:t>~2 (92% prevented)</w:t>
            </w:r>
          </w:p>
        </w:tc>
      </w:tr>
      <w:tr>
        <w:tc>
          <w:tcPr>
            <w:tcW w:type="dxa" w:w="4608"/>
            <w:shd w:val="clear" w:color="auto" w:fill="F0F4FF"/>
          </w:tcPr>
          <w:p>
            <w:r>
              <w:rPr>
                <w:rFonts w:ascii="Calibri" w:hAnsi="Calibri"/>
                <w:sz w:val="20"/>
              </w:rPr>
              <w:t>Loss per incident</w:t>
            </w:r>
          </w:p>
        </w:tc>
        <w:tc>
          <w:tcPr>
            <w:tcW w:type="dxa" w:w="2880"/>
            <w:shd w:val="clear" w:color="auto" w:fill="F0F4FF"/>
          </w:tcPr>
          <w:p>
            <w:r>
              <w:rPr>
                <w:rFonts w:ascii="Calibri" w:hAnsi="Calibri"/>
                <w:sz w:val="20"/>
              </w:rPr>
              <w:t>$2,400,000</w:t>
            </w:r>
          </w:p>
        </w:tc>
        <w:tc>
          <w:tcPr>
            <w:tcW w:type="dxa" w:w="2880"/>
            <w:shd w:val="clear" w:color="auto" w:fill="F0F4FF"/>
          </w:tcPr>
          <w:p>
            <w:r>
              <w:rPr>
                <w:rFonts w:ascii="Calibri" w:hAnsi="Calibri"/>
                <w:sz w:val="20"/>
              </w:rPr>
              <w:t>$2,400,000</w:t>
            </w:r>
          </w:p>
        </w:tc>
      </w:tr>
      <w:tr>
        <w:tc>
          <w:tcPr>
            <w:tcW w:type="dxa" w:w="4608"/>
            <w:shd w:val="clear" w:color="auto" w:fill="FFFFFF"/>
          </w:tcPr>
          <w:p>
            <w:r>
              <w:rPr>
                <w:rFonts w:ascii="Calibri" w:hAnsi="Calibri"/>
                <w:sz w:val="20"/>
              </w:rPr>
              <w:t>Annual incident losses</w:t>
            </w:r>
          </w:p>
        </w:tc>
        <w:tc>
          <w:tcPr>
            <w:tcW w:type="dxa" w:w="2880"/>
            <w:shd w:val="clear" w:color="auto" w:fill="FFFFFF"/>
          </w:tcPr>
          <w:p>
            <w:r>
              <w:rPr>
                <w:rFonts w:ascii="Calibri" w:hAnsi="Calibri"/>
                <w:sz w:val="20"/>
              </w:rPr>
              <w:t>~$72,000,000</w:t>
            </w:r>
          </w:p>
        </w:tc>
        <w:tc>
          <w:tcPr>
            <w:tcW w:type="dxa" w:w="2880"/>
            <w:shd w:val="clear" w:color="auto" w:fill="FFFFFF"/>
          </w:tcPr>
          <w:p>
            <w:r>
              <w:rPr>
                <w:rFonts w:ascii="Calibri" w:hAnsi="Calibri"/>
                <w:sz w:val="20"/>
              </w:rPr>
              <w:t>~$4,800,000</w:t>
            </w:r>
          </w:p>
        </w:tc>
      </w:tr>
      <w:tr>
        <w:tc>
          <w:tcPr>
            <w:tcW w:type="dxa" w:w="4608"/>
            <w:shd w:val="clear" w:color="auto" w:fill="F0F4FF"/>
          </w:tcPr>
          <w:p>
            <w:r>
              <w:rPr>
                <w:rFonts w:ascii="Calibri" w:hAnsi="Calibri"/>
                <w:sz w:val="20"/>
              </w:rPr>
              <w:t>TrustLayer annual cost</w:t>
            </w:r>
          </w:p>
        </w:tc>
        <w:tc>
          <w:tcPr>
            <w:tcW w:type="dxa" w:w="2880"/>
            <w:shd w:val="clear" w:color="auto" w:fill="F0F4FF"/>
          </w:tcPr>
          <w:p>
            <w:r>
              <w:rPr>
                <w:rFonts w:ascii="Calibri" w:hAnsi="Calibri"/>
                <w:sz w:val="20"/>
              </w:rPr>
              <w:t>—</w:t>
            </w:r>
          </w:p>
        </w:tc>
        <w:tc>
          <w:tcPr>
            <w:tcW w:type="dxa" w:w="2880"/>
            <w:shd w:val="clear" w:color="auto" w:fill="F0F4FF"/>
          </w:tcPr>
          <w:p>
            <w:r>
              <w:rPr>
                <w:rFonts w:ascii="Calibri" w:hAnsi="Calibri"/>
                <w:sz w:val="20"/>
              </w:rPr>
              <w:t>~$500,000</w:t>
            </w:r>
          </w:p>
        </w:tc>
      </w:tr>
      <w:tr>
        <w:tc>
          <w:tcPr>
            <w:tcW w:type="dxa" w:w="4608"/>
            <w:shd w:val="clear" w:color="auto" w:fill="FFFFFF"/>
          </w:tcPr>
          <w:p>
            <w:r>
              <w:rPr>
                <w:rFonts w:ascii="Calibri" w:hAnsi="Calibri"/>
                <w:sz w:val="20"/>
              </w:rPr>
              <w:t>Compliance risk (EU AI Act)</w:t>
            </w:r>
          </w:p>
        </w:tc>
        <w:tc>
          <w:tcPr>
            <w:tcW w:type="dxa" w:w="2880"/>
            <w:shd w:val="clear" w:color="auto" w:fill="FFFFFF"/>
          </w:tcPr>
          <w:p>
            <w:r>
              <w:rPr>
                <w:rFonts w:ascii="Calibri" w:hAnsi="Calibri"/>
                <w:sz w:val="20"/>
              </w:rPr>
              <w:t>€35M exposure</w:t>
            </w:r>
          </w:p>
        </w:tc>
        <w:tc>
          <w:tcPr>
            <w:tcW w:type="dxa" w:w="2880"/>
            <w:shd w:val="clear" w:color="auto" w:fill="FFFFFF"/>
          </w:tcPr>
          <w:p>
            <w:r>
              <w:rPr>
                <w:rFonts w:ascii="Calibri" w:hAnsi="Calibri"/>
                <w:sz w:val="20"/>
              </w:rPr>
              <w:t>~€0 (94% compliant)</w:t>
            </w:r>
          </w:p>
        </w:tc>
      </w:tr>
      <w:tr>
        <w:tc>
          <w:tcPr>
            <w:tcW w:type="dxa" w:w="4608"/>
            <w:shd w:val="clear" w:color="auto" w:fill="F0F4FF"/>
          </w:tcPr>
          <w:p>
            <w:r>
              <w:rPr>
                <w:rFonts w:ascii="Calibri" w:hAnsi="Calibri"/>
                <w:sz w:val="20"/>
              </w:rPr>
              <w:t>Net annual benefit</w:t>
            </w:r>
          </w:p>
        </w:tc>
        <w:tc>
          <w:tcPr>
            <w:tcW w:type="dxa" w:w="2880"/>
            <w:shd w:val="clear" w:color="auto" w:fill="F0F4FF"/>
          </w:tcPr>
          <w:p>
            <w:r>
              <w:rPr>
                <w:rFonts w:ascii="Calibri" w:hAnsi="Calibri"/>
                <w:sz w:val="20"/>
              </w:rPr>
              <w:t>—</w:t>
            </w:r>
          </w:p>
        </w:tc>
        <w:tc>
          <w:tcPr>
            <w:tcW w:type="dxa" w:w="2880"/>
            <w:shd w:val="clear" w:color="auto" w:fill="F0F4FF"/>
          </w:tcPr>
          <w:p>
            <w:r>
              <w:rPr>
                <w:rFonts w:ascii="Calibri" w:hAnsi="Calibri"/>
                <w:sz w:val="20"/>
              </w:rPr>
              <w:t>~$65,700,000</w:t>
            </w:r>
          </w:p>
        </w:tc>
      </w:tr>
      <w:tr>
        <w:tc>
          <w:tcPr>
            <w:tcW w:type="dxa" w:w="4608"/>
            <w:shd w:val="clear" w:color="auto" w:fill="FFFFFF"/>
          </w:tcPr>
          <w:p>
            <w:r>
              <w:rPr>
                <w:rFonts w:ascii="Calibri" w:hAnsi="Calibri"/>
                <w:sz w:val="20"/>
              </w:rPr>
              <w:t>ROI (year 1)</w:t>
            </w:r>
          </w:p>
        </w:tc>
        <w:tc>
          <w:tcPr>
            <w:tcW w:type="dxa" w:w="2880"/>
            <w:shd w:val="clear" w:color="auto" w:fill="FFFFFF"/>
          </w:tcPr>
          <w:p>
            <w:r>
              <w:rPr>
                <w:rFonts w:ascii="Calibri" w:hAnsi="Calibri"/>
                <w:sz w:val="20"/>
              </w:rPr>
              <w:t>—</w:t>
            </w:r>
          </w:p>
        </w:tc>
        <w:tc>
          <w:tcPr>
            <w:tcW w:type="dxa" w:w="2880"/>
            <w:shd w:val="clear" w:color="auto" w:fill="FFFFFF"/>
          </w:tcPr>
          <w:p>
            <w:r>
              <w:rPr>
                <w:rFonts w:ascii="Calibri" w:hAnsi="Calibri"/>
                <w:sz w:val="20"/>
              </w:rPr>
              <w:t>&gt; 400%</w:t>
            </w:r>
          </w:p>
        </w:tc>
      </w:tr>
    </w:tbl>
    <w:p/>
    <w:p>
      <w:pPr>
        <w:pStyle w:val="Heading2"/>
      </w:pPr>
      <w:r>
        <w:rPr>
          <w:color w:val="0066FF"/>
        </w:rPr>
        <w:t>10.3 Time to Value</w:t>
      </w:r>
    </w:p>
    <w:tbl>
      <w:tblPr>
        <w:tblStyle w:val="TableGrid"/>
        <w:tblW w:type="auto" w:w="0"/>
        <w:jc w:val="left"/>
        <w:tblLook w:firstColumn="1" w:firstRow="1" w:lastColumn="0" w:lastRow="0" w:noHBand="0" w:noVBand="1" w:val="04A0"/>
      </w:tblPr>
      <w:tblGrid>
        <w:gridCol w:w="4680"/>
        <w:gridCol w:w="4680"/>
      </w:tblGrid>
      <w:tr>
        <w:tc>
          <w:tcPr>
            <w:tcW w:type="dxa" w:w="6480"/>
            <w:shd w:val="clear" w:color="auto" w:fill="003388"/>
          </w:tcPr>
          <w:p>
            <w:pPr>
              <w:jc w:val="center"/>
            </w:pPr>
            <w:r>
              <w:rPr>
                <w:rFonts w:ascii="Calibri" w:hAnsi="Calibri"/>
                <w:b/>
                <w:color w:val="FFFFFF"/>
                <w:sz w:val="20"/>
              </w:rPr>
              <w:t>Milestone</w:t>
            </w:r>
          </w:p>
        </w:tc>
        <w:tc>
          <w:tcPr>
            <w:tcW w:type="dxa" w:w="2160"/>
            <w:shd w:val="clear" w:color="auto" w:fill="003388"/>
          </w:tcPr>
          <w:p>
            <w:pPr>
              <w:jc w:val="center"/>
            </w:pPr>
            <w:r>
              <w:rPr>
                <w:rFonts w:ascii="Calibri" w:hAnsi="Calibri"/>
                <w:b/>
                <w:color w:val="FFFFFF"/>
                <w:sz w:val="20"/>
              </w:rPr>
              <w:t>Timeline</w:t>
            </w:r>
          </w:p>
        </w:tc>
      </w:tr>
      <w:tr>
        <w:tc>
          <w:tcPr>
            <w:tcW w:type="dxa" w:w="6480"/>
            <w:shd w:val="clear" w:color="auto" w:fill="FFFFFF"/>
          </w:tcPr>
          <w:p>
            <w:r>
              <w:rPr>
                <w:rFonts w:ascii="Calibri" w:hAnsi="Calibri"/>
                <w:sz w:val="20"/>
              </w:rPr>
              <w:t>API key provisioning and gateway configuration</w:t>
            </w:r>
          </w:p>
        </w:tc>
        <w:tc>
          <w:tcPr>
            <w:tcW w:type="dxa" w:w="2160"/>
            <w:shd w:val="clear" w:color="auto" w:fill="FFFFFF"/>
          </w:tcPr>
          <w:p>
            <w:r>
              <w:rPr>
                <w:rFonts w:ascii="Calibri" w:hAnsi="Calibri"/>
                <w:sz w:val="20"/>
              </w:rPr>
              <w:t>Same day</w:t>
            </w:r>
          </w:p>
        </w:tc>
      </w:tr>
      <w:tr>
        <w:tc>
          <w:tcPr>
            <w:tcW w:type="dxa" w:w="6480"/>
            <w:shd w:val="clear" w:color="auto" w:fill="F0F4FF"/>
          </w:tcPr>
          <w:p>
            <w:r>
              <w:rPr>
                <w:rFonts w:ascii="Calibri" w:hAnsi="Calibri"/>
                <w:sz w:val="20"/>
              </w:rPr>
              <w:t>SDK integration and first verified request</w:t>
            </w:r>
          </w:p>
        </w:tc>
        <w:tc>
          <w:tcPr>
            <w:tcW w:type="dxa" w:w="2160"/>
            <w:shd w:val="clear" w:color="auto" w:fill="F0F4FF"/>
          </w:tcPr>
          <w:p>
            <w:r>
              <w:rPr>
                <w:rFonts w:ascii="Calibri" w:hAnsi="Calibri"/>
                <w:sz w:val="20"/>
              </w:rPr>
              <w:t>1–2 hours</w:t>
            </w:r>
          </w:p>
        </w:tc>
      </w:tr>
      <w:tr>
        <w:tc>
          <w:tcPr>
            <w:tcW w:type="dxa" w:w="6480"/>
            <w:shd w:val="clear" w:color="auto" w:fill="FFFFFF"/>
          </w:tcPr>
          <w:p>
            <w:r>
              <w:rPr>
                <w:rFonts w:ascii="Calibri" w:hAnsi="Calibri"/>
                <w:sz w:val="20"/>
              </w:rPr>
              <w:t>Industry module configured and grounding enabled</w:t>
            </w:r>
          </w:p>
        </w:tc>
        <w:tc>
          <w:tcPr>
            <w:tcW w:type="dxa" w:w="2160"/>
            <w:shd w:val="clear" w:color="auto" w:fill="FFFFFF"/>
          </w:tcPr>
          <w:p>
            <w:r>
              <w:rPr>
                <w:rFonts w:ascii="Calibri" w:hAnsi="Calibri"/>
                <w:sz w:val="20"/>
              </w:rPr>
              <w:t>1 week</w:t>
            </w:r>
          </w:p>
        </w:tc>
      </w:tr>
      <w:tr>
        <w:tc>
          <w:tcPr>
            <w:tcW w:type="dxa" w:w="6480"/>
            <w:shd w:val="clear" w:color="auto" w:fill="F0F4FF"/>
          </w:tcPr>
          <w:p>
            <w:r>
              <w:rPr>
                <w:rFonts w:ascii="Calibri" w:hAnsi="Calibri"/>
                <w:sz w:val="20"/>
              </w:rPr>
              <w:t>Enterprise data connectors live</w:t>
            </w:r>
          </w:p>
        </w:tc>
        <w:tc>
          <w:tcPr>
            <w:tcW w:type="dxa" w:w="2160"/>
            <w:shd w:val="clear" w:color="auto" w:fill="F0F4FF"/>
          </w:tcPr>
          <w:p>
            <w:r>
              <w:rPr>
                <w:rFonts w:ascii="Calibri" w:hAnsi="Calibri"/>
                <w:sz w:val="20"/>
              </w:rPr>
              <w:t>2–3 weeks</w:t>
            </w:r>
          </w:p>
        </w:tc>
      </w:tr>
      <w:tr>
        <w:tc>
          <w:tcPr>
            <w:tcW w:type="dxa" w:w="6480"/>
            <w:shd w:val="clear" w:color="auto" w:fill="FFFFFF"/>
          </w:tcPr>
          <w:p>
            <w:r>
              <w:rPr>
                <w:rFonts w:ascii="Calibri" w:hAnsi="Calibri"/>
                <w:sz w:val="20"/>
              </w:rPr>
              <w:t>Full production deployment</w:t>
            </w:r>
          </w:p>
        </w:tc>
        <w:tc>
          <w:tcPr>
            <w:tcW w:type="dxa" w:w="2160"/>
            <w:shd w:val="clear" w:color="auto" w:fill="FFFFFF"/>
          </w:tcPr>
          <w:p>
            <w:r>
              <w:rPr>
                <w:rFonts w:ascii="Calibri" w:hAnsi="Calibri"/>
                <w:sz w:val="20"/>
              </w:rPr>
              <w:t>2–4 weeks</w:t>
            </w:r>
          </w:p>
        </w:tc>
      </w:tr>
      <w:tr>
        <w:tc>
          <w:tcPr>
            <w:tcW w:type="dxa" w:w="6480"/>
            <w:shd w:val="clear" w:color="auto" w:fill="F0F4FF"/>
          </w:tcPr>
          <w:p>
            <w:r>
              <w:rPr>
                <w:rFonts w:ascii="Calibri" w:hAnsi="Calibri"/>
                <w:sz w:val="20"/>
              </w:rPr>
              <w:t>First EU AI Act compliance report generated</w:t>
            </w:r>
          </w:p>
        </w:tc>
        <w:tc>
          <w:tcPr>
            <w:tcW w:type="dxa" w:w="2160"/>
            <w:shd w:val="clear" w:color="auto" w:fill="F0F4FF"/>
          </w:tcPr>
          <w:p>
            <w:r>
              <w:rPr>
                <w:rFonts w:ascii="Calibri" w:hAnsi="Calibri"/>
                <w:sz w:val="20"/>
              </w:rPr>
              <w:t>Day 1</w:t>
            </w:r>
          </w:p>
        </w:tc>
      </w:tr>
      <w:tr>
        <w:tc>
          <w:tcPr>
            <w:tcW w:type="dxa" w:w="6480"/>
            <w:shd w:val="clear" w:color="auto" w:fill="FFFFFF"/>
          </w:tcPr>
          <w:p>
            <w:r>
              <w:rPr>
                <w:rFonts w:ascii="Calibri" w:hAnsi="Calibri"/>
                <w:sz w:val="20"/>
              </w:rPr>
              <w:t>Full audit trail available for review</w:t>
            </w:r>
          </w:p>
        </w:tc>
        <w:tc>
          <w:tcPr>
            <w:tcW w:type="dxa" w:w="2160"/>
            <w:shd w:val="clear" w:color="auto" w:fill="FFFFFF"/>
          </w:tcPr>
          <w:p>
            <w:r>
              <w:rPr>
                <w:rFonts w:ascii="Calibri" w:hAnsi="Calibri"/>
                <w:sz w:val="20"/>
              </w:rPr>
              <w:t>Day 1</w:t>
            </w:r>
          </w:p>
        </w:tc>
      </w:tr>
    </w:tbl>
    <w:p/>
    <w:p>
      <w:r>
        <w:br w:type="page"/>
      </w:r>
    </w:p>
    <w:p>
      <w:pPr>
        <w:pStyle w:val="Heading1"/>
      </w:pPr>
      <w:r>
        <w:rPr>
          <w:color w:val="003388"/>
        </w:rPr>
        <w:t>11. Demo Application</w:t>
      </w:r>
    </w:p>
    <w:p>
      <w:pPr>
        <w:spacing w:before="40" w:after="120"/>
        <w:pBdr>
          <w:bottom w:val="single" w:sz="12" w:space="1" w:color="0066FF"/>
        </w:pBdr>
      </w:pPr>
    </w:p>
    <w:p>
      <w:pPr>
        <w:spacing w:after="120"/>
        <w:jc w:val="left"/>
      </w:pPr>
      <w:r>
        <w:rPr>
          <w:rFonts w:ascii="Calibri" w:hAnsi="Calibri"/>
          <w:b w:val="0"/>
          <w:i w:val="0"/>
          <w:sz w:val="22"/>
        </w:rPr>
        <w:t>The TrustLayer AI hackathon demo is a fully interactive Streamlit application that demonstrates all platform capabilities across 9 pages. All 13 industry scenarios include realistic confidence scores, detection breakdowns, and action results.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003388"/>
          </w:tcPr>
          <w:p>
            <w:pPr>
              <w:jc w:val="center"/>
            </w:pPr>
            <w:r>
              <w:rPr>
                <w:rFonts w:ascii="Calibri" w:hAnsi="Calibri"/>
                <w:b/>
                <w:color w:val="FFFFFF"/>
                <w:sz w:val="20"/>
              </w:rPr>
              <w:t>Page</w:t>
            </w:r>
          </w:p>
        </w:tc>
        <w:tc>
          <w:tcPr>
            <w:tcW w:type="dxa" w:w="2880"/>
            <w:shd w:val="clear" w:color="auto" w:fill="003388"/>
          </w:tcPr>
          <w:p>
            <w:pPr>
              <w:jc w:val="center"/>
            </w:pPr>
            <w:r>
              <w:rPr>
                <w:rFonts w:ascii="Calibri" w:hAnsi="Calibri"/>
                <w:b/>
                <w:color w:val="FFFFFF"/>
                <w:sz w:val="20"/>
              </w:rPr>
              <w:t>Purpose</w:t>
            </w:r>
          </w:p>
        </w:tc>
        <w:tc>
          <w:tcPr>
            <w:tcW w:type="dxa" w:w="5040"/>
            <w:shd w:val="clear" w:color="auto" w:fill="003388"/>
          </w:tcPr>
          <w:p>
            <w:pPr>
              <w:jc w:val="center"/>
            </w:pPr>
            <w:r>
              <w:rPr>
                <w:rFonts w:ascii="Calibri" w:hAnsi="Calibri"/>
                <w:b/>
                <w:color w:val="FFFFFF"/>
                <w:sz w:val="20"/>
              </w:rPr>
              <w:t>Key Elements</w:t>
            </w:r>
          </w:p>
        </w:tc>
      </w:tr>
      <w:tr>
        <w:tc>
          <w:tcPr>
            <w:tcW w:type="dxa" w:w="2880"/>
            <w:shd w:val="clear" w:color="auto" w:fill="FFFFFF"/>
          </w:tcPr>
          <w:p>
            <w:r>
              <w:rPr>
                <w:rFonts w:ascii="Calibri" w:hAnsi="Calibri"/>
                <w:sz w:val="20"/>
              </w:rPr>
              <w:t>01 Executive Overview</w:t>
            </w:r>
          </w:p>
        </w:tc>
        <w:tc>
          <w:tcPr>
            <w:tcW w:type="dxa" w:w="2880"/>
            <w:shd w:val="clear" w:color="auto" w:fill="FFFFFF"/>
          </w:tcPr>
          <w:p>
            <w:r>
              <w:rPr>
                <w:rFonts w:ascii="Calibri" w:hAnsi="Calibri"/>
                <w:sz w:val="20"/>
              </w:rPr>
              <w:t>Market context</w:t>
            </w:r>
          </w:p>
        </w:tc>
        <w:tc>
          <w:tcPr>
            <w:tcW w:type="dxa" w:w="5040"/>
            <w:shd w:val="clear" w:color="auto" w:fill="FFFFFF"/>
          </w:tcPr>
          <w:p>
            <w:r>
              <w:rPr>
                <w:rFonts w:ascii="Calibri" w:hAnsi="Calibri"/>
                <w:sz w:val="20"/>
              </w:rPr>
              <w:t>Market stats, risk heatmap, capability cards</w:t>
            </w:r>
          </w:p>
        </w:tc>
      </w:tr>
      <w:tr>
        <w:tc>
          <w:tcPr>
            <w:tcW w:type="dxa" w:w="2880"/>
            <w:shd w:val="clear" w:color="auto" w:fill="F0F4FF"/>
          </w:tcPr>
          <w:p>
            <w:r>
              <w:rPr>
                <w:rFonts w:ascii="Calibri" w:hAnsi="Calibri"/>
                <w:sz w:val="20"/>
              </w:rPr>
              <w:t>02 Live Detection Demo</w:t>
            </w:r>
          </w:p>
        </w:tc>
        <w:tc>
          <w:tcPr>
            <w:tcW w:type="dxa" w:w="2880"/>
            <w:shd w:val="clear" w:color="auto" w:fill="F0F4FF"/>
          </w:tcPr>
          <w:p>
            <w:r>
              <w:rPr>
                <w:rFonts w:ascii="Calibri" w:hAnsi="Calibri"/>
                <w:sz w:val="20"/>
              </w:rPr>
              <w:t>Interactive scenarios</w:t>
            </w:r>
          </w:p>
        </w:tc>
        <w:tc>
          <w:tcPr>
            <w:tcW w:type="dxa" w:w="5040"/>
            <w:shd w:val="clear" w:color="auto" w:fill="F0F4FF"/>
          </w:tcPr>
          <w:p>
            <w:r>
              <w:rPr>
                <w:rFonts w:ascii="Calibri" w:hAnsi="Calibri"/>
                <w:sz w:val="20"/>
              </w:rPr>
              <w:t>13 scenarios, real-time scoring, issue breakdown</w:t>
            </w:r>
          </w:p>
        </w:tc>
      </w:tr>
      <w:tr>
        <w:tc>
          <w:tcPr>
            <w:tcW w:type="dxa" w:w="2880"/>
            <w:shd w:val="clear" w:color="auto" w:fill="FFFFFF"/>
          </w:tcPr>
          <w:p>
            <w:r>
              <w:rPr>
                <w:rFonts w:ascii="Calibri" w:hAnsi="Calibri"/>
                <w:sz w:val="20"/>
              </w:rPr>
              <w:t>03 Technical Architecture</w:t>
            </w:r>
          </w:p>
        </w:tc>
        <w:tc>
          <w:tcPr>
            <w:tcW w:type="dxa" w:w="2880"/>
            <w:shd w:val="clear" w:color="auto" w:fill="FFFFFF"/>
          </w:tcPr>
          <w:p>
            <w:r>
              <w:rPr>
                <w:rFonts w:ascii="Calibri" w:hAnsi="Calibri"/>
                <w:sz w:val="20"/>
              </w:rPr>
              <w:t>Detection deep-dive</w:t>
            </w:r>
          </w:p>
        </w:tc>
        <w:tc>
          <w:tcPr>
            <w:tcW w:type="dxa" w:w="5040"/>
            <w:shd w:val="clear" w:color="auto" w:fill="FFFFFF"/>
          </w:tcPr>
          <w:p>
            <w:r>
              <w:rPr>
                <w:rFonts w:ascii="Calibri" w:hAnsi="Calibri"/>
                <w:sz w:val="20"/>
              </w:rPr>
              <w:t>8 techniques, latency metrics, accuracy charts</w:t>
            </w:r>
          </w:p>
        </w:tc>
      </w:tr>
      <w:tr>
        <w:tc>
          <w:tcPr>
            <w:tcW w:type="dxa" w:w="2880"/>
            <w:shd w:val="clear" w:color="auto" w:fill="F0F4FF"/>
          </w:tcPr>
          <w:p>
            <w:r>
              <w:rPr>
                <w:rFonts w:ascii="Calibri" w:hAnsi="Calibri"/>
                <w:sz w:val="20"/>
              </w:rPr>
              <w:t>04 Industry Solutions</w:t>
            </w:r>
          </w:p>
        </w:tc>
        <w:tc>
          <w:tcPr>
            <w:tcW w:type="dxa" w:w="2880"/>
            <w:shd w:val="clear" w:color="auto" w:fill="F0F4FF"/>
          </w:tcPr>
          <w:p>
            <w:r>
              <w:rPr>
                <w:rFonts w:ascii="Calibri" w:hAnsi="Calibri"/>
                <w:sz w:val="20"/>
              </w:rPr>
              <w:t>Module showcase</w:t>
            </w:r>
          </w:p>
        </w:tc>
        <w:tc>
          <w:tcPr>
            <w:tcW w:type="dxa" w:w="5040"/>
            <w:shd w:val="clear" w:color="auto" w:fill="F0F4FF"/>
          </w:tcPr>
          <w:p>
            <w:r>
              <w:rPr>
                <w:rFonts w:ascii="Calibri" w:hAnsi="Calibri"/>
                <w:sz w:val="20"/>
              </w:rPr>
              <w:t>8 verticals, use cases, integrations</w:t>
            </w:r>
          </w:p>
        </w:tc>
      </w:tr>
      <w:tr>
        <w:tc>
          <w:tcPr>
            <w:tcW w:type="dxa" w:w="2880"/>
            <w:shd w:val="clear" w:color="auto" w:fill="FFFFFF"/>
          </w:tcPr>
          <w:p>
            <w:r>
              <w:rPr>
                <w:rFonts w:ascii="Calibri" w:hAnsi="Calibri"/>
                <w:sz w:val="20"/>
              </w:rPr>
              <w:t>05 Real-Time Monitoring</w:t>
            </w:r>
          </w:p>
        </w:tc>
        <w:tc>
          <w:tcPr>
            <w:tcW w:type="dxa" w:w="2880"/>
            <w:shd w:val="clear" w:color="auto" w:fill="FFFFFF"/>
          </w:tcPr>
          <w:p>
            <w:r>
              <w:rPr>
                <w:rFonts w:ascii="Calibri" w:hAnsi="Calibri"/>
                <w:sz w:val="20"/>
              </w:rPr>
              <w:t>Operations dashboard</w:t>
            </w:r>
          </w:p>
        </w:tc>
        <w:tc>
          <w:tcPr>
            <w:tcW w:type="dxa" w:w="5040"/>
            <w:shd w:val="clear" w:color="auto" w:fill="FFFFFF"/>
          </w:tcPr>
          <w:p>
            <w:r>
              <w:rPr>
                <w:rFonts w:ascii="Calibri" w:hAnsi="Calibri"/>
                <w:sz w:val="20"/>
              </w:rPr>
              <w:t>Live query volume, detection feed, alerts</w:t>
            </w:r>
          </w:p>
        </w:tc>
      </w:tr>
      <w:tr>
        <w:tc>
          <w:tcPr>
            <w:tcW w:type="dxa" w:w="2880"/>
            <w:shd w:val="clear" w:color="auto" w:fill="F0F4FF"/>
          </w:tcPr>
          <w:p>
            <w:r>
              <w:rPr>
                <w:rFonts w:ascii="Calibri" w:hAnsi="Calibri"/>
                <w:sz w:val="20"/>
              </w:rPr>
              <w:t>06 Compliance &amp; Governance</w:t>
            </w:r>
          </w:p>
        </w:tc>
        <w:tc>
          <w:tcPr>
            <w:tcW w:type="dxa" w:w="2880"/>
            <w:shd w:val="clear" w:color="auto" w:fill="F0F4FF"/>
          </w:tcPr>
          <w:p>
            <w:r>
              <w:rPr>
                <w:rFonts w:ascii="Calibri" w:hAnsi="Calibri"/>
                <w:sz w:val="20"/>
              </w:rPr>
              <w:t>Regulatory coverage</w:t>
            </w:r>
          </w:p>
        </w:tc>
        <w:tc>
          <w:tcPr>
            <w:tcW w:type="dxa" w:w="5040"/>
            <w:shd w:val="clear" w:color="auto" w:fill="F0F4FF"/>
          </w:tcPr>
          <w:p>
            <w:r>
              <w:rPr>
                <w:rFonts w:ascii="Calibri" w:hAnsi="Calibri"/>
                <w:sz w:val="20"/>
              </w:rPr>
              <w:t>EU AI Act, NIST, ISO, SOC 2 meters</w:t>
            </w:r>
          </w:p>
        </w:tc>
      </w:tr>
      <w:tr>
        <w:tc>
          <w:tcPr>
            <w:tcW w:type="dxa" w:w="2880"/>
            <w:shd w:val="clear" w:color="auto" w:fill="FFFFFF"/>
          </w:tcPr>
          <w:p>
            <w:r>
              <w:rPr>
                <w:rFonts w:ascii="Calibri" w:hAnsi="Calibri"/>
                <w:sz w:val="20"/>
              </w:rPr>
              <w:t>07 Integrations</w:t>
            </w:r>
          </w:p>
        </w:tc>
        <w:tc>
          <w:tcPr>
            <w:tcW w:type="dxa" w:w="2880"/>
            <w:shd w:val="clear" w:color="auto" w:fill="FFFFFF"/>
          </w:tcPr>
          <w:p>
            <w:r>
              <w:rPr>
                <w:rFonts w:ascii="Calibri" w:hAnsi="Calibri"/>
                <w:sz w:val="20"/>
              </w:rPr>
              <w:t>Ecosystem showcase</w:t>
            </w:r>
          </w:p>
        </w:tc>
        <w:tc>
          <w:tcPr>
            <w:tcW w:type="dxa" w:w="5040"/>
            <w:shd w:val="clear" w:color="auto" w:fill="FFFFFF"/>
          </w:tcPr>
          <w:p>
            <w:r>
              <w:rPr>
                <w:rFonts w:ascii="Calibri" w:hAnsi="Calibri"/>
                <w:sz w:val="20"/>
              </w:rPr>
              <w:t>8 LLM providers, 50+ connectors</w:t>
            </w:r>
          </w:p>
        </w:tc>
      </w:tr>
      <w:tr>
        <w:tc>
          <w:tcPr>
            <w:tcW w:type="dxa" w:w="2880"/>
            <w:shd w:val="clear" w:color="auto" w:fill="F0F4FF"/>
          </w:tcPr>
          <w:p>
            <w:r>
              <w:rPr>
                <w:rFonts w:ascii="Calibri" w:hAnsi="Calibri"/>
                <w:sz w:val="20"/>
              </w:rPr>
              <w:t>08 ROI Calculator</w:t>
            </w:r>
          </w:p>
        </w:tc>
        <w:tc>
          <w:tcPr>
            <w:tcW w:type="dxa" w:w="2880"/>
            <w:shd w:val="clear" w:color="auto" w:fill="F0F4FF"/>
          </w:tcPr>
          <w:p>
            <w:r>
              <w:rPr>
                <w:rFonts w:ascii="Calibri" w:hAnsi="Calibri"/>
                <w:sz w:val="20"/>
              </w:rPr>
              <w:t>Business case</w:t>
            </w:r>
          </w:p>
        </w:tc>
        <w:tc>
          <w:tcPr>
            <w:tcW w:type="dxa" w:w="5040"/>
            <w:shd w:val="clear" w:color="auto" w:fill="F0F4FF"/>
          </w:tcPr>
          <w:p>
            <w:r>
              <w:rPr>
                <w:rFonts w:ascii="Calibri" w:hAnsi="Calibri"/>
                <w:sz w:val="20"/>
              </w:rPr>
              <w:t>Customizable inputs, 12-month projection</w:t>
            </w:r>
          </w:p>
        </w:tc>
      </w:tr>
      <w:tr>
        <w:tc>
          <w:tcPr>
            <w:tcW w:type="dxa" w:w="2880"/>
            <w:shd w:val="clear" w:color="auto" w:fill="FFFFFF"/>
          </w:tcPr>
          <w:p>
            <w:r>
              <w:rPr>
                <w:rFonts w:ascii="Calibri" w:hAnsi="Calibri"/>
                <w:sz w:val="20"/>
              </w:rPr>
              <w:t>09 API Documentation</w:t>
            </w:r>
          </w:p>
        </w:tc>
        <w:tc>
          <w:tcPr>
            <w:tcW w:type="dxa" w:w="2880"/>
            <w:shd w:val="clear" w:color="auto" w:fill="FFFFFF"/>
          </w:tcPr>
          <w:p>
            <w:r>
              <w:rPr>
                <w:rFonts w:ascii="Calibri" w:hAnsi="Calibri"/>
                <w:sz w:val="20"/>
              </w:rPr>
              <w:t>Developer resources</w:t>
            </w:r>
          </w:p>
        </w:tc>
        <w:tc>
          <w:tcPr>
            <w:tcW w:type="dxa" w:w="5040"/>
            <w:shd w:val="clear" w:color="auto" w:fill="FFFFFF"/>
          </w:tcPr>
          <w:p>
            <w:r>
              <w:rPr>
                <w:rFonts w:ascii="Calibri" w:hAnsi="Calibri"/>
                <w:sz w:val="20"/>
              </w:rPr>
              <w:t>SDK examples, API reference</w:t>
            </w:r>
          </w:p>
        </w:tc>
      </w:tr>
    </w:tbl>
    <w:p/>
    <w:p>
      <w:pPr>
        <w:pStyle w:val="Heading2"/>
      </w:pPr>
      <w:r>
        <w:rPr>
          <w:color w:val="0066FF"/>
        </w:rPr>
        <w:t>All 13 Demo Scenarios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003388"/>
          </w:tcPr>
          <w:p>
            <w:pPr>
              <w:jc w:val="center"/>
            </w:pPr>
            <w:r>
              <w:rPr>
                <w:rFonts w:ascii="Calibri" w:hAnsi="Calibri"/>
                <w:b/>
                <w:color w:val="FFFFFF"/>
                <w:sz w:val="18"/>
              </w:rPr>
              <w:t>Industry</w:t>
            </w:r>
          </w:p>
        </w:tc>
        <w:tc>
          <w:tcPr>
            <w:tcW w:type="dxa" w:w="2592"/>
            <w:shd w:val="clear" w:color="auto" w:fill="003388"/>
          </w:tcPr>
          <w:p>
            <w:pPr>
              <w:jc w:val="center"/>
            </w:pPr>
            <w:r>
              <w:rPr>
                <w:rFonts w:ascii="Calibri" w:hAnsi="Calibri"/>
                <w:b/>
                <w:color w:val="FFFFFF"/>
                <w:sz w:val="18"/>
              </w:rPr>
              <w:t>Scenario</w:t>
            </w:r>
          </w:p>
        </w:tc>
        <w:tc>
          <w:tcPr>
            <w:tcW w:type="dxa" w:w="1296"/>
            <w:shd w:val="clear" w:color="auto" w:fill="003388"/>
          </w:tcPr>
          <w:p>
            <w:pPr>
              <w:jc w:val="center"/>
            </w:pPr>
            <w:r>
              <w:rPr>
                <w:rFonts w:ascii="Calibri" w:hAnsi="Calibri"/>
                <w:b/>
                <w:color w:val="FFFFFF"/>
                <w:sz w:val="18"/>
              </w:rPr>
              <w:t>Confidence</w:t>
            </w:r>
          </w:p>
        </w:tc>
        <w:tc>
          <w:tcPr>
            <w:tcW w:type="dxa" w:w="1152"/>
            <w:shd w:val="clear" w:color="auto" w:fill="003388"/>
          </w:tcPr>
          <w:p>
            <w:pPr>
              <w:jc w:val="center"/>
            </w:pPr>
            <w:r>
              <w:rPr>
                <w:rFonts w:ascii="Calibri" w:hAnsi="Calibri"/>
                <w:b/>
                <w:color w:val="FFFFFF"/>
                <w:sz w:val="18"/>
              </w:rPr>
              <w:t>Action</w:t>
            </w:r>
          </w:p>
        </w:tc>
        <w:tc>
          <w:tcPr>
            <w:tcW w:type="dxa" w:w="3600"/>
            <w:shd w:val="clear" w:color="auto" w:fill="003388"/>
          </w:tcPr>
          <w:p>
            <w:pPr>
              <w:jc w:val="center"/>
            </w:pPr>
            <w:r>
              <w:rPr>
                <w:rFonts w:ascii="Calibri" w:hAnsi="Calibri"/>
                <w:b/>
                <w:color w:val="FFFFFF"/>
                <w:sz w:val="18"/>
              </w:rPr>
              <w:t>Critical Issues</w:t>
            </w:r>
          </w:p>
        </w:tc>
      </w:tr>
      <w:tr>
        <w:tc>
          <w:tcPr>
            <w:tcW w:type="dxa" w:w="2160"/>
            <w:shd w:val="clear" w:color="auto" w:fill="FFFFFF"/>
          </w:tcPr>
          <w:p>
            <w:r>
              <w:rPr>
                <w:rFonts w:ascii="Calibri" w:hAnsi="Calibri"/>
                <w:sz w:val="18"/>
              </w:rPr>
              <w:t>BFSI — Banking</w:t>
            </w:r>
          </w:p>
        </w:tc>
        <w:tc>
          <w:tcPr>
            <w:tcW w:type="dxa" w:w="2592"/>
            <w:shd w:val="clear" w:color="auto" w:fill="FFFFFF"/>
          </w:tcPr>
          <w:p>
            <w:r>
              <w:rPr>
                <w:rFonts w:ascii="Calibri" w:hAnsi="Calibri"/>
                <w:sz w:val="18"/>
              </w:rPr>
              <w:t>Mortgage rate inquiry</w:t>
            </w:r>
          </w:p>
        </w:tc>
        <w:tc>
          <w:tcPr>
            <w:tcW w:type="dxa" w:w="1296"/>
            <w:shd w:val="clear" w:color="auto" w:fill="FFFFFF"/>
          </w:tcPr>
          <w:p>
            <w:r>
              <w:rPr>
                <w:rFonts w:ascii="Calibri" w:hAnsi="Calibri"/>
                <w:sz w:val="18"/>
              </w:rPr>
              <w:t>18%</w:t>
            </w:r>
          </w:p>
        </w:tc>
        <w:tc>
          <w:tcPr>
            <w:tcW w:type="dxa" w:w="1152"/>
            <w:shd w:val="clear" w:color="auto" w:fill="FFFFFF"/>
          </w:tcPr>
          <w:p>
            <w:r>
              <w:rPr>
                <w:rFonts w:ascii="Calibri" w:hAnsi="Calibri"/>
                <w:sz w:val="18"/>
              </w:rPr>
              <w:t>BLOCK</w:t>
            </w:r>
          </w:p>
        </w:tc>
        <w:tc>
          <w:tcPr>
            <w:tcW w:type="dxa" w:w="3600"/>
            <w:shd w:val="clear" w:color="auto" w:fill="FFFFFF"/>
          </w:tcPr>
          <w:p>
            <w:r>
              <w:rPr>
                <w:rFonts w:ascii="Calibri" w:hAnsi="Calibri"/>
                <w:sz w:val="18"/>
              </w:rPr>
              <w:t>Fabricated rate, fake promotion, illegal guarantee</w:t>
            </w:r>
          </w:p>
        </w:tc>
      </w:tr>
      <w:tr>
        <w:tc>
          <w:tcPr>
            <w:tcW w:type="dxa" w:w="2160"/>
            <w:shd w:val="clear" w:color="auto" w:fill="F0F4FF"/>
          </w:tcPr>
          <w:p>
            <w:r>
              <w:rPr>
                <w:rFonts w:ascii="Calibri" w:hAnsi="Calibri"/>
                <w:sz w:val="18"/>
              </w:rPr>
              <w:t>BFSI — Insurance</w:t>
            </w:r>
          </w:p>
        </w:tc>
        <w:tc>
          <w:tcPr>
            <w:tcW w:type="dxa" w:w="2592"/>
            <w:shd w:val="clear" w:color="auto" w:fill="F0F4FF"/>
          </w:tcPr>
          <w:p>
            <w:r>
              <w:rPr>
                <w:rFonts w:ascii="Calibri" w:hAnsi="Calibri"/>
                <w:sz w:val="18"/>
              </w:rPr>
              <w:t>Claims processing</w:t>
            </w:r>
          </w:p>
        </w:tc>
        <w:tc>
          <w:tcPr>
            <w:tcW w:type="dxa" w:w="1296"/>
            <w:shd w:val="clear" w:color="auto" w:fill="F0F4FF"/>
          </w:tcPr>
          <w:p>
            <w:r>
              <w:rPr>
                <w:rFonts w:ascii="Calibri" w:hAnsi="Calibri"/>
                <w:sz w:val="18"/>
              </w:rPr>
              <w:t>22%</w:t>
            </w:r>
          </w:p>
        </w:tc>
        <w:tc>
          <w:tcPr>
            <w:tcW w:type="dxa" w:w="1152"/>
            <w:shd w:val="clear" w:color="auto" w:fill="F0F4FF"/>
          </w:tcPr>
          <w:p>
            <w:r>
              <w:rPr>
                <w:rFonts w:ascii="Calibri" w:hAnsi="Calibri"/>
                <w:sz w:val="18"/>
              </w:rPr>
              <w:t>BLOCK</w:t>
            </w:r>
          </w:p>
        </w:tc>
        <w:tc>
          <w:tcPr>
            <w:tcW w:type="dxa" w:w="3600"/>
            <w:shd w:val="clear" w:color="auto" w:fill="F0F4FF"/>
          </w:tcPr>
          <w:p>
            <w:r>
              <w:rPr>
                <w:rFonts w:ascii="Calibri" w:hAnsi="Calibri"/>
                <w:sz w:val="18"/>
              </w:rPr>
              <w:t>Unauthorized coverage determination</w:t>
            </w:r>
          </w:p>
        </w:tc>
      </w:tr>
      <w:tr>
        <w:tc>
          <w:tcPr>
            <w:tcW w:type="dxa" w:w="2160"/>
            <w:shd w:val="clear" w:color="auto" w:fill="FFFFFF"/>
          </w:tcPr>
          <w:p>
            <w:r>
              <w:rPr>
                <w:rFonts w:ascii="Calibri" w:hAnsi="Calibri"/>
                <w:sz w:val="18"/>
              </w:rPr>
              <w:t>BFSI — Wealth</w:t>
            </w:r>
          </w:p>
        </w:tc>
        <w:tc>
          <w:tcPr>
            <w:tcW w:type="dxa" w:w="2592"/>
            <w:shd w:val="clear" w:color="auto" w:fill="FFFFFF"/>
          </w:tcPr>
          <w:p>
            <w:r>
              <w:rPr>
                <w:rFonts w:ascii="Calibri" w:hAnsi="Calibri"/>
                <w:sz w:val="18"/>
              </w:rPr>
              <w:t>Investment advice</w:t>
            </w:r>
          </w:p>
        </w:tc>
        <w:tc>
          <w:tcPr>
            <w:tcW w:type="dxa" w:w="1296"/>
            <w:shd w:val="clear" w:color="auto" w:fill="FFFFFF"/>
          </w:tcPr>
          <w:p>
            <w:r>
              <w:rPr>
                <w:rFonts w:ascii="Calibri" w:hAnsi="Calibri"/>
                <w:sz w:val="18"/>
              </w:rPr>
              <w:t>31%</w:t>
            </w:r>
          </w:p>
        </w:tc>
        <w:tc>
          <w:tcPr>
            <w:tcW w:type="dxa" w:w="1152"/>
            <w:shd w:val="clear" w:color="auto" w:fill="FFFFFF"/>
          </w:tcPr>
          <w:p>
            <w:r>
              <w:rPr>
                <w:rFonts w:ascii="Calibri" w:hAnsi="Calibri"/>
                <w:sz w:val="18"/>
              </w:rPr>
              <w:t>BLOCK</w:t>
            </w:r>
          </w:p>
        </w:tc>
        <w:tc>
          <w:tcPr>
            <w:tcW w:type="dxa" w:w="3600"/>
            <w:shd w:val="clear" w:color="auto" w:fill="FFFFFF"/>
          </w:tcPr>
          <w:p>
            <w:r>
              <w:rPr>
                <w:rFonts w:ascii="Calibri" w:hAnsi="Calibri"/>
                <w:sz w:val="18"/>
              </w:rPr>
              <w:t>Fiduciary violation, unverified returns</w:t>
            </w:r>
          </w:p>
        </w:tc>
      </w:tr>
      <w:tr>
        <w:tc>
          <w:tcPr>
            <w:tcW w:type="dxa" w:w="2160"/>
            <w:shd w:val="clear" w:color="auto" w:fill="F0F4FF"/>
          </w:tcPr>
          <w:p>
            <w:r>
              <w:rPr>
                <w:rFonts w:ascii="Calibri" w:hAnsi="Calibri"/>
                <w:sz w:val="18"/>
              </w:rPr>
              <w:t>Healthcare Clinical</w:t>
            </w:r>
          </w:p>
        </w:tc>
        <w:tc>
          <w:tcPr>
            <w:tcW w:type="dxa" w:w="2592"/>
            <w:shd w:val="clear" w:color="auto" w:fill="F0F4FF"/>
          </w:tcPr>
          <w:p>
            <w:r>
              <w:rPr>
                <w:rFonts w:ascii="Calibri" w:hAnsi="Calibri"/>
                <w:sz w:val="18"/>
              </w:rPr>
              <w:t>Drug dosage (metformin)</w:t>
            </w:r>
          </w:p>
        </w:tc>
        <w:tc>
          <w:tcPr>
            <w:tcW w:type="dxa" w:w="1296"/>
            <w:shd w:val="clear" w:color="auto" w:fill="F0F4FF"/>
          </w:tcPr>
          <w:p>
            <w:r>
              <w:rPr>
                <w:rFonts w:ascii="Calibri" w:hAnsi="Calibri"/>
                <w:sz w:val="18"/>
              </w:rPr>
              <w:t>6%</w:t>
            </w:r>
          </w:p>
        </w:tc>
        <w:tc>
          <w:tcPr>
            <w:tcW w:type="dxa" w:w="1152"/>
            <w:shd w:val="clear" w:color="auto" w:fill="F0F4FF"/>
          </w:tcPr>
          <w:p>
            <w:r>
              <w:rPr>
                <w:rFonts w:ascii="Calibri" w:hAnsi="Calibri"/>
                <w:sz w:val="18"/>
              </w:rPr>
              <w:t>BLOCK</w:t>
            </w:r>
          </w:p>
        </w:tc>
        <w:tc>
          <w:tcPr>
            <w:tcW w:type="dxa" w:w="3600"/>
            <w:shd w:val="clear" w:color="auto" w:fill="F0F4FF"/>
          </w:tcPr>
          <w:p>
            <w:r>
              <w:rPr>
                <w:rFonts w:ascii="Calibri" w:hAnsi="Calibri"/>
                <w:sz w:val="18"/>
              </w:rPr>
              <w:t>Wrong dose, fabricated interaction, missed contraindication</w:t>
            </w:r>
          </w:p>
        </w:tc>
      </w:tr>
      <w:tr>
        <w:tc>
          <w:tcPr>
            <w:tcW w:type="dxa" w:w="2160"/>
            <w:shd w:val="clear" w:color="auto" w:fill="FFFFFF"/>
          </w:tcPr>
          <w:p>
            <w:r>
              <w:rPr>
                <w:rFonts w:ascii="Calibri" w:hAnsi="Calibri"/>
                <w:sz w:val="18"/>
              </w:rPr>
              <w:t>Healthcare Admin</w:t>
            </w:r>
          </w:p>
        </w:tc>
        <w:tc>
          <w:tcPr>
            <w:tcW w:type="dxa" w:w="2592"/>
            <w:shd w:val="clear" w:color="auto" w:fill="FFFFFF"/>
          </w:tcPr>
          <w:p>
            <w:r>
              <w:rPr>
                <w:rFonts w:ascii="Calibri" w:hAnsi="Calibri"/>
                <w:sz w:val="18"/>
              </w:rPr>
              <w:t>Prior authorization</w:t>
            </w:r>
          </w:p>
        </w:tc>
        <w:tc>
          <w:tcPr>
            <w:tcW w:type="dxa" w:w="1296"/>
            <w:shd w:val="clear" w:color="auto" w:fill="FFFFFF"/>
          </w:tcPr>
          <w:p>
            <w:r>
              <w:rPr>
                <w:rFonts w:ascii="Calibri" w:hAnsi="Calibri"/>
                <w:sz w:val="18"/>
              </w:rPr>
              <w:t>29%</w:t>
            </w:r>
          </w:p>
        </w:tc>
        <w:tc>
          <w:tcPr>
            <w:tcW w:type="dxa" w:w="1152"/>
            <w:shd w:val="clear" w:color="auto" w:fill="FFFFFF"/>
          </w:tcPr>
          <w:p>
            <w:r>
              <w:rPr>
                <w:rFonts w:ascii="Calibri" w:hAnsi="Calibri"/>
                <w:sz w:val="18"/>
              </w:rPr>
              <w:t>BLOCK</w:t>
            </w:r>
          </w:p>
        </w:tc>
        <w:tc>
          <w:tcPr>
            <w:tcW w:type="dxa" w:w="3600"/>
            <w:shd w:val="clear" w:color="auto" w:fill="FFFFFF"/>
          </w:tcPr>
          <w:p>
            <w:r>
              <w:rPr>
                <w:rFonts w:ascii="Calibri" w:hAnsi="Calibri"/>
                <w:sz w:val="18"/>
              </w:rPr>
              <w:t>Unauthorized pre-approval</w:t>
            </w:r>
          </w:p>
        </w:tc>
      </w:tr>
      <w:tr>
        <w:tc>
          <w:tcPr>
            <w:tcW w:type="dxa" w:w="2160"/>
            <w:shd w:val="clear" w:color="auto" w:fill="F0F4FF"/>
          </w:tcPr>
          <w:p>
            <w:r>
              <w:rPr>
                <w:rFonts w:ascii="Calibri" w:hAnsi="Calibri"/>
                <w:sz w:val="18"/>
              </w:rPr>
              <w:t>Legal — Litigation</w:t>
            </w:r>
          </w:p>
        </w:tc>
        <w:tc>
          <w:tcPr>
            <w:tcW w:type="dxa" w:w="2592"/>
            <w:shd w:val="clear" w:color="auto" w:fill="F0F4FF"/>
          </w:tcPr>
          <w:p>
            <w:r>
              <w:rPr>
                <w:rFonts w:ascii="Calibri" w:hAnsi="Calibri"/>
                <w:sz w:val="18"/>
              </w:rPr>
              <w:t>Case research</w:t>
            </w:r>
          </w:p>
        </w:tc>
        <w:tc>
          <w:tcPr>
            <w:tcW w:type="dxa" w:w="1296"/>
            <w:shd w:val="clear" w:color="auto" w:fill="F0F4FF"/>
          </w:tcPr>
          <w:p>
            <w:r>
              <w:rPr>
                <w:rFonts w:ascii="Calibri" w:hAnsi="Calibri"/>
                <w:sz w:val="18"/>
              </w:rPr>
              <w:t>4%</w:t>
            </w:r>
          </w:p>
        </w:tc>
        <w:tc>
          <w:tcPr>
            <w:tcW w:type="dxa" w:w="1152"/>
            <w:shd w:val="clear" w:color="auto" w:fill="F0F4FF"/>
          </w:tcPr>
          <w:p>
            <w:r>
              <w:rPr>
                <w:rFonts w:ascii="Calibri" w:hAnsi="Calibri"/>
                <w:sz w:val="18"/>
              </w:rPr>
              <w:t>BLOCK</w:t>
            </w:r>
          </w:p>
        </w:tc>
        <w:tc>
          <w:tcPr>
            <w:tcW w:type="dxa" w:w="3600"/>
            <w:shd w:val="clear" w:color="auto" w:fill="F0F4FF"/>
          </w:tcPr>
          <w:p>
            <w:r>
              <w:rPr>
                <w:rFonts w:ascii="Calibri" w:hAnsi="Calibri"/>
                <w:sz w:val="18"/>
              </w:rPr>
              <w:t>All citations fabricated</w:t>
            </w:r>
          </w:p>
        </w:tc>
      </w:tr>
      <w:tr>
        <w:tc>
          <w:tcPr>
            <w:tcW w:type="dxa" w:w="2160"/>
            <w:shd w:val="clear" w:color="auto" w:fill="FFFFFF"/>
          </w:tcPr>
          <w:p>
            <w:r>
              <w:rPr>
                <w:rFonts w:ascii="Calibri" w:hAnsi="Calibri"/>
                <w:sz w:val="18"/>
              </w:rPr>
              <w:t>Legal — Contract</w:t>
            </w:r>
          </w:p>
        </w:tc>
        <w:tc>
          <w:tcPr>
            <w:tcW w:type="dxa" w:w="2592"/>
            <w:shd w:val="clear" w:color="auto" w:fill="FFFFFF"/>
          </w:tcPr>
          <w:p>
            <w:r>
              <w:rPr>
                <w:rFonts w:ascii="Calibri" w:hAnsi="Calibri"/>
                <w:sz w:val="18"/>
              </w:rPr>
              <w:t>NDA review</w:t>
            </w:r>
          </w:p>
        </w:tc>
        <w:tc>
          <w:tcPr>
            <w:tcW w:type="dxa" w:w="1296"/>
            <w:shd w:val="clear" w:color="auto" w:fill="FFFFFF"/>
          </w:tcPr>
          <w:p>
            <w:r>
              <w:rPr>
                <w:rFonts w:ascii="Calibri" w:hAnsi="Calibri"/>
                <w:sz w:val="18"/>
              </w:rPr>
              <w:t>35%</w:t>
            </w:r>
          </w:p>
        </w:tc>
        <w:tc>
          <w:tcPr>
            <w:tcW w:type="dxa" w:w="1152"/>
            <w:shd w:val="clear" w:color="auto" w:fill="FFFFFF"/>
          </w:tcPr>
          <w:p>
            <w:r>
              <w:rPr>
                <w:rFonts w:ascii="Calibri" w:hAnsi="Calibri"/>
                <w:sz w:val="18"/>
              </w:rPr>
              <w:t>BLOCK</w:t>
            </w:r>
          </w:p>
        </w:tc>
        <w:tc>
          <w:tcPr>
            <w:tcW w:type="dxa" w:w="3600"/>
            <w:shd w:val="clear" w:color="auto" w:fill="FFFFFF"/>
          </w:tcPr>
          <w:p>
            <w:r>
              <w:rPr>
                <w:rFonts w:ascii="Calibri" w:hAnsi="Calibri"/>
                <w:sz w:val="18"/>
              </w:rPr>
              <w:t>Analysis without document</w:t>
            </w:r>
          </w:p>
        </w:tc>
      </w:tr>
      <w:tr>
        <w:tc>
          <w:tcPr>
            <w:tcW w:type="dxa" w:w="2160"/>
            <w:shd w:val="clear" w:color="auto" w:fill="F0F4FF"/>
          </w:tcPr>
          <w:p>
            <w:r>
              <w:rPr>
                <w:rFonts w:ascii="Calibri" w:hAnsi="Calibri"/>
                <w:sz w:val="18"/>
              </w:rPr>
              <w:t>Enterprise — HR</w:t>
            </w:r>
          </w:p>
        </w:tc>
        <w:tc>
          <w:tcPr>
            <w:tcW w:type="dxa" w:w="2592"/>
            <w:shd w:val="clear" w:color="auto" w:fill="F0F4FF"/>
          </w:tcPr>
          <w:p>
            <w:r>
              <w:rPr>
                <w:rFonts w:ascii="Calibri" w:hAnsi="Calibri"/>
                <w:sz w:val="18"/>
              </w:rPr>
              <w:t>Policy inquiry</w:t>
            </w:r>
          </w:p>
        </w:tc>
        <w:tc>
          <w:tcPr>
            <w:tcW w:type="dxa" w:w="1296"/>
            <w:shd w:val="clear" w:color="auto" w:fill="F0F4FF"/>
          </w:tcPr>
          <w:p>
            <w:r>
              <w:rPr>
                <w:rFonts w:ascii="Calibri" w:hAnsi="Calibri"/>
                <w:sz w:val="18"/>
              </w:rPr>
              <w:t>42%</w:t>
            </w:r>
          </w:p>
        </w:tc>
        <w:tc>
          <w:tcPr>
            <w:tcW w:type="dxa" w:w="1152"/>
            <w:shd w:val="clear" w:color="auto" w:fill="F0F4FF"/>
          </w:tcPr>
          <w:p>
            <w:r>
              <w:rPr>
                <w:rFonts w:ascii="Calibri" w:hAnsi="Calibri"/>
                <w:sz w:val="18"/>
              </w:rPr>
              <w:t>FLAG</w:t>
            </w:r>
          </w:p>
        </w:tc>
        <w:tc>
          <w:tcPr>
            <w:tcW w:type="dxa" w:w="3600"/>
            <w:shd w:val="clear" w:color="auto" w:fill="F0F4FF"/>
          </w:tcPr>
          <w:p>
            <w:r>
              <w:rPr>
                <w:rFonts w:ascii="Calibri" w:hAnsi="Calibri"/>
                <w:sz w:val="18"/>
              </w:rPr>
              <w:t>Fabricated vacation/overtime rules</w:t>
            </w:r>
          </w:p>
        </w:tc>
      </w:tr>
      <w:tr>
        <w:tc>
          <w:tcPr>
            <w:tcW w:type="dxa" w:w="2160"/>
            <w:shd w:val="clear" w:color="auto" w:fill="FFFFFF"/>
          </w:tcPr>
          <w:p>
            <w:r>
              <w:rPr>
                <w:rFonts w:ascii="Calibri" w:hAnsi="Calibri"/>
                <w:sz w:val="18"/>
              </w:rPr>
              <w:t>Enterprise — IT</w:t>
            </w:r>
          </w:p>
        </w:tc>
        <w:tc>
          <w:tcPr>
            <w:tcW w:type="dxa" w:w="2592"/>
            <w:shd w:val="clear" w:color="auto" w:fill="FFFFFF"/>
          </w:tcPr>
          <w:p>
            <w:r>
              <w:rPr>
                <w:rFonts w:ascii="Calibri" w:hAnsi="Calibri"/>
                <w:sz w:val="18"/>
              </w:rPr>
              <w:t>VPN support</w:t>
            </w:r>
          </w:p>
        </w:tc>
        <w:tc>
          <w:tcPr>
            <w:tcW w:type="dxa" w:w="1296"/>
            <w:shd w:val="clear" w:color="auto" w:fill="FFFFFF"/>
          </w:tcPr>
          <w:p>
            <w:r>
              <w:rPr>
                <w:rFonts w:ascii="Calibri" w:hAnsi="Calibri"/>
                <w:sz w:val="18"/>
              </w:rPr>
              <w:t>38%</w:t>
            </w:r>
          </w:p>
        </w:tc>
        <w:tc>
          <w:tcPr>
            <w:tcW w:type="dxa" w:w="1152"/>
            <w:shd w:val="clear" w:color="auto" w:fill="FFFFFF"/>
          </w:tcPr>
          <w:p>
            <w:r>
              <w:rPr>
                <w:rFonts w:ascii="Calibri" w:hAnsi="Calibri"/>
                <w:sz w:val="18"/>
              </w:rPr>
              <w:t>FLAG</w:t>
            </w:r>
          </w:p>
        </w:tc>
        <w:tc>
          <w:tcPr>
            <w:tcW w:type="dxa" w:w="3600"/>
            <w:shd w:val="clear" w:color="auto" w:fill="FFFFFF"/>
          </w:tcPr>
          <w:p>
            <w:r>
              <w:rPr>
                <w:rFonts w:ascii="Calibri" w:hAnsi="Calibri"/>
                <w:sz w:val="18"/>
              </w:rPr>
              <w:t>Fabricated URLs and server addresses</w:t>
            </w:r>
          </w:p>
        </w:tc>
      </w:tr>
      <w:tr>
        <w:tc>
          <w:tcPr>
            <w:tcW w:type="dxa" w:w="2160"/>
            <w:shd w:val="clear" w:color="auto" w:fill="F0F4FF"/>
          </w:tcPr>
          <w:p>
            <w:r>
              <w:rPr>
                <w:rFonts w:ascii="Calibri" w:hAnsi="Calibri"/>
                <w:sz w:val="18"/>
              </w:rPr>
              <w:t>Manufacturing</w:t>
            </w:r>
          </w:p>
        </w:tc>
        <w:tc>
          <w:tcPr>
            <w:tcW w:type="dxa" w:w="2592"/>
            <w:shd w:val="clear" w:color="auto" w:fill="F0F4FF"/>
          </w:tcPr>
          <w:p>
            <w:r>
              <w:rPr>
                <w:rFonts w:ascii="Calibri" w:hAnsi="Calibri"/>
                <w:sz w:val="18"/>
              </w:rPr>
              <w:t>Quality control</w:t>
            </w:r>
          </w:p>
        </w:tc>
        <w:tc>
          <w:tcPr>
            <w:tcW w:type="dxa" w:w="1296"/>
            <w:shd w:val="clear" w:color="auto" w:fill="F0F4FF"/>
          </w:tcPr>
          <w:p>
            <w:r>
              <w:rPr>
                <w:rFonts w:ascii="Calibri" w:hAnsi="Calibri"/>
                <w:sz w:val="18"/>
              </w:rPr>
              <w:t>55%</w:t>
            </w:r>
          </w:p>
        </w:tc>
        <w:tc>
          <w:tcPr>
            <w:tcW w:type="dxa" w:w="1152"/>
            <w:shd w:val="clear" w:color="auto" w:fill="F0F4FF"/>
          </w:tcPr>
          <w:p>
            <w:r>
              <w:rPr>
                <w:rFonts w:ascii="Calibri" w:hAnsi="Calibri"/>
                <w:sz w:val="18"/>
              </w:rPr>
              <w:t>FLAG</w:t>
            </w:r>
          </w:p>
        </w:tc>
        <w:tc>
          <w:tcPr>
            <w:tcW w:type="dxa" w:w="3600"/>
            <w:shd w:val="clear" w:color="auto" w:fill="F0F4FF"/>
          </w:tcPr>
          <w:p>
            <w:r>
              <w:rPr>
                <w:rFonts w:ascii="Calibri" w:hAnsi="Calibri"/>
                <w:sz w:val="18"/>
              </w:rPr>
              <w:t>Fabricated QC records</w:t>
            </w:r>
          </w:p>
        </w:tc>
      </w:tr>
      <w:tr>
        <w:tc>
          <w:tcPr>
            <w:tcW w:type="dxa" w:w="2160"/>
            <w:shd w:val="clear" w:color="auto" w:fill="FFFFFF"/>
          </w:tcPr>
          <w:p>
            <w:r>
              <w:rPr>
                <w:rFonts w:ascii="Calibri" w:hAnsi="Calibri"/>
                <w:sz w:val="18"/>
              </w:rPr>
              <w:t>Retail</w:t>
            </w:r>
          </w:p>
        </w:tc>
        <w:tc>
          <w:tcPr>
            <w:tcW w:type="dxa" w:w="2592"/>
            <w:shd w:val="clear" w:color="auto" w:fill="FFFFFF"/>
          </w:tcPr>
          <w:p>
            <w:r>
              <w:rPr>
                <w:rFonts w:ascii="Calibri" w:hAnsi="Calibri"/>
                <w:sz w:val="18"/>
              </w:rPr>
              <w:t>Product inquiry</w:t>
            </w:r>
          </w:p>
        </w:tc>
        <w:tc>
          <w:tcPr>
            <w:tcW w:type="dxa" w:w="1296"/>
            <w:shd w:val="clear" w:color="auto" w:fill="FFFFFF"/>
          </w:tcPr>
          <w:p>
            <w:r>
              <w:rPr>
                <w:rFonts w:ascii="Calibri" w:hAnsi="Calibri"/>
                <w:sz w:val="18"/>
              </w:rPr>
              <w:t>61%</w:t>
            </w:r>
          </w:p>
        </w:tc>
        <w:tc>
          <w:tcPr>
            <w:tcW w:type="dxa" w:w="1152"/>
            <w:shd w:val="clear" w:color="auto" w:fill="FFFFFF"/>
          </w:tcPr>
          <w:p>
            <w:r>
              <w:rPr>
                <w:rFonts w:ascii="Calibri" w:hAnsi="Calibri"/>
                <w:sz w:val="18"/>
              </w:rPr>
              <w:t>FLAG</w:t>
            </w:r>
          </w:p>
        </w:tc>
        <w:tc>
          <w:tcPr>
            <w:tcW w:type="dxa" w:w="3600"/>
            <w:shd w:val="clear" w:color="auto" w:fill="FFFFFF"/>
          </w:tcPr>
          <w:p>
            <w:r>
              <w:rPr>
                <w:rFonts w:ascii="Calibri" w:hAnsi="Calibri"/>
                <w:sz w:val="18"/>
              </w:rPr>
              <w:t>Unverified pricing and availability</w:t>
            </w:r>
          </w:p>
        </w:tc>
      </w:tr>
      <w:tr>
        <w:tc>
          <w:tcPr>
            <w:tcW w:type="dxa" w:w="2160"/>
            <w:shd w:val="clear" w:color="auto" w:fill="F0F4FF"/>
          </w:tcPr>
          <w:p>
            <w:r>
              <w:rPr>
                <w:rFonts w:ascii="Calibri" w:hAnsi="Calibri"/>
                <w:sz w:val="18"/>
              </w:rPr>
              <w:t>Telecom</w:t>
            </w:r>
          </w:p>
        </w:tc>
        <w:tc>
          <w:tcPr>
            <w:tcW w:type="dxa" w:w="2592"/>
            <w:shd w:val="clear" w:color="auto" w:fill="F0F4FF"/>
          </w:tcPr>
          <w:p>
            <w:r>
              <w:rPr>
                <w:rFonts w:ascii="Calibri" w:hAnsi="Calibri"/>
                <w:sz w:val="18"/>
              </w:rPr>
              <w:t>Billing inquiry</w:t>
            </w:r>
          </w:p>
        </w:tc>
        <w:tc>
          <w:tcPr>
            <w:tcW w:type="dxa" w:w="1296"/>
            <w:shd w:val="clear" w:color="auto" w:fill="F0F4FF"/>
          </w:tcPr>
          <w:p>
            <w:r>
              <w:rPr>
                <w:rFonts w:ascii="Calibri" w:hAnsi="Calibri"/>
                <w:sz w:val="18"/>
              </w:rPr>
              <w:t>27%</w:t>
            </w:r>
          </w:p>
        </w:tc>
        <w:tc>
          <w:tcPr>
            <w:tcW w:type="dxa" w:w="1152"/>
            <w:shd w:val="clear" w:color="auto" w:fill="F0F4FF"/>
          </w:tcPr>
          <w:p>
            <w:r>
              <w:rPr>
                <w:rFonts w:ascii="Calibri" w:hAnsi="Calibri"/>
                <w:sz w:val="18"/>
              </w:rPr>
              <w:t>BLOCK</w:t>
            </w:r>
          </w:p>
        </w:tc>
        <w:tc>
          <w:tcPr>
            <w:tcW w:type="dxa" w:w="3600"/>
            <w:shd w:val="clear" w:color="auto" w:fill="F0F4FF"/>
          </w:tcPr>
          <w:p>
            <w:r>
              <w:rPr>
                <w:rFonts w:ascii="Calibri" w:hAnsi="Calibri"/>
                <w:sz w:val="18"/>
              </w:rPr>
              <w:t>Unauthorized account modification</w:t>
            </w:r>
          </w:p>
        </w:tc>
      </w:tr>
      <w:tr>
        <w:tc>
          <w:tcPr>
            <w:tcW w:type="dxa" w:w="2160"/>
            <w:shd w:val="clear" w:color="auto" w:fill="FFFFFF"/>
          </w:tcPr>
          <w:p>
            <w:r>
              <w:rPr>
                <w:rFonts w:ascii="Calibri" w:hAnsi="Calibri"/>
                <w:sz w:val="18"/>
              </w:rPr>
              <w:t>Government</w:t>
            </w:r>
          </w:p>
        </w:tc>
        <w:tc>
          <w:tcPr>
            <w:tcW w:type="dxa" w:w="2592"/>
            <w:shd w:val="clear" w:color="auto" w:fill="FFFFFF"/>
          </w:tcPr>
          <w:p>
            <w:r>
              <w:rPr>
                <w:rFonts w:ascii="Calibri" w:hAnsi="Calibri"/>
                <w:sz w:val="18"/>
              </w:rPr>
              <w:t>Benefits eligibility</w:t>
            </w:r>
          </w:p>
        </w:tc>
        <w:tc>
          <w:tcPr>
            <w:tcW w:type="dxa" w:w="1296"/>
            <w:shd w:val="clear" w:color="auto" w:fill="FFFFFF"/>
          </w:tcPr>
          <w:p>
            <w:r>
              <w:rPr>
                <w:rFonts w:ascii="Calibri" w:hAnsi="Calibri"/>
                <w:sz w:val="18"/>
              </w:rPr>
              <w:t>19%</w:t>
            </w:r>
          </w:p>
        </w:tc>
        <w:tc>
          <w:tcPr>
            <w:tcW w:type="dxa" w:w="1152"/>
            <w:shd w:val="clear" w:color="auto" w:fill="FFFFFF"/>
          </w:tcPr>
          <w:p>
            <w:r>
              <w:rPr>
                <w:rFonts w:ascii="Calibri" w:hAnsi="Calibri"/>
                <w:sz w:val="18"/>
              </w:rPr>
              <w:t>BLOCK</w:t>
            </w:r>
          </w:p>
        </w:tc>
        <w:tc>
          <w:tcPr>
            <w:tcW w:type="dxa" w:w="3600"/>
            <w:shd w:val="clear" w:color="auto" w:fill="FFFFFF"/>
          </w:tcPr>
          <w:p>
            <w:r>
              <w:rPr>
                <w:rFonts w:ascii="Calibri" w:hAnsi="Calibri"/>
                <w:sz w:val="18"/>
              </w:rPr>
              <w:t>Unauthorized eligibility determination</w:t>
            </w:r>
          </w:p>
        </w:tc>
      </w:tr>
    </w:tbl>
    <w:p/>
    <w:p>
      <w:r>
        <w:br w:type="page"/>
      </w:r>
    </w:p>
    <w:p>
      <w:pPr>
        <w:pStyle w:val="Heading1"/>
      </w:pPr>
      <w:r>
        <w:rPr>
          <w:color w:val="003388"/>
        </w:rPr>
        <w:t>12. Security Architecture</w:t>
      </w:r>
    </w:p>
    <w:p>
      <w:pPr>
        <w:spacing w:before="40" w:after="120"/>
        <w:pBdr>
          <w:bottom w:val="single" w:sz="12" w:space="1" w:color="0066FF"/>
        </w:pBdr>
      </w:pPr>
    </w:p>
    <w:p>
      <w:pPr>
        <w:pStyle w:val="Heading2"/>
      </w:pPr>
      <w:r>
        <w:rPr>
          <w:color w:val="0066FF"/>
        </w:rPr>
        <w:t>12.1 Data Security</w:t>
      </w:r>
    </w:p>
    <w:p>
      <w:pPr>
        <w:pStyle w:val="ListBullet"/>
        <w:spacing w:after="60"/>
        <w:ind w:left="432"/>
      </w:pPr>
      <w:r>
        <w:rPr>
          <w:rFonts w:ascii="Calibri" w:hAnsi="Calibri"/>
        </w:rPr>
        <w:t>All data in transit encrypted via TLS 1.3 minimum</w:t>
      </w:r>
    </w:p>
    <w:p>
      <w:pPr>
        <w:pStyle w:val="ListBullet"/>
        <w:spacing w:after="60"/>
        <w:ind w:left="432"/>
      </w:pPr>
      <w:r>
        <w:rPr>
          <w:rFonts w:ascii="Calibri" w:hAnsi="Calibri"/>
        </w:rPr>
        <w:t>All data at rest encrypted via AES-256</w:t>
      </w:r>
    </w:p>
    <w:p>
      <w:pPr>
        <w:pStyle w:val="ListBullet"/>
        <w:spacing w:after="60"/>
        <w:ind w:left="432"/>
      </w:pPr>
      <w:r>
        <w:rPr>
          <w:rFonts w:ascii="Calibri" w:hAnsi="Calibri"/>
        </w:rPr>
        <w:t>Enterprise query/response data is never stored beyond the audit log TTL window</w:t>
      </w:r>
    </w:p>
    <w:p>
      <w:pPr>
        <w:pStyle w:val="ListBullet"/>
        <w:spacing w:after="60"/>
        <w:ind w:left="432"/>
      </w:pPr>
      <w:r>
        <w:rPr>
          <w:rFonts w:ascii="Calibri" w:hAnsi="Calibri"/>
        </w:rPr>
        <w:t>Enterprise data source credentials stored in HSM-backed secret management (AWS KMS, Azure Key Vault)</w:t>
      </w:r>
    </w:p>
    <w:p>
      <w:pPr>
        <w:pStyle w:val="ListBullet"/>
        <w:spacing w:after="60"/>
        <w:ind w:left="432"/>
      </w:pPr>
      <w:r>
        <w:rPr>
          <w:rFonts w:ascii="Calibri" w:hAnsi="Calibri"/>
        </w:rPr>
        <w:t>Tenant data is strictly isolated — no cross-tenant data access</w:t>
      </w:r>
    </w:p>
    <w:p>
      <w:pPr>
        <w:pStyle w:val="Heading2"/>
      </w:pPr>
      <w:r>
        <w:rPr>
          <w:color w:val="0066FF"/>
        </w:rPr>
        <w:t>12.2 Access Control</w:t>
      </w:r>
    </w:p>
    <w:p>
      <w:pPr>
        <w:pStyle w:val="ListBullet"/>
        <w:spacing w:after="60"/>
        <w:ind w:left="432"/>
      </w:pPr>
      <w:r>
        <w:rPr>
          <w:rFonts w:ascii="Calibri" w:hAnsi="Calibri"/>
        </w:rPr>
        <w:t>Role-based access control (RBAC) for all platform functions</w:t>
      </w:r>
    </w:p>
    <w:p>
      <w:pPr>
        <w:pStyle w:val="ListBullet"/>
        <w:spacing w:after="60"/>
        <w:ind w:left="432"/>
      </w:pPr>
      <w:r>
        <w:rPr>
          <w:rFonts w:ascii="Calibri" w:hAnsi="Calibri"/>
        </w:rPr>
        <w:t>API keys scoped per deployment; rotation enforced quarterly</w:t>
      </w:r>
    </w:p>
    <w:p>
      <w:pPr>
        <w:pStyle w:val="ListBullet"/>
        <w:spacing w:after="60"/>
        <w:ind w:left="432"/>
      </w:pPr>
      <w:r>
        <w:rPr>
          <w:rFonts w:ascii="Calibri" w:hAnsi="Calibri"/>
        </w:rPr>
        <w:t>Admin operations require MFA</w:t>
      </w:r>
    </w:p>
    <w:p>
      <w:pPr>
        <w:pStyle w:val="ListBullet"/>
        <w:spacing w:after="60"/>
        <w:ind w:left="432"/>
      </w:pPr>
      <w:r>
        <w:rPr>
          <w:rFonts w:ascii="Calibri" w:hAnsi="Calibri"/>
        </w:rPr>
        <w:t>All administrative actions logged in immutable access log</w:t>
      </w:r>
    </w:p>
    <w:p>
      <w:pPr>
        <w:pStyle w:val="Heading2"/>
      </w:pPr>
      <w:r>
        <w:rPr>
          <w:color w:val="0066FF"/>
        </w:rPr>
        <w:t>12.3 Enterprise Data Connector Security</w:t>
      </w:r>
    </w:p>
    <w:p>
      <w:pPr>
        <w:pStyle w:val="ListBullet"/>
        <w:spacing w:after="60"/>
        <w:ind w:left="432"/>
      </w:pPr>
      <w:r>
        <w:rPr>
          <w:rFonts w:ascii="Calibri" w:hAnsi="Calibri"/>
        </w:rPr>
        <w:t>Read-only connector credentials — TrustLayer never writes to customer systems</w:t>
      </w:r>
    </w:p>
    <w:p>
      <w:pPr>
        <w:pStyle w:val="ListBullet"/>
        <w:spacing w:after="60"/>
        <w:ind w:left="432"/>
      </w:pPr>
      <w:r>
        <w:rPr>
          <w:rFonts w:ascii="Calibri" w:hAnsi="Calibri"/>
        </w:rPr>
        <w:t>Connectors operate on least-privilege principle — scoped to minimum required data</w:t>
      </w:r>
    </w:p>
    <w:p>
      <w:pPr>
        <w:pStyle w:val="ListBullet"/>
        <w:spacing w:after="60"/>
        <w:ind w:left="432"/>
      </w:pPr>
      <w:r>
        <w:rPr>
          <w:rFonts w:ascii="Calibri" w:hAnsi="Calibri"/>
        </w:rPr>
        <w:t>All enterprise data lookups are logged and auditable</w:t>
      </w:r>
    </w:p>
    <w:p>
      <w:pPr>
        <w:pStyle w:val="ListBullet"/>
        <w:spacing w:after="60"/>
        <w:ind w:left="432"/>
      </w:pPr>
      <w:r>
        <w:rPr>
          <w:rFonts w:ascii="Calibri" w:hAnsi="Calibri"/>
        </w:rPr>
        <w:t>On-premise deployment option for air-gapped or high-security environments</w:t>
      </w:r>
    </w:p>
    <w:p>
      <w:pPr>
        <w:pStyle w:val="Heading2"/>
      </w:pPr>
      <w:r>
        <w:rPr>
          <w:color w:val="0066FF"/>
        </w:rPr>
        <w:t>12.4 Penetration Testing &amp; Certification Roadmap</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003388"/>
          </w:tcPr>
          <w:p>
            <w:pPr>
              <w:jc w:val="center"/>
            </w:pPr>
            <w:r>
              <w:rPr>
                <w:rFonts w:ascii="Calibri" w:hAnsi="Calibri"/>
                <w:b/>
                <w:color w:val="FFFFFF"/>
                <w:sz w:val="20"/>
              </w:rPr>
              <w:t>Certification</w:t>
            </w:r>
          </w:p>
        </w:tc>
        <w:tc>
          <w:tcPr>
            <w:tcW w:type="dxa" w:w="2160"/>
            <w:shd w:val="clear" w:color="auto" w:fill="003388"/>
          </w:tcPr>
          <w:p>
            <w:pPr>
              <w:jc w:val="center"/>
            </w:pPr>
            <w:r>
              <w:rPr>
                <w:rFonts w:ascii="Calibri" w:hAnsi="Calibri"/>
                <w:b/>
                <w:color w:val="FFFFFF"/>
                <w:sz w:val="20"/>
              </w:rPr>
              <w:t>Target</w:t>
            </w:r>
          </w:p>
        </w:tc>
        <w:tc>
          <w:tcPr>
            <w:tcW w:type="dxa" w:w="2880"/>
            <w:shd w:val="clear" w:color="auto" w:fill="003388"/>
          </w:tcPr>
          <w:p>
            <w:pPr>
              <w:jc w:val="center"/>
            </w:pPr>
            <w:r>
              <w:rPr>
                <w:rFonts w:ascii="Calibri" w:hAnsi="Calibri"/>
                <w:b/>
                <w:color w:val="FFFFFF"/>
                <w:sz w:val="20"/>
              </w:rPr>
              <w:t>Status</w:t>
            </w:r>
          </w:p>
        </w:tc>
      </w:tr>
      <w:tr>
        <w:tc>
          <w:tcPr>
            <w:tcW w:type="dxa" w:w="3600"/>
            <w:shd w:val="clear" w:color="auto" w:fill="FFFFFF"/>
          </w:tcPr>
          <w:p>
            <w:r>
              <w:rPr>
                <w:rFonts w:ascii="Calibri" w:hAnsi="Calibri"/>
                <w:sz w:val="20"/>
              </w:rPr>
              <w:t>SOC 2 Type II</w:t>
            </w:r>
          </w:p>
        </w:tc>
        <w:tc>
          <w:tcPr>
            <w:tcW w:type="dxa" w:w="2160"/>
            <w:shd w:val="clear" w:color="auto" w:fill="FFFFFF"/>
          </w:tcPr>
          <w:p>
            <w:r>
              <w:rPr>
                <w:rFonts w:ascii="Calibri" w:hAnsi="Calibri"/>
                <w:sz w:val="20"/>
              </w:rPr>
              <w:t>Q4 2026</w:t>
            </w:r>
          </w:p>
        </w:tc>
        <w:tc>
          <w:tcPr>
            <w:tcW w:type="dxa" w:w="2880"/>
            <w:shd w:val="clear" w:color="auto" w:fill="FFFFFF"/>
          </w:tcPr>
          <w:p>
            <w:r>
              <w:rPr>
                <w:rFonts w:ascii="Calibri" w:hAnsi="Calibri"/>
                <w:sz w:val="20"/>
              </w:rPr>
              <w:t>In planning</w:t>
            </w:r>
          </w:p>
        </w:tc>
      </w:tr>
      <w:tr>
        <w:tc>
          <w:tcPr>
            <w:tcW w:type="dxa" w:w="3600"/>
            <w:shd w:val="clear" w:color="auto" w:fill="F0F4FF"/>
          </w:tcPr>
          <w:p>
            <w:r>
              <w:rPr>
                <w:rFonts w:ascii="Calibri" w:hAnsi="Calibri"/>
                <w:sz w:val="20"/>
              </w:rPr>
              <w:t>ISO 27001</w:t>
            </w:r>
          </w:p>
        </w:tc>
        <w:tc>
          <w:tcPr>
            <w:tcW w:type="dxa" w:w="2160"/>
            <w:shd w:val="clear" w:color="auto" w:fill="F0F4FF"/>
          </w:tcPr>
          <w:p>
            <w:r>
              <w:rPr>
                <w:rFonts w:ascii="Calibri" w:hAnsi="Calibri"/>
                <w:sz w:val="20"/>
              </w:rPr>
              <w:t>Q1 2027</w:t>
            </w:r>
          </w:p>
        </w:tc>
        <w:tc>
          <w:tcPr>
            <w:tcW w:type="dxa" w:w="2880"/>
            <w:shd w:val="clear" w:color="auto" w:fill="F0F4FF"/>
          </w:tcPr>
          <w:p>
            <w:r>
              <w:rPr>
                <w:rFonts w:ascii="Calibri" w:hAnsi="Calibri"/>
                <w:sz w:val="20"/>
              </w:rPr>
              <w:t>In planning</w:t>
            </w:r>
          </w:p>
        </w:tc>
      </w:tr>
      <w:tr>
        <w:tc>
          <w:tcPr>
            <w:tcW w:type="dxa" w:w="3600"/>
            <w:shd w:val="clear" w:color="auto" w:fill="FFFFFF"/>
          </w:tcPr>
          <w:p>
            <w:r>
              <w:rPr>
                <w:rFonts w:ascii="Calibri" w:hAnsi="Calibri"/>
                <w:sz w:val="20"/>
              </w:rPr>
              <w:t>Annual pen test</w:t>
            </w:r>
          </w:p>
        </w:tc>
        <w:tc>
          <w:tcPr>
            <w:tcW w:type="dxa" w:w="2160"/>
            <w:shd w:val="clear" w:color="auto" w:fill="FFFFFF"/>
          </w:tcPr>
          <w:p>
            <w:r>
              <w:rPr>
                <w:rFonts w:ascii="Calibri" w:hAnsi="Calibri"/>
                <w:sz w:val="20"/>
              </w:rPr>
              <w:t>Q2 2026</w:t>
            </w:r>
          </w:p>
        </w:tc>
        <w:tc>
          <w:tcPr>
            <w:tcW w:type="dxa" w:w="2880"/>
            <w:shd w:val="clear" w:color="auto" w:fill="FFFFFF"/>
          </w:tcPr>
          <w:p>
            <w:r>
              <w:rPr>
                <w:rFonts w:ascii="Calibri" w:hAnsi="Calibri"/>
                <w:sz w:val="20"/>
              </w:rPr>
              <w:t>Scheduled</w:t>
            </w:r>
          </w:p>
        </w:tc>
      </w:tr>
      <w:tr>
        <w:tc>
          <w:tcPr>
            <w:tcW w:type="dxa" w:w="3600"/>
            <w:shd w:val="clear" w:color="auto" w:fill="F0F4FF"/>
          </w:tcPr>
          <w:p>
            <w:r>
              <w:rPr>
                <w:rFonts w:ascii="Calibri" w:hAnsi="Calibri"/>
                <w:sz w:val="20"/>
              </w:rPr>
              <w:t>EU AI Act audit</w:t>
            </w:r>
          </w:p>
        </w:tc>
        <w:tc>
          <w:tcPr>
            <w:tcW w:type="dxa" w:w="2160"/>
            <w:shd w:val="clear" w:color="auto" w:fill="F0F4FF"/>
          </w:tcPr>
          <w:p>
            <w:r>
              <w:rPr>
                <w:rFonts w:ascii="Calibri" w:hAnsi="Calibri"/>
                <w:sz w:val="20"/>
              </w:rPr>
              <w:t>Aug 2026</w:t>
            </w:r>
          </w:p>
        </w:tc>
        <w:tc>
          <w:tcPr>
            <w:tcW w:type="dxa" w:w="2880"/>
            <w:shd w:val="clear" w:color="auto" w:fill="F0F4FF"/>
          </w:tcPr>
          <w:p>
            <w:r>
              <w:rPr>
                <w:rFonts w:ascii="Calibri" w:hAnsi="Calibri"/>
                <w:sz w:val="20"/>
              </w:rPr>
              <w:t>Required for compliance</w:t>
            </w:r>
          </w:p>
        </w:tc>
      </w:tr>
    </w:tbl>
    <w:p/>
    <w:p>
      <w:r>
        <w:br w:type="page"/>
      </w:r>
    </w:p>
    <w:p>
      <w:pPr>
        <w:pStyle w:val="Heading1"/>
      </w:pPr>
      <w:r>
        <w:rPr>
          <w:color w:val="003388"/>
        </w:rPr>
        <w:t>13. Performance &amp; Scalability</w:t>
      </w:r>
    </w:p>
    <w:p>
      <w:pPr>
        <w:spacing w:before="40" w:after="120"/>
        <w:pBdr>
          <w:bottom w:val="single" w:sz="12" w:space="1" w:color="0066FF"/>
        </w:pBdr>
      </w:pPr>
    </w:p>
    <w:p>
      <w:pPr>
        <w:pStyle w:val="Heading2"/>
      </w:pPr>
      <w:r>
        <w:rPr>
          <w:color w:val="0066FF"/>
        </w:rPr>
        <w:t>13.1 Throughput Targets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03388"/>
          </w:tcPr>
          <w:p>
            <w:pPr>
              <w:jc w:val="center"/>
            </w:pPr>
            <w:r>
              <w:rPr>
                <w:rFonts w:ascii="Calibri" w:hAnsi="Calibri"/>
                <w:b/>
                <w:color w:val="FFFFFF"/>
                <w:sz w:val="20"/>
              </w:rPr>
              <w:t>Tier</w:t>
            </w:r>
          </w:p>
        </w:tc>
        <w:tc>
          <w:tcPr>
            <w:tcW w:type="dxa" w:w="2592"/>
            <w:shd w:val="clear" w:color="auto" w:fill="003388"/>
          </w:tcPr>
          <w:p>
            <w:pPr>
              <w:jc w:val="center"/>
            </w:pPr>
            <w:r>
              <w:rPr>
                <w:rFonts w:ascii="Calibri" w:hAnsi="Calibri"/>
                <w:b/>
                <w:color w:val="FFFFFF"/>
                <w:sz w:val="20"/>
              </w:rPr>
              <w:t>Queries/Month</w:t>
            </w:r>
          </w:p>
        </w:tc>
        <w:tc>
          <w:tcPr>
            <w:tcW w:type="dxa" w:w="2160"/>
            <w:shd w:val="clear" w:color="auto" w:fill="003388"/>
          </w:tcPr>
          <w:p>
            <w:pPr>
              <w:jc w:val="center"/>
            </w:pPr>
            <w:r>
              <w:rPr>
                <w:rFonts w:ascii="Calibri" w:hAnsi="Calibri"/>
                <w:b/>
                <w:color w:val="FFFFFF"/>
                <w:sz w:val="20"/>
              </w:rPr>
              <w:t>Peak QPS</w:t>
            </w:r>
          </w:p>
        </w:tc>
        <w:tc>
          <w:tcPr>
            <w:tcW w:type="dxa" w:w="3888"/>
            <w:shd w:val="clear" w:color="auto" w:fill="003388"/>
          </w:tcPr>
          <w:p>
            <w:pPr>
              <w:jc w:val="center"/>
            </w:pPr>
            <w:r>
              <w:rPr>
                <w:rFonts w:ascii="Calibri" w:hAnsi="Calibri"/>
                <w:b/>
                <w:color w:val="FFFFFF"/>
                <w:sz w:val="20"/>
              </w:rPr>
              <w:t>Deployment</w:t>
            </w:r>
          </w:p>
        </w:tc>
      </w:tr>
      <w:tr>
        <w:tc>
          <w:tcPr>
            <w:tcW w:type="dxa" w:w="2160"/>
            <w:shd w:val="clear" w:color="auto" w:fill="FFFFFF"/>
          </w:tcPr>
          <w:p>
            <w:r>
              <w:rPr>
                <w:rFonts w:ascii="Calibri" w:hAnsi="Calibri"/>
                <w:sz w:val="20"/>
              </w:rPr>
              <w:t>Starter</w:t>
            </w:r>
          </w:p>
        </w:tc>
        <w:tc>
          <w:tcPr>
            <w:tcW w:type="dxa" w:w="2592"/>
            <w:shd w:val="clear" w:color="auto" w:fill="FFFFFF"/>
          </w:tcPr>
          <w:p>
            <w:r>
              <w:rPr>
                <w:rFonts w:ascii="Calibri" w:hAnsi="Calibri"/>
                <w:sz w:val="20"/>
              </w:rPr>
              <w:t>Up to 1M</w:t>
            </w:r>
          </w:p>
        </w:tc>
        <w:tc>
          <w:tcPr>
            <w:tcW w:type="dxa" w:w="2160"/>
            <w:shd w:val="clear" w:color="auto" w:fill="FFFFFF"/>
          </w:tcPr>
          <w:p>
            <w:r>
              <w:rPr>
                <w:rFonts w:ascii="Calibri" w:hAnsi="Calibri"/>
                <w:sz w:val="20"/>
              </w:rPr>
              <w:t>~25 QPS</w:t>
            </w:r>
          </w:p>
        </w:tc>
        <w:tc>
          <w:tcPr>
            <w:tcW w:type="dxa" w:w="3888"/>
            <w:shd w:val="clear" w:color="auto" w:fill="FFFFFF"/>
          </w:tcPr>
          <w:p>
            <w:r>
              <w:rPr>
                <w:rFonts w:ascii="Calibri" w:hAnsi="Calibri"/>
                <w:sz w:val="20"/>
              </w:rPr>
              <w:t>Single-region SaaS</w:t>
            </w:r>
          </w:p>
        </w:tc>
      </w:tr>
      <w:tr>
        <w:tc>
          <w:tcPr>
            <w:tcW w:type="dxa" w:w="2160"/>
            <w:shd w:val="clear" w:color="auto" w:fill="F0F4FF"/>
          </w:tcPr>
          <w:p>
            <w:r>
              <w:rPr>
                <w:rFonts w:ascii="Calibri" w:hAnsi="Calibri"/>
                <w:sz w:val="20"/>
              </w:rPr>
              <w:t>Growth</w:t>
            </w:r>
          </w:p>
        </w:tc>
        <w:tc>
          <w:tcPr>
            <w:tcW w:type="dxa" w:w="2592"/>
            <w:shd w:val="clear" w:color="auto" w:fill="F0F4FF"/>
          </w:tcPr>
          <w:p>
            <w:r>
              <w:rPr>
                <w:rFonts w:ascii="Calibri" w:hAnsi="Calibri"/>
                <w:sz w:val="20"/>
              </w:rPr>
              <w:t>1M – 10M</w:t>
            </w:r>
          </w:p>
        </w:tc>
        <w:tc>
          <w:tcPr>
            <w:tcW w:type="dxa" w:w="2160"/>
            <w:shd w:val="clear" w:color="auto" w:fill="F0F4FF"/>
          </w:tcPr>
          <w:p>
            <w:r>
              <w:rPr>
                <w:rFonts w:ascii="Calibri" w:hAnsi="Calibri"/>
                <w:sz w:val="20"/>
              </w:rPr>
              <w:t>~250 QPS</w:t>
            </w:r>
          </w:p>
        </w:tc>
        <w:tc>
          <w:tcPr>
            <w:tcW w:type="dxa" w:w="3888"/>
            <w:shd w:val="clear" w:color="auto" w:fill="F0F4FF"/>
          </w:tcPr>
          <w:p>
            <w:r>
              <w:rPr>
                <w:rFonts w:ascii="Calibri" w:hAnsi="Calibri"/>
                <w:sz w:val="20"/>
              </w:rPr>
              <w:t>Multi-region SaaS</w:t>
            </w:r>
          </w:p>
        </w:tc>
      </w:tr>
      <w:tr>
        <w:tc>
          <w:tcPr>
            <w:tcW w:type="dxa" w:w="2160"/>
            <w:shd w:val="clear" w:color="auto" w:fill="FFFFFF"/>
          </w:tcPr>
          <w:p>
            <w:r>
              <w:rPr>
                <w:rFonts w:ascii="Calibri" w:hAnsi="Calibri"/>
                <w:sz w:val="20"/>
              </w:rPr>
              <w:t>Enterprise</w:t>
            </w:r>
          </w:p>
        </w:tc>
        <w:tc>
          <w:tcPr>
            <w:tcW w:type="dxa" w:w="2592"/>
            <w:shd w:val="clear" w:color="auto" w:fill="FFFFFF"/>
          </w:tcPr>
          <w:p>
            <w:r>
              <w:rPr>
                <w:rFonts w:ascii="Calibri" w:hAnsi="Calibri"/>
                <w:sz w:val="20"/>
              </w:rPr>
              <w:t>10M – 100M</w:t>
            </w:r>
          </w:p>
        </w:tc>
        <w:tc>
          <w:tcPr>
            <w:tcW w:type="dxa" w:w="2160"/>
            <w:shd w:val="clear" w:color="auto" w:fill="FFFFFF"/>
          </w:tcPr>
          <w:p>
            <w:r>
              <w:rPr>
                <w:rFonts w:ascii="Calibri" w:hAnsi="Calibri"/>
                <w:sz w:val="20"/>
              </w:rPr>
              <w:t>~2,500 QPS</w:t>
            </w:r>
          </w:p>
        </w:tc>
        <w:tc>
          <w:tcPr>
            <w:tcW w:type="dxa" w:w="3888"/>
            <w:shd w:val="clear" w:color="auto" w:fill="FFFFFF"/>
          </w:tcPr>
          <w:p>
            <w:r>
              <w:rPr>
                <w:rFonts w:ascii="Calibri" w:hAnsi="Calibri"/>
                <w:sz w:val="20"/>
              </w:rPr>
              <w:t>Dedicated SaaS or on-premise</w:t>
            </w:r>
          </w:p>
        </w:tc>
      </w:tr>
      <w:tr>
        <w:tc>
          <w:tcPr>
            <w:tcW w:type="dxa" w:w="2160"/>
            <w:shd w:val="clear" w:color="auto" w:fill="F0F4FF"/>
          </w:tcPr>
          <w:p>
            <w:r>
              <w:rPr>
                <w:rFonts w:ascii="Calibri" w:hAnsi="Calibri"/>
                <w:sz w:val="20"/>
              </w:rPr>
              <w:t>Custom</w:t>
            </w:r>
          </w:p>
        </w:tc>
        <w:tc>
          <w:tcPr>
            <w:tcW w:type="dxa" w:w="2592"/>
            <w:shd w:val="clear" w:color="auto" w:fill="F0F4FF"/>
          </w:tcPr>
          <w:p>
            <w:r>
              <w:rPr>
                <w:rFonts w:ascii="Calibri" w:hAnsi="Calibri"/>
                <w:sz w:val="20"/>
              </w:rPr>
              <w:t>100M+</w:t>
            </w:r>
          </w:p>
        </w:tc>
        <w:tc>
          <w:tcPr>
            <w:tcW w:type="dxa" w:w="2160"/>
            <w:shd w:val="clear" w:color="auto" w:fill="F0F4FF"/>
          </w:tcPr>
          <w:p>
            <w:r>
              <w:rPr>
                <w:rFonts w:ascii="Calibri" w:hAnsi="Calibri"/>
                <w:sz w:val="20"/>
              </w:rPr>
              <w:t>Unlimited</w:t>
            </w:r>
          </w:p>
        </w:tc>
        <w:tc>
          <w:tcPr>
            <w:tcW w:type="dxa" w:w="3888"/>
            <w:shd w:val="clear" w:color="auto" w:fill="F0F4FF"/>
          </w:tcPr>
          <w:p>
            <w:r>
              <w:rPr>
                <w:rFonts w:ascii="Calibri" w:hAnsi="Calibri"/>
                <w:sz w:val="20"/>
              </w:rPr>
              <w:t>Private cloud / on-premise Kubernetes</w:t>
            </w:r>
          </w:p>
        </w:tc>
      </w:tr>
    </w:tbl>
    <w:p/>
    <w:p>
      <w:pPr>
        <w:pStyle w:val="Heading2"/>
      </w:pPr>
      <w:r>
        <w:rPr>
          <w:color w:val="0066FF"/>
        </w:rPr>
        <w:t>13.2 Scalability Architecture</w:t>
      </w:r>
    </w:p>
    <w:p>
      <w:pPr>
        <w:pStyle w:val="ListBullet"/>
        <w:spacing w:after="60"/>
        <w:ind w:left="432"/>
      </w:pPr>
      <w:r>
        <w:rPr>
          <w:rFonts w:ascii="Calibri" w:hAnsi="Calibri"/>
        </w:rPr>
        <w:t>Horizontal scaling: Detection engine pods scale independently via Kubernetes HPA</w:t>
      </w:r>
    </w:p>
    <w:p>
      <w:pPr>
        <w:pStyle w:val="ListBullet"/>
        <w:spacing w:after="60"/>
        <w:ind w:left="432"/>
      </w:pPr>
      <w:r>
        <w:rPr>
          <w:rFonts w:ascii="Calibri" w:hAnsi="Calibri"/>
        </w:rPr>
        <w:t>Stateless detection: No session state in detection layer — any pod handles any request</w:t>
      </w:r>
    </w:p>
    <w:p>
      <w:pPr>
        <w:pStyle w:val="ListBullet"/>
        <w:spacing w:after="60"/>
        <w:ind w:left="432"/>
      </w:pPr>
      <w:r>
        <w:rPr>
          <w:rFonts w:ascii="Calibri" w:hAnsi="Calibri"/>
        </w:rPr>
        <w:t>Database scaling: Read replicas for audit log queries; write path remains single-master append-only</w:t>
      </w:r>
    </w:p>
    <w:p>
      <w:pPr>
        <w:pStyle w:val="ListBullet"/>
        <w:spacing w:after="60"/>
        <w:ind w:left="432"/>
      </w:pPr>
      <w:r>
        <w:rPr>
          <w:rFonts w:ascii="Calibri" w:hAnsi="Calibri"/>
        </w:rPr>
        <w:t>Cache effectiveness: Enterprise data cached in Redis with TTL; reduces connector API calls by ~85%</w:t>
      </w:r>
    </w:p>
    <w:p>
      <w:pPr>
        <w:pStyle w:val="ListBullet"/>
        <w:spacing w:after="60"/>
        <w:ind w:left="432"/>
      </w:pPr>
      <w:r>
        <w:rPr>
          <w:rFonts w:ascii="Calibri" w:hAnsi="Calibri"/>
        </w:rPr>
        <w:t>Fast-path mode: Citation verification (200ms) can be bypassed for time-critical paths, reducing latency to &lt;45ms</w:t>
      </w:r>
    </w:p>
    <w:p>
      <w:pPr>
        <w:pStyle w:val="Heading2"/>
      </w:pPr>
      <w:r>
        <w:rPr>
          <w:color w:val="0066FF"/>
        </w:rPr>
        <w:t>13.3 SLAs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003388"/>
          </w:tcPr>
          <w:p>
            <w:pPr>
              <w:jc w:val="center"/>
            </w:pPr>
            <w:r>
              <w:rPr>
                <w:rFonts w:ascii="Calibri" w:hAnsi="Calibri"/>
                <w:b/>
                <w:color w:val="FFFFFF"/>
                <w:sz w:val="20"/>
              </w:rPr>
              <w:t>Metric</w:t>
            </w:r>
          </w:p>
        </w:tc>
        <w:tc>
          <w:tcPr>
            <w:tcW w:type="dxa" w:w="2160"/>
            <w:shd w:val="clear" w:color="auto" w:fill="003388"/>
          </w:tcPr>
          <w:p>
            <w:pPr>
              <w:jc w:val="center"/>
            </w:pPr>
            <w:r>
              <w:rPr>
                <w:rFonts w:ascii="Calibri" w:hAnsi="Calibri"/>
                <w:b/>
                <w:color w:val="FFFFFF"/>
                <w:sz w:val="20"/>
              </w:rPr>
              <w:t>SLA</w:t>
            </w:r>
          </w:p>
        </w:tc>
        <w:tc>
          <w:tcPr>
            <w:tcW w:type="dxa" w:w="5040"/>
            <w:shd w:val="clear" w:color="auto" w:fill="003388"/>
          </w:tcPr>
          <w:p>
            <w:pPr>
              <w:jc w:val="center"/>
            </w:pPr>
            <w:r>
              <w:rPr>
                <w:rFonts w:ascii="Calibri" w:hAnsi="Calibri"/>
                <w:b/>
                <w:color w:val="FFFFFF"/>
                <w:sz w:val="20"/>
              </w:rPr>
              <w:t>Measurement</w:t>
            </w:r>
          </w:p>
        </w:tc>
      </w:tr>
      <w:tr>
        <w:tc>
          <w:tcPr>
            <w:tcW w:type="dxa" w:w="3600"/>
            <w:shd w:val="clear" w:color="auto" w:fill="FFFFFF"/>
          </w:tcPr>
          <w:p>
            <w:r>
              <w:rPr>
                <w:rFonts w:ascii="Calibri" w:hAnsi="Calibri"/>
                <w:sz w:val="20"/>
              </w:rPr>
              <w:t>Availability</w:t>
            </w:r>
          </w:p>
        </w:tc>
        <w:tc>
          <w:tcPr>
            <w:tcW w:type="dxa" w:w="2160"/>
            <w:shd w:val="clear" w:color="auto" w:fill="FFFFFF"/>
          </w:tcPr>
          <w:p>
            <w:r>
              <w:rPr>
                <w:rFonts w:ascii="Calibri" w:hAnsi="Calibri"/>
                <w:sz w:val="20"/>
              </w:rPr>
              <w:t>99.9% / month</w:t>
            </w:r>
          </w:p>
        </w:tc>
        <w:tc>
          <w:tcPr>
            <w:tcW w:type="dxa" w:w="5040"/>
            <w:shd w:val="clear" w:color="auto" w:fill="FFFFFF"/>
          </w:tcPr>
          <w:p>
            <w:r>
              <w:rPr>
                <w:rFonts w:ascii="Calibri" w:hAnsi="Calibri"/>
                <w:sz w:val="20"/>
              </w:rPr>
              <w:t>Excluding scheduled maintenance</w:t>
            </w:r>
          </w:p>
        </w:tc>
      </w:tr>
      <w:tr>
        <w:tc>
          <w:tcPr>
            <w:tcW w:type="dxa" w:w="3600"/>
            <w:shd w:val="clear" w:color="auto" w:fill="F0F4FF"/>
          </w:tcPr>
          <w:p>
            <w:r>
              <w:rPr>
                <w:rFonts w:ascii="Calibri" w:hAnsi="Calibri"/>
                <w:sz w:val="20"/>
              </w:rPr>
              <w:t>p50 latency</w:t>
            </w:r>
          </w:p>
        </w:tc>
        <w:tc>
          <w:tcPr>
            <w:tcW w:type="dxa" w:w="2160"/>
            <w:shd w:val="clear" w:color="auto" w:fill="F0F4FF"/>
          </w:tcPr>
          <w:p>
            <w:r>
              <w:rPr>
                <w:rFonts w:ascii="Calibri" w:hAnsi="Calibri"/>
                <w:sz w:val="20"/>
              </w:rPr>
              <w:t>&lt; 80ms</w:t>
            </w:r>
          </w:p>
        </w:tc>
        <w:tc>
          <w:tcPr>
            <w:tcW w:type="dxa" w:w="5040"/>
            <w:shd w:val="clear" w:color="auto" w:fill="F0F4FF"/>
          </w:tcPr>
          <w:p>
            <w:r>
              <w:rPr>
                <w:rFonts w:ascii="Calibri" w:hAnsi="Calibri"/>
                <w:sz w:val="20"/>
              </w:rPr>
              <w:t>Time from gateway receipt to response delivery</w:t>
            </w:r>
          </w:p>
        </w:tc>
      </w:tr>
      <w:tr>
        <w:tc>
          <w:tcPr>
            <w:tcW w:type="dxa" w:w="3600"/>
            <w:shd w:val="clear" w:color="auto" w:fill="FFFFFF"/>
          </w:tcPr>
          <w:p>
            <w:r>
              <w:rPr>
                <w:rFonts w:ascii="Calibri" w:hAnsi="Calibri"/>
                <w:sz w:val="20"/>
              </w:rPr>
              <w:t>p99 latency</w:t>
            </w:r>
          </w:p>
        </w:tc>
        <w:tc>
          <w:tcPr>
            <w:tcW w:type="dxa" w:w="2160"/>
            <w:shd w:val="clear" w:color="auto" w:fill="FFFFFF"/>
          </w:tcPr>
          <w:p>
            <w:r>
              <w:rPr>
                <w:rFonts w:ascii="Calibri" w:hAnsi="Calibri"/>
                <w:sz w:val="20"/>
              </w:rPr>
              <w:t>&lt; 200ms</w:t>
            </w:r>
          </w:p>
        </w:tc>
        <w:tc>
          <w:tcPr>
            <w:tcW w:type="dxa" w:w="5040"/>
            <w:shd w:val="clear" w:color="auto" w:fill="FFFFFF"/>
          </w:tcPr>
          <w:p>
            <w:r>
              <w:rPr>
                <w:rFonts w:ascii="Calibri" w:hAnsi="Calibri"/>
                <w:sz w:val="20"/>
              </w:rPr>
              <w:t>Includes citation verification path</w:t>
            </w:r>
          </w:p>
        </w:tc>
      </w:tr>
      <w:tr>
        <w:tc>
          <w:tcPr>
            <w:tcW w:type="dxa" w:w="3600"/>
            <w:shd w:val="clear" w:color="auto" w:fill="F0F4FF"/>
          </w:tcPr>
          <w:p>
            <w:r>
              <w:rPr>
                <w:rFonts w:ascii="Calibri" w:hAnsi="Calibri"/>
                <w:sz w:val="20"/>
              </w:rPr>
              <w:t>Audit log durability</w:t>
            </w:r>
          </w:p>
        </w:tc>
        <w:tc>
          <w:tcPr>
            <w:tcW w:type="dxa" w:w="2160"/>
            <w:shd w:val="clear" w:color="auto" w:fill="F0F4FF"/>
          </w:tcPr>
          <w:p>
            <w:r>
              <w:rPr>
                <w:rFonts w:ascii="Calibri" w:hAnsi="Calibri"/>
                <w:sz w:val="20"/>
              </w:rPr>
              <w:t>99.9999%</w:t>
            </w:r>
          </w:p>
        </w:tc>
        <w:tc>
          <w:tcPr>
            <w:tcW w:type="dxa" w:w="5040"/>
            <w:shd w:val="clear" w:color="auto" w:fill="F0F4FF"/>
          </w:tcPr>
          <w:p>
            <w:r>
              <w:rPr>
                <w:rFonts w:ascii="Calibri" w:hAnsi="Calibri"/>
                <w:sz w:val="20"/>
              </w:rPr>
              <w:t>Multi-zone replication</w:t>
            </w:r>
          </w:p>
        </w:tc>
      </w:tr>
      <w:tr>
        <w:tc>
          <w:tcPr>
            <w:tcW w:type="dxa" w:w="3600"/>
            <w:shd w:val="clear" w:color="auto" w:fill="FFFFFF"/>
          </w:tcPr>
          <w:p>
            <w:r>
              <w:rPr>
                <w:rFonts w:ascii="Calibri" w:hAnsi="Calibri"/>
                <w:sz w:val="20"/>
              </w:rPr>
              <w:t>Support response (P1)</w:t>
            </w:r>
          </w:p>
        </w:tc>
        <w:tc>
          <w:tcPr>
            <w:tcW w:type="dxa" w:w="2160"/>
            <w:shd w:val="clear" w:color="auto" w:fill="FFFFFF"/>
          </w:tcPr>
          <w:p>
            <w:r>
              <w:rPr>
                <w:rFonts w:ascii="Calibri" w:hAnsi="Calibri"/>
                <w:sz w:val="20"/>
              </w:rPr>
              <w:t>&lt; 1 hour</w:t>
            </w:r>
          </w:p>
        </w:tc>
        <w:tc>
          <w:tcPr>
            <w:tcW w:type="dxa" w:w="5040"/>
            <w:shd w:val="clear" w:color="auto" w:fill="FFFFFF"/>
          </w:tcPr>
          <w:p>
            <w:r>
              <w:rPr>
                <w:rFonts w:ascii="Calibri" w:hAnsi="Calibri"/>
                <w:sz w:val="20"/>
              </w:rPr>
              <w:t>Production outage or data integrity issue</w:t>
            </w:r>
          </w:p>
        </w:tc>
      </w:tr>
    </w:tbl>
    <w:p/>
    <w:p>
      <w:r>
        <w:br w:type="page"/>
      </w:r>
    </w:p>
    <w:p>
      <w:pPr>
        <w:pStyle w:val="Heading1"/>
      </w:pPr>
      <w:r>
        <w:rPr>
          <w:color w:val="003388"/>
        </w:rPr>
        <w:t>14. Future Roadmap</w:t>
      </w:r>
    </w:p>
    <w:p>
      <w:pPr>
        <w:spacing w:before="40" w:after="120"/>
        <w:pBdr>
          <w:bottom w:val="single" w:sz="12" w:space="1" w:color="0066FF"/>
        </w:pBdr>
      </w:pPr>
    </w:p>
    <w:p>
      <w:pPr>
        <w:pStyle w:val="Heading2"/>
      </w:pPr>
      <w:r>
        <w:rPr>
          <w:color w:val="0066FF"/>
        </w:rPr>
        <w:t>Phase 1 — Current (Canada Hackathon 2026)</w:t>
      </w:r>
    </w:p>
    <w:p>
      <w:pPr>
        <w:pStyle w:val="ListBullet"/>
        <w:spacing w:after="60"/>
        <w:ind w:left="432"/>
      </w:pPr>
      <w:r>
        <w:rPr>
          <w:rFonts w:ascii="Calibri" w:hAnsi="Calibri"/>
        </w:rPr>
        <w:t>Interactive Streamlit demo with 13 industry scenarios across 9 pages</w:t>
      </w:r>
    </w:p>
    <w:p>
      <w:pPr>
        <w:pStyle w:val="ListBullet"/>
        <w:spacing w:after="60"/>
        <w:ind w:left="432"/>
      </w:pPr>
      <w:r>
        <w:rPr>
          <w:rFonts w:ascii="Calibri" w:hAnsi="Calibri"/>
        </w:rPr>
        <w:t>Simulated detection engine producing realistic confidence scores</w:t>
      </w:r>
    </w:p>
    <w:p>
      <w:pPr>
        <w:pStyle w:val="ListBullet"/>
        <w:spacing w:after="60"/>
        <w:ind w:left="432"/>
      </w:pPr>
      <w:r>
        <w:rPr>
          <w:rFonts w:ascii="Calibri" w:hAnsi="Calibri"/>
        </w:rPr>
        <w:t>EU AI Act, NIST AI RMF, ISO 42001, SOC 2 compliance dashboards</w:t>
      </w:r>
    </w:p>
    <w:p>
      <w:pPr>
        <w:pStyle w:val="ListBullet"/>
        <w:spacing w:after="60"/>
        <w:ind w:left="432"/>
      </w:pPr>
      <w:r>
        <w:rPr>
          <w:rFonts w:ascii="Calibri" w:hAnsi="Calibri"/>
        </w:rPr>
        <w:t>ROI calculator with customizable enterprise inputs</w:t>
      </w:r>
    </w:p>
    <w:p/>
    <w:p>
      <w:pPr>
        <w:pStyle w:val="Heading2"/>
      </w:pPr>
      <w:r>
        <w:rPr>
          <w:color w:val="0066FF"/>
        </w:rPr>
        <w:t>Phase 2 — MVP (3–6 months)</w:t>
      </w:r>
    </w:p>
    <w:p>
      <w:pPr>
        <w:pStyle w:val="ListBullet"/>
        <w:spacing w:after="60"/>
        <w:ind w:left="432"/>
      </w:pPr>
      <w:r>
        <w:rPr>
          <w:rFonts w:ascii="Calibri" w:hAnsi="Calibri"/>
        </w:rPr>
        <w:t>Production NLP detection engine with real HuggingFace models</w:t>
      </w:r>
    </w:p>
    <w:p>
      <w:pPr>
        <w:pStyle w:val="ListBullet"/>
        <w:spacing w:after="60"/>
        <w:ind w:left="432"/>
      </w:pPr>
      <w:r>
        <w:rPr>
          <w:rFonts w:ascii="Calibri" w:hAnsi="Calibri"/>
        </w:rPr>
        <w:t>Live API gateway for zero-code LLM traffic interception</w:t>
      </w:r>
    </w:p>
    <w:p>
      <w:pPr>
        <w:pStyle w:val="ListBullet"/>
        <w:spacing w:after="60"/>
        <w:ind w:left="432"/>
      </w:pPr>
      <w:r>
        <w:rPr>
          <w:rFonts w:ascii="Calibri" w:hAnsi="Calibri"/>
        </w:rPr>
        <w:t>3 enterprise connectors (Salesforce, ServiceNow, SAP)</w:t>
      </w:r>
    </w:p>
    <w:p>
      <w:pPr>
        <w:pStyle w:val="ListBullet"/>
        <w:spacing w:after="60"/>
        <w:ind w:left="432"/>
      </w:pPr>
      <w:r>
        <w:rPr>
          <w:rFonts w:ascii="Calibri" w:hAnsi="Calibri"/>
        </w:rPr>
        <w:t>Real immutable audit logging and EU AI Act compliance report generation</w:t>
      </w:r>
    </w:p>
    <w:p>
      <w:pPr>
        <w:pStyle w:val="ListBullet"/>
        <w:spacing w:after="60"/>
        <w:ind w:left="432"/>
      </w:pPr>
      <w:r>
        <w:rPr>
          <w:rFonts w:ascii="Calibri" w:hAnsi="Calibri"/>
        </w:rPr>
        <w:t>1–2 paying enterprise pilot customers</w:t>
      </w:r>
    </w:p>
    <w:p/>
    <w:p>
      <w:pPr>
        <w:pStyle w:val="Heading2"/>
      </w:pPr>
      <w:r>
        <w:rPr>
          <w:color w:val="0066FF"/>
        </w:rPr>
        <w:t>Phase 3 — Growth (6–12 months)</w:t>
      </w:r>
    </w:p>
    <w:p>
      <w:pPr>
        <w:pStyle w:val="ListBullet"/>
        <w:spacing w:after="60"/>
        <w:ind w:left="432"/>
      </w:pPr>
      <w:r>
        <w:rPr>
          <w:rFonts w:ascii="Calibri" w:hAnsi="Calibri"/>
        </w:rPr>
        <w:t>Expansion to 50+ enterprise system connectors</w:t>
      </w:r>
    </w:p>
    <w:p>
      <w:pPr>
        <w:pStyle w:val="ListBullet"/>
        <w:spacing w:after="60"/>
        <w:ind w:left="432"/>
      </w:pPr>
      <w:r>
        <w:rPr>
          <w:rFonts w:ascii="Calibri" w:hAnsi="Calibri"/>
        </w:rPr>
        <w:t>Fine-tuned industry-specific hallucination detection models</w:t>
      </w:r>
    </w:p>
    <w:p>
      <w:pPr>
        <w:pStyle w:val="ListBullet"/>
        <w:spacing w:after="60"/>
        <w:ind w:left="432"/>
      </w:pPr>
      <w:r>
        <w:rPr>
          <w:rFonts w:ascii="Calibri" w:hAnsi="Calibri"/>
        </w:rPr>
        <w:t>SOC 2 Type II certification</w:t>
      </w:r>
    </w:p>
    <w:p>
      <w:pPr>
        <w:pStyle w:val="ListBullet"/>
        <w:spacing w:after="60"/>
        <w:ind w:left="432"/>
      </w:pPr>
      <w:r>
        <w:rPr>
          <w:rFonts w:ascii="Calibri" w:hAnsi="Calibri"/>
        </w:rPr>
        <w:t>Multi-region deployment (US, EU, APAC)</w:t>
      </w:r>
    </w:p>
    <w:p>
      <w:pPr>
        <w:pStyle w:val="ListBullet"/>
        <w:spacing w:after="60"/>
        <w:ind w:left="432"/>
      </w:pPr>
      <w:r>
        <w:rPr>
          <w:rFonts w:ascii="Calibri" w:hAnsi="Calibri"/>
        </w:rPr>
        <w:t>Self-serve customer onboarding portal</w:t>
      </w:r>
    </w:p>
    <w:p>
      <w:pPr>
        <w:pStyle w:val="ListBullet"/>
        <w:spacing w:after="60"/>
        <w:ind w:left="432"/>
      </w:pPr>
      <w:r>
        <w:rPr>
          <w:rFonts w:ascii="Calibri" w:hAnsi="Calibri"/>
        </w:rPr>
        <w:t>Real-time regulatory database integration (auto-updated rules)</w:t>
      </w:r>
    </w:p>
    <w:p/>
    <w:p>
      <w:pPr>
        <w:pStyle w:val="Heading2"/>
      </w:pPr>
      <w:r>
        <w:rPr>
          <w:color w:val="0066FF"/>
        </w:rPr>
        <w:t>Phase 4 — Scale (12–24 months)</w:t>
      </w:r>
    </w:p>
    <w:p>
      <w:pPr>
        <w:pStyle w:val="ListBullet"/>
        <w:spacing w:after="60"/>
        <w:ind w:left="432"/>
      </w:pPr>
      <w:r>
        <w:rPr>
          <w:rFonts w:ascii="Calibri" w:hAnsi="Calibri"/>
        </w:rPr>
        <w:t>EU AI Act compliance certification program for enterprise customers</w:t>
      </w:r>
    </w:p>
    <w:p>
      <w:pPr>
        <w:pStyle w:val="ListBullet"/>
        <w:spacing w:after="60"/>
        <w:ind w:left="432"/>
      </w:pPr>
      <w:r>
        <w:rPr>
          <w:rFonts w:ascii="Calibri" w:hAnsi="Calibri"/>
        </w:rPr>
        <w:t>Third-party detection module marketplace</w:t>
      </w:r>
    </w:p>
    <w:p>
      <w:pPr>
        <w:pStyle w:val="ListBullet"/>
        <w:spacing w:after="60"/>
        <w:ind w:left="432"/>
      </w:pPr>
      <w:r>
        <w:rPr>
          <w:rFonts w:ascii="Calibri" w:hAnsi="Calibri"/>
        </w:rPr>
        <w:t>Federated learning for customer-specific models (privacy-preserving)</w:t>
      </w:r>
    </w:p>
    <w:p>
      <w:pPr>
        <w:pStyle w:val="ListBullet"/>
        <w:spacing w:after="60"/>
        <w:ind w:left="432"/>
      </w:pPr>
      <w:r>
        <w:rPr>
          <w:rFonts w:ascii="Calibri" w:hAnsi="Calibri"/>
        </w:rPr>
        <w:t>Real-time global regulatory update pipeline</w:t>
      </w:r>
    </w:p>
    <w:p>
      <w:pPr>
        <w:pStyle w:val="ListBullet"/>
        <w:spacing w:after="60"/>
        <w:ind w:left="432"/>
      </w:pPr>
      <w:r>
        <w:rPr>
          <w:rFonts w:ascii="Calibri" w:hAnsi="Calibri"/>
        </w:rPr>
        <w:t>Series B fundraising target: $40M</w:t>
      </w:r>
    </w:p>
    <w:p/>
    <w:p>
      <w:r>
        <w:br w:type="page"/>
      </w:r>
    </w:p>
    <w:p>
      <w:pPr>
        <w:pStyle w:val="Heading1"/>
      </w:pPr>
      <w:r>
        <w:rPr>
          <w:color w:val="003388"/>
        </w:rPr>
        <w:t>Appendix A: Competitive Analysis</w:t>
      </w:r>
    </w:p>
    <w:p>
      <w:pPr>
        <w:spacing w:before="40" w:after="120"/>
        <w:pBdr>
          <w:bottom w:val="single" w:sz="12" w:space="1" w:color="0066FF"/>
        </w:pBdr>
      </w:pP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val="clear" w:color="auto" w:fill="003388"/>
          </w:tcPr>
          <w:p>
            <w:pPr>
              <w:jc w:val="center"/>
            </w:pPr>
            <w:r>
              <w:rPr>
                <w:rFonts w:ascii="Calibri" w:hAnsi="Calibri"/>
                <w:b/>
                <w:color w:val="FFFFFF"/>
                <w:sz w:val="18"/>
              </w:rPr>
              <w:t>Solution</w:t>
            </w:r>
          </w:p>
        </w:tc>
        <w:tc>
          <w:tcPr>
            <w:tcW w:type="dxa" w:w="2304"/>
            <w:shd w:val="clear" w:color="auto" w:fill="003388"/>
          </w:tcPr>
          <w:p>
            <w:pPr>
              <w:jc w:val="center"/>
            </w:pPr>
            <w:r>
              <w:rPr>
                <w:rFonts w:ascii="Calibri" w:hAnsi="Calibri"/>
                <w:b/>
                <w:color w:val="FFFFFF"/>
                <w:sz w:val="18"/>
              </w:rPr>
              <w:t>Category</w:t>
            </w:r>
          </w:p>
        </w:tc>
        <w:tc>
          <w:tcPr>
            <w:tcW w:type="dxa" w:w="1440"/>
            <w:shd w:val="clear" w:color="auto" w:fill="003388"/>
          </w:tcPr>
          <w:p>
            <w:pPr>
              <w:jc w:val="center"/>
            </w:pPr>
            <w:r>
              <w:rPr>
                <w:rFonts w:ascii="Calibri" w:hAnsi="Calibri"/>
                <w:b/>
                <w:color w:val="FFFFFF"/>
                <w:sz w:val="18"/>
              </w:rPr>
              <w:t>Detection</w:t>
            </w:r>
          </w:p>
        </w:tc>
        <w:tc>
          <w:tcPr>
            <w:tcW w:type="dxa" w:w="1152"/>
            <w:shd w:val="clear" w:color="auto" w:fill="003388"/>
          </w:tcPr>
          <w:p>
            <w:pPr>
              <w:jc w:val="center"/>
            </w:pPr>
            <w:r>
              <w:rPr>
                <w:rFonts w:ascii="Calibri" w:hAnsi="Calibri"/>
                <w:b/>
                <w:color w:val="FFFFFF"/>
                <w:sz w:val="18"/>
              </w:rPr>
              <w:t>Blocking</w:t>
            </w:r>
          </w:p>
        </w:tc>
        <w:tc>
          <w:tcPr>
            <w:tcW w:type="dxa" w:w="1440"/>
            <w:shd w:val="clear" w:color="auto" w:fill="003388"/>
          </w:tcPr>
          <w:p>
            <w:pPr>
              <w:jc w:val="center"/>
            </w:pPr>
            <w:r>
              <w:rPr>
                <w:rFonts w:ascii="Calibri" w:hAnsi="Calibri"/>
                <w:b/>
                <w:color w:val="FFFFFF"/>
                <w:sz w:val="18"/>
              </w:rPr>
              <w:t>Grounding</w:t>
            </w:r>
          </w:p>
        </w:tc>
        <w:tc>
          <w:tcPr>
            <w:tcW w:type="dxa" w:w="1440"/>
            <w:shd w:val="clear" w:color="auto" w:fill="003388"/>
          </w:tcPr>
          <w:p>
            <w:pPr>
              <w:jc w:val="center"/>
            </w:pPr>
            <w:r>
              <w:rPr>
                <w:rFonts w:ascii="Calibri" w:hAnsi="Calibri"/>
                <w:b/>
                <w:color w:val="FFFFFF"/>
                <w:sz w:val="18"/>
              </w:rPr>
              <w:t>Compliance</w:t>
            </w:r>
          </w:p>
        </w:tc>
        <w:tc>
          <w:tcPr>
            <w:tcW w:type="dxa" w:w="1152"/>
            <w:shd w:val="clear" w:color="auto" w:fill="003388"/>
          </w:tcPr>
          <w:p>
            <w:pPr>
              <w:jc w:val="center"/>
            </w:pPr>
            <w:r>
              <w:rPr>
                <w:rFonts w:ascii="Calibri" w:hAnsi="Calibri"/>
                <w:b/>
                <w:color w:val="FFFFFF"/>
                <w:sz w:val="18"/>
              </w:rPr>
              <w:t>Industry</w:t>
            </w:r>
          </w:p>
        </w:tc>
        <w:tc>
          <w:tcPr>
            <w:tcW w:type="dxa" w:w="1152"/>
            <w:shd w:val="clear" w:color="auto" w:fill="003388"/>
          </w:tcPr>
          <w:p>
            <w:pPr>
              <w:jc w:val="center"/>
            </w:pPr>
            <w:r>
              <w:rPr>
                <w:rFonts w:ascii="Calibri" w:hAnsi="Calibri"/>
                <w:b/>
                <w:color w:val="FFFFFF"/>
                <w:sz w:val="18"/>
              </w:rPr>
              <w:t>LOB</w:t>
            </w:r>
          </w:p>
        </w:tc>
      </w:tr>
      <w:tr>
        <w:tc>
          <w:tcPr>
            <w:tcW w:type="dxa" w:w="2160"/>
            <w:shd w:val="clear" w:color="auto" w:fill="FFFFFF"/>
          </w:tcPr>
          <w:p>
            <w:r>
              <w:rPr>
                <w:rFonts w:ascii="Calibri" w:hAnsi="Calibri"/>
                <w:sz w:val="18"/>
              </w:rPr>
              <w:t>OpenAI Safety</w:t>
            </w:r>
          </w:p>
        </w:tc>
        <w:tc>
          <w:tcPr>
            <w:tcW w:type="dxa" w:w="2304"/>
            <w:shd w:val="clear" w:color="auto" w:fill="FFFFFF"/>
          </w:tcPr>
          <w:p>
            <w:r>
              <w:rPr>
                <w:rFonts w:ascii="Calibri" w:hAnsi="Calibri"/>
                <w:sz w:val="18"/>
              </w:rPr>
              <w:t>Provider-built</w:t>
            </w:r>
          </w:p>
        </w:tc>
        <w:tc>
          <w:tcPr>
            <w:tcW w:type="dxa" w:w="1440"/>
            <w:shd w:val="clear" w:color="auto" w:fill="FFFFFF"/>
          </w:tcPr>
          <w:p>
            <w:r>
              <w:rPr>
                <w:rFonts w:ascii="Calibri" w:hAnsi="Calibri"/>
                <w:sz w:val="18"/>
              </w:rPr>
              <w:t>Limited</w:t>
            </w:r>
          </w:p>
        </w:tc>
        <w:tc>
          <w:tcPr>
            <w:tcW w:type="dxa" w:w="1152"/>
            <w:shd w:val="clear" w:color="auto" w:fill="FFFFFF"/>
          </w:tcPr>
          <w:p>
            <w:r>
              <w:rPr>
                <w:rFonts w:ascii="Calibri" w:hAnsi="Calibri"/>
                <w:sz w:val="18"/>
              </w:rPr>
              <w:t>No</w:t>
            </w:r>
          </w:p>
        </w:tc>
        <w:tc>
          <w:tcPr>
            <w:tcW w:type="dxa" w:w="1440"/>
            <w:shd w:val="clear" w:color="auto" w:fill="FFFFFF"/>
          </w:tcPr>
          <w:p>
            <w:r>
              <w:rPr>
                <w:rFonts w:ascii="Calibri" w:hAnsi="Calibri"/>
                <w:sz w:val="18"/>
              </w:rPr>
              <w:t>No</w:t>
            </w:r>
          </w:p>
        </w:tc>
        <w:tc>
          <w:tcPr>
            <w:tcW w:type="dxa" w:w="1440"/>
            <w:shd w:val="clear" w:color="auto" w:fill="FFFFFF"/>
          </w:tcPr>
          <w:p>
            <w:r>
              <w:rPr>
                <w:rFonts w:ascii="Calibri" w:hAnsi="Calibri"/>
                <w:sz w:val="18"/>
              </w:rPr>
              <w:t>No</w:t>
            </w:r>
          </w:p>
        </w:tc>
        <w:tc>
          <w:tcPr>
            <w:tcW w:type="dxa" w:w="1152"/>
            <w:shd w:val="clear" w:color="auto" w:fill="FFFFFF"/>
          </w:tcPr>
          <w:p>
            <w:r>
              <w:rPr>
                <w:rFonts w:ascii="Calibri" w:hAnsi="Calibri"/>
                <w:sz w:val="18"/>
              </w:rPr>
              <w:t>No</w:t>
            </w:r>
          </w:p>
        </w:tc>
        <w:tc>
          <w:tcPr>
            <w:tcW w:type="dxa" w:w="1152"/>
            <w:shd w:val="clear" w:color="auto" w:fill="FFFFFF"/>
          </w:tcPr>
          <w:p>
            <w:r>
              <w:rPr>
                <w:rFonts w:ascii="Calibri" w:hAnsi="Calibri"/>
                <w:sz w:val="18"/>
              </w:rPr>
              <w:t>Fast</w:t>
            </w:r>
          </w:p>
        </w:tc>
      </w:tr>
      <w:tr>
        <w:tc>
          <w:tcPr>
            <w:tcW w:type="dxa" w:w="2160"/>
            <w:shd w:val="clear" w:color="auto" w:fill="F0F4FF"/>
          </w:tcPr>
          <w:p>
            <w:r>
              <w:rPr>
                <w:rFonts w:ascii="Calibri" w:hAnsi="Calibri"/>
                <w:sz w:val="18"/>
              </w:rPr>
              <w:t>Guardrails AI</w:t>
            </w:r>
          </w:p>
        </w:tc>
        <w:tc>
          <w:tcPr>
            <w:tcW w:type="dxa" w:w="2304"/>
            <w:shd w:val="clear" w:color="auto" w:fill="F0F4FF"/>
          </w:tcPr>
          <w:p>
            <w:r>
              <w:rPr>
                <w:rFonts w:ascii="Calibri" w:hAnsi="Calibri"/>
                <w:sz w:val="18"/>
              </w:rPr>
              <w:t>Open-source</w:t>
            </w:r>
          </w:p>
        </w:tc>
        <w:tc>
          <w:tcPr>
            <w:tcW w:type="dxa" w:w="1440"/>
            <w:shd w:val="clear" w:color="auto" w:fill="F0F4FF"/>
          </w:tcPr>
          <w:p>
            <w:r>
              <w:rPr>
                <w:rFonts w:ascii="Calibri" w:hAnsi="Calibri"/>
                <w:sz w:val="18"/>
              </w:rPr>
              <w:t>Partial</w:t>
            </w:r>
          </w:p>
        </w:tc>
        <w:tc>
          <w:tcPr>
            <w:tcW w:type="dxa" w:w="1152"/>
            <w:shd w:val="clear" w:color="auto" w:fill="F0F4FF"/>
          </w:tcPr>
          <w:p>
            <w:r>
              <w:rPr>
                <w:rFonts w:ascii="Calibri" w:hAnsi="Calibri"/>
                <w:sz w:val="18"/>
              </w:rPr>
              <w:t>Some</w:t>
            </w:r>
          </w:p>
        </w:tc>
        <w:tc>
          <w:tcPr>
            <w:tcW w:type="dxa" w:w="1440"/>
            <w:shd w:val="clear" w:color="auto" w:fill="F0F4FF"/>
          </w:tcPr>
          <w:p>
            <w:r>
              <w:rPr>
                <w:rFonts w:ascii="Calibri" w:hAnsi="Calibri"/>
                <w:sz w:val="18"/>
              </w:rPr>
              <w:t>No</w:t>
            </w:r>
          </w:p>
        </w:tc>
        <w:tc>
          <w:tcPr>
            <w:tcW w:type="dxa" w:w="1440"/>
            <w:shd w:val="clear" w:color="auto" w:fill="F0F4FF"/>
          </w:tcPr>
          <w:p>
            <w:r>
              <w:rPr>
                <w:rFonts w:ascii="Calibri" w:hAnsi="Calibri"/>
                <w:sz w:val="18"/>
              </w:rPr>
              <w:t>No</w:t>
            </w:r>
          </w:p>
        </w:tc>
        <w:tc>
          <w:tcPr>
            <w:tcW w:type="dxa" w:w="1152"/>
            <w:shd w:val="clear" w:color="auto" w:fill="F0F4FF"/>
          </w:tcPr>
          <w:p>
            <w:r>
              <w:rPr>
                <w:rFonts w:ascii="Calibri" w:hAnsi="Calibri"/>
                <w:sz w:val="18"/>
              </w:rPr>
              <w:t>No</w:t>
            </w:r>
          </w:p>
        </w:tc>
        <w:tc>
          <w:tcPr>
            <w:tcW w:type="dxa" w:w="1152"/>
            <w:shd w:val="clear" w:color="auto" w:fill="F0F4FF"/>
          </w:tcPr>
          <w:p>
            <w:r>
              <w:rPr>
                <w:rFonts w:ascii="Calibri" w:hAnsi="Calibri"/>
                <w:sz w:val="18"/>
              </w:rPr>
              <w:t>Medium</w:t>
            </w:r>
          </w:p>
        </w:tc>
      </w:tr>
      <w:tr>
        <w:tc>
          <w:tcPr>
            <w:tcW w:type="dxa" w:w="2160"/>
            <w:shd w:val="clear" w:color="auto" w:fill="FFFFFF"/>
          </w:tcPr>
          <w:p>
            <w:r>
              <w:rPr>
                <w:rFonts w:ascii="Calibri" w:hAnsi="Calibri"/>
                <w:sz w:val="18"/>
              </w:rPr>
              <w:t>Arthur AI</w:t>
            </w:r>
          </w:p>
        </w:tc>
        <w:tc>
          <w:tcPr>
            <w:tcW w:type="dxa" w:w="2304"/>
            <w:shd w:val="clear" w:color="auto" w:fill="FFFFFF"/>
          </w:tcPr>
          <w:p>
            <w:r>
              <w:rPr>
                <w:rFonts w:ascii="Calibri" w:hAnsi="Calibri"/>
                <w:sz w:val="18"/>
              </w:rPr>
              <w:t>ML monitoring</w:t>
            </w:r>
          </w:p>
        </w:tc>
        <w:tc>
          <w:tcPr>
            <w:tcW w:type="dxa" w:w="1440"/>
            <w:shd w:val="clear" w:color="auto" w:fill="FFFFFF"/>
          </w:tcPr>
          <w:p>
            <w:r>
              <w:rPr>
                <w:rFonts w:ascii="Calibri" w:hAnsi="Calibri"/>
                <w:sz w:val="18"/>
              </w:rPr>
              <w:t>Partial</w:t>
            </w:r>
          </w:p>
        </w:tc>
        <w:tc>
          <w:tcPr>
            <w:tcW w:type="dxa" w:w="1152"/>
            <w:shd w:val="clear" w:color="auto" w:fill="FFFFFF"/>
          </w:tcPr>
          <w:p>
            <w:r>
              <w:rPr>
                <w:rFonts w:ascii="Calibri" w:hAnsi="Calibri"/>
                <w:sz w:val="18"/>
              </w:rPr>
              <w:t>No</w:t>
            </w:r>
          </w:p>
        </w:tc>
        <w:tc>
          <w:tcPr>
            <w:tcW w:type="dxa" w:w="1440"/>
            <w:shd w:val="clear" w:color="auto" w:fill="FFFFFF"/>
          </w:tcPr>
          <w:p>
            <w:r>
              <w:rPr>
                <w:rFonts w:ascii="Calibri" w:hAnsi="Calibri"/>
                <w:sz w:val="18"/>
              </w:rPr>
              <w:t>No</w:t>
            </w:r>
          </w:p>
        </w:tc>
        <w:tc>
          <w:tcPr>
            <w:tcW w:type="dxa" w:w="1440"/>
            <w:shd w:val="clear" w:color="auto" w:fill="FFFFFF"/>
          </w:tcPr>
          <w:p>
            <w:r>
              <w:rPr>
                <w:rFonts w:ascii="Calibri" w:hAnsi="Calibri"/>
                <w:sz w:val="18"/>
              </w:rPr>
              <w:t>Partial</w:t>
            </w:r>
          </w:p>
        </w:tc>
        <w:tc>
          <w:tcPr>
            <w:tcW w:type="dxa" w:w="1152"/>
            <w:shd w:val="clear" w:color="auto" w:fill="FFFFFF"/>
          </w:tcPr>
          <w:p>
            <w:r>
              <w:rPr>
                <w:rFonts w:ascii="Calibri" w:hAnsi="Calibri"/>
                <w:sz w:val="18"/>
              </w:rPr>
              <w:t>No</w:t>
            </w:r>
          </w:p>
        </w:tc>
        <w:tc>
          <w:tcPr>
            <w:tcW w:type="dxa" w:w="1152"/>
            <w:shd w:val="clear" w:color="auto" w:fill="FFFFFF"/>
          </w:tcPr>
          <w:p>
            <w:r>
              <w:rPr>
                <w:rFonts w:ascii="Calibri" w:hAnsi="Calibri"/>
                <w:sz w:val="18"/>
              </w:rPr>
              <w:t>Slow</w:t>
            </w:r>
          </w:p>
        </w:tc>
      </w:tr>
      <w:tr>
        <w:tc>
          <w:tcPr>
            <w:tcW w:type="dxa" w:w="2160"/>
            <w:shd w:val="clear" w:color="auto" w:fill="F0F4FF"/>
          </w:tcPr>
          <w:p>
            <w:r>
              <w:rPr>
                <w:rFonts w:ascii="Calibri" w:hAnsi="Calibri"/>
                <w:sz w:val="18"/>
              </w:rPr>
              <w:t>Fiddler AI</w:t>
            </w:r>
          </w:p>
        </w:tc>
        <w:tc>
          <w:tcPr>
            <w:tcW w:type="dxa" w:w="2304"/>
            <w:shd w:val="clear" w:color="auto" w:fill="F0F4FF"/>
          </w:tcPr>
          <w:p>
            <w:r>
              <w:rPr>
                <w:rFonts w:ascii="Calibri" w:hAnsi="Calibri"/>
                <w:sz w:val="18"/>
              </w:rPr>
              <w:t>ML observability</w:t>
            </w:r>
          </w:p>
        </w:tc>
        <w:tc>
          <w:tcPr>
            <w:tcW w:type="dxa" w:w="1440"/>
            <w:shd w:val="clear" w:color="auto" w:fill="F0F4FF"/>
          </w:tcPr>
          <w:p>
            <w:r>
              <w:rPr>
                <w:rFonts w:ascii="Calibri" w:hAnsi="Calibri"/>
                <w:sz w:val="18"/>
              </w:rPr>
              <w:t>Bias/drift</w:t>
            </w:r>
          </w:p>
        </w:tc>
        <w:tc>
          <w:tcPr>
            <w:tcW w:type="dxa" w:w="1152"/>
            <w:shd w:val="clear" w:color="auto" w:fill="F0F4FF"/>
          </w:tcPr>
          <w:p>
            <w:r>
              <w:rPr>
                <w:rFonts w:ascii="Calibri" w:hAnsi="Calibri"/>
                <w:sz w:val="18"/>
              </w:rPr>
              <w:t>No</w:t>
            </w:r>
          </w:p>
        </w:tc>
        <w:tc>
          <w:tcPr>
            <w:tcW w:type="dxa" w:w="1440"/>
            <w:shd w:val="clear" w:color="auto" w:fill="F0F4FF"/>
          </w:tcPr>
          <w:p>
            <w:r>
              <w:rPr>
                <w:rFonts w:ascii="Calibri" w:hAnsi="Calibri"/>
                <w:sz w:val="18"/>
              </w:rPr>
              <w:t>No</w:t>
            </w:r>
          </w:p>
        </w:tc>
        <w:tc>
          <w:tcPr>
            <w:tcW w:type="dxa" w:w="1440"/>
            <w:shd w:val="clear" w:color="auto" w:fill="F0F4FF"/>
          </w:tcPr>
          <w:p>
            <w:r>
              <w:rPr>
                <w:rFonts w:ascii="Calibri" w:hAnsi="Calibri"/>
                <w:sz w:val="18"/>
              </w:rPr>
              <w:t>Partial</w:t>
            </w:r>
          </w:p>
        </w:tc>
        <w:tc>
          <w:tcPr>
            <w:tcW w:type="dxa" w:w="1152"/>
            <w:shd w:val="clear" w:color="auto" w:fill="F0F4FF"/>
          </w:tcPr>
          <w:p>
            <w:r>
              <w:rPr>
                <w:rFonts w:ascii="Calibri" w:hAnsi="Calibri"/>
                <w:sz w:val="18"/>
              </w:rPr>
              <w:t>No</w:t>
            </w:r>
          </w:p>
        </w:tc>
        <w:tc>
          <w:tcPr>
            <w:tcW w:type="dxa" w:w="1152"/>
            <w:shd w:val="clear" w:color="auto" w:fill="F0F4FF"/>
          </w:tcPr>
          <w:p>
            <w:r>
              <w:rPr>
                <w:rFonts w:ascii="Calibri" w:hAnsi="Calibri"/>
                <w:sz w:val="18"/>
              </w:rPr>
              <w:t>Slow</w:t>
            </w:r>
          </w:p>
        </w:tc>
      </w:tr>
      <w:tr>
        <w:tc>
          <w:tcPr>
            <w:tcW w:type="dxa" w:w="2160"/>
            <w:shd w:val="clear" w:color="auto" w:fill="FFFFFF"/>
          </w:tcPr>
          <w:p>
            <w:r>
              <w:rPr>
                <w:rFonts w:ascii="Calibri" w:hAnsi="Calibri"/>
                <w:sz w:val="18"/>
              </w:rPr>
              <w:t>Custom build</w:t>
            </w:r>
          </w:p>
        </w:tc>
        <w:tc>
          <w:tcPr>
            <w:tcW w:type="dxa" w:w="2304"/>
            <w:shd w:val="clear" w:color="auto" w:fill="FFFFFF"/>
          </w:tcPr>
          <w:p>
            <w:r>
              <w:rPr>
                <w:rFonts w:ascii="Calibri" w:hAnsi="Calibri"/>
                <w:sz w:val="18"/>
              </w:rPr>
              <w:t>DIY</w:t>
            </w:r>
          </w:p>
        </w:tc>
        <w:tc>
          <w:tcPr>
            <w:tcW w:type="dxa" w:w="1440"/>
            <w:shd w:val="clear" w:color="auto" w:fill="FFFFFF"/>
          </w:tcPr>
          <w:p>
            <w:r>
              <w:rPr>
                <w:rFonts w:ascii="Calibri" w:hAnsi="Calibri"/>
                <w:sz w:val="18"/>
              </w:rPr>
              <w:t>Custom</w:t>
            </w:r>
          </w:p>
        </w:tc>
        <w:tc>
          <w:tcPr>
            <w:tcW w:type="dxa" w:w="1152"/>
            <w:shd w:val="clear" w:color="auto" w:fill="FFFFFF"/>
          </w:tcPr>
          <w:p>
            <w:r>
              <w:rPr>
                <w:rFonts w:ascii="Calibri" w:hAnsi="Calibri"/>
                <w:sz w:val="18"/>
              </w:rPr>
              <w:t>Custom</w:t>
            </w:r>
          </w:p>
        </w:tc>
        <w:tc>
          <w:tcPr>
            <w:tcW w:type="dxa" w:w="1440"/>
            <w:shd w:val="clear" w:color="auto" w:fill="FFFFFF"/>
          </w:tcPr>
          <w:p>
            <w:r>
              <w:rPr>
                <w:rFonts w:ascii="Calibri" w:hAnsi="Calibri"/>
                <w:sz w:val="18"/>
              </w:rPr>
              <w:t>Custom</w:t>
            </w:r>
          </w:p>
        </w:tc>
        <w:tc>
          <w:tcPr>
            <w:tcW w:type="dxa" w:w="1440"/>
            <w:shd w:val="clear" w:color="auto" w:fill="FFFFFF"/>
          </w:tcPr>
          <w:p>
            <w:r>
              <w:rPr>
                <w:rFonts w:ascii="Calibri" w:hAnsi="Calibri"/>
                <w:sz w:val="18"/>
              </w:rPr>
              <w:t>Custom</w:t>
            </w:r>
          </w:p>
        </w:tc>
        <w:tc>
          <w:tcPr>
            <w:tcW w:type="dxa" w:w="1152"/>
            <w:shd w:val="clear" w:color="auto" w:fill="FFFFFF"/>
          </w:tcPr>
          <w:p>
            <w:r>
              <w:rPr>
                <w:rFonts w:ascii="Calibri" w:hAnsi="Calibri"/>
                <w:sz w:val="18"/>
              </w:rPr>
              <w:t>Custom</w:t>
            </w:r>
          </w:p>
        </w:tc>
        <w:tc>
          <w:tcPr>
            <w:tcW w:type="dxa" w:w="1152"/>
            <w:shd w:val="clear" w:color="auto" w:fill="FFFFFF"/>
          </w:tcPr>
          <w:p>
            <w:r>
              <w:rPr>
                <w:rFonts w:ascii="Calibri" w:hAnsi="Calibri"/>
                <w:sz w:val="18"/>
              </w:rPr>
              <w:t>6–12mo</w:t>
            </w:r>
          </w:p>
        </w:tc>
      </w:tr>
      <w:tr>
        <w:tc>
          <w:tcPr>
            <w:tcW w:type="dxa" w:w="2160"/>
            <w:shd w:val="clear" w:color="auto" w:fill="F0F4FF"/>
          </w:tcPr>
          <w:p>
            <w:r>
              <w:rPr>
                <w:rFonts w:ascii="Calibri" w:hAnsi="Calibri"/>
                <w:sz w:val="18"/>
              </w:rPr>
              <w:t>TrustLayer AI</w:t>
            </w:r>
          </w:p>
        </w:tc>
        <w:tc>
          <w:tcPr>
            <w:tcW w:type="dxa" w:w="2304"/>
            <w:shd w:val="clear" w:color="auto" w:fill="F0F4FF"/>
          </w:tcPr>
          <w:p>
            <w:r>
              <w:rPr>
                <w:rFonts w:ascii="Calibri" w:hAnsi="Calibri"/>
                <w:sz w:val="18"/>
              </w:rPr>
              <w:t>Integrated platform</w:t>
            </w:r>
          </w:p>
        </w:tc>
        <w:tc>
          <w:tcPr>
            <w:tcW w:type="dxa" w:w="1440"/>
            <w:shd w:val="clear" w:color="auto" w:fill="F0F4FF"/>
          </w:tcPr>
          <w:p>
            <w:r>
              <w:rPr>
                <w:rFonts w:ascii="Calibri" w:hAnsi="Calibri"/>
                <w:sz w:val="18"/>
              </w:rPr>
              <w:t>Full</w:t>
            </w:r>
          </w:p>
        </w:tc>
        <w:tc>
          <w:tcPr>
            <w:tcW w:type="dxa" w:w="1152"/>
            <w:shd w:val="clear" w:color="auto" w:fill="F0F4FF"/>
          </w:tcPr>
          <w:p>
            <w:r>
              <w:rPr>
                <w:rFonts w:ascii="Calibri" w:hAnsi="Calibri"/>
                <w:sz w:val="18"/>
              </w:rPr>
              <w:t>Full</w:t>
            </w:r>
          </w:p>
        </w:tc>
        <w:tc>
          <w:tcPr>
            <w:tcW w:type="dxa" w:w="1440"/>
            <w:shd w:val="clear" w:color="auto" w:fill="F0F4FF"/>
          </w:tcPr>
          <w:p>
            <w:r>
              <w:rPr>
                <w:rFonts w:ascii="Calibri" w:hAnsi="Calibri"/>
                <w:sz w:val="18"/>
              </w:rPr>
              <w:t>Full</w:t>
            </w:r>
          </w:p>
        </w:tc>
        <w:tc>
          <w:tcPr>
            <w:tcW w:type="dxa" w:w="1440"/>
            <w:shd w:val="clear" w:color="auto" w:fill="F0F4FF"/>
          </w:tcPr>
          <w:p>
            <w:r>
              <w:rPr>
                <w:rFonts w:ascii="Calibri" w:hAnsi="Calibri"/>
                <w:sz w:val="18"/>
              </w:rPr>
              <w:t>Full</w:t>
            </w:r>
          </w:p>
        </w:tc>
        <w:tc>
          <w:tcPr>
            <w:tcW w:type="dxa" w:w="1152"/>
            <w:shd w:val="clear" w:color="auto" w:fill="F0F4FF"/>
          </w:tcPr>
          <w:p>
            <w:r>
              <w:rPr>
                <w:rFonts w:ascii="Calibri" w:hAnsi="Calibri"/>
                <w:sz w:val="18"/>
              </w:rPr>
              <w:t>8 verticals</w:t>
            </w:r>
          </w:p>
        </w:tc>
        <w:tc>
          <w:tcPr>
            <w:tcW w:type="dxa" w:w="1152"/>
            <w:shd w:val="clear" w:color="auto" w:fill="F0F4FF"/>
          </w:tcPr>
          <w:p>
            <w:r>
              <w:rPr>
                <w:rFonts w:ascii="Calibri" w:hAnsi="Calibri"/>
                <w:sz w:val="18"/>
              </w:rPr>
              <w:t>Fast</w:t>
            </w:r>
          </w:p>
        </w:tc>
      </w:tr>
    </w:tbl>
    <w:p/>
    <w:p>
      <w:pPr>
        <w:pStyle w:val="Heading1"/>
      </w:pPr>
      <w:r>
        <w:rPr>
          <w:color w:val="003388"/>
        </w:rPr>
        <w:t>Appendix B: Glossary</w:t>
      </w:r>
    </w:p>
    <w:p>
      <w:pPr>
        <w:spacing w:before="40" w:after="120"/>
        <w:pBdr>
          <w:bottom w:val="single" w:sz="12" w:space="1" w:color="0066FF"/>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003388"/>
          </w:tcPr>
          <w:p>
            <w:pPr>
              <w:jc w:val="center"/>
            </w:pPr>
            <w:r>
              <w:rPr>
                <w:rFonts w:ascii="Calibri" w:hAnsi="Calibri"/>
                <w:b/>
                <w:color w:val="FFFFFF"/>
                <w:sz w:val="20"/>
              </w:rPr>
              <w:t>Term</w:t>
            </w:r>
          </w:p>
        </w:tc>
        <w:tc>
          <w:tcPr>
            <w:tcW w:type="dxa" w:w="7920"/>
            <w:shd w:val="clear" w:color="auto" w:fill="003388"/>
          </w:tcPr>
          <w:p>
            <w:pPr>
              <w:jc w:val="center"/>
            </w:pPr>
            <w:r>
              <w:rPr>
                <w:rFonts w:ascii="Calibri" w:hAnsi="Calibri"/>
                <w:b/>
                <w:color w:val="FFFFFF"/>
                <w:sz w:val="20"/>
              </w:rPr>
              <w:t>Definition</w:t>
            </w:r>
          </w:p>
        </w:tc>
      </w:tr>
      <w:tr>
        <w:tc>
          <w:tcPr>
            <w:tcW w:type="dxa" w:w="2880"/>
            <w:shd w:val="clear" w:color="auto" w:fill="FFFFFF"/>
          </w:tcPr>
          <w:p>
            <w:r>
              <w:rPr>
                <w:rFonts w:ascii="Calibri" w:hAnsi="Calibri"/>
                <w:sz w:val="20"/>
              </w:rPr>
              <w:t>AI Hallucination</w:t>
            </w:r>
          </w:p>
        </w:tc>
        <w:tc>
          <w:tcPr>
            <w:tcW w:type="dxa" w:w="7920"/>
            <w:shd w:val="clear" w:color="auto" w:fill="FFFFFF"/>
          </w:tcPr>
          <w:p>
            <w:r>
              <w:rPr>
                <w:rFonts w:ascii="Calibri" w:hAnsi="Calibri"/>
                <w:sz w:val="20"/>
              </w:rPr>
              <w:t>AI-generated content that is confidently stated but factually incorrect or fabricated by the model.</w:t>
            </w:r>
          </w:p>
        </w:tc>
      </w:tr>
      <w:tr>
        <w:tc>
          <w:tcPr>
            <w:tcW w:type="dxa" w:w="2880"/>
            <w:shd w:val="clear" w:color="auto" w:fill="F0F4FF"/>
          </w:tcPr>
          <w:p>
            <w:r>
              <w:rPr>
                <w:rFonts w:ascii="Calibri" w:hAnsi="Calibri"/>
                <w:sz w:val="20"/>
              </w:rPr>
              <w:t>Confidence Score</w:t>
            </w:r>
          </w:p>
        </w:tc>
        <w:tc>
          <w:tcPr>
            <w:tcW w:type="dxa" w:w="7920"/>
            <w:shd w:val="clear" w:color="auto" w:fill="F0F4FF"/>
          </w:tcPr>
          <w:p>
            <w:r>
              <w:rPr>
                <w:rFonts w:ascii="Calibri" w:hAnsi="Calibri"/>
                <w:sz w:val="20"/>
              </w:rPr>
              <w:t>TrustLayer's composite 0–100 measure of response reliability, computed from 8 detection techniques.</w:t>
            </w:r>
          </w:p>
        </w:tc>
      </w:tr>
      <w:tr>
        <w:tc>
          <w:tcPr>
            <w:tcW w:type="dxa" w:w="2880"/>
            <w:shd w:val="clear" w:color="auto" w:fill="FFFFFF"/>
          </w:tcPr>
          <w:p>
            <w:r>
              <w:rPr>
                <w:rFonts w:ascii="Calibri" w:hAnsi="Calibri"/>
                <w:sz w:val="20"/>
              </w:rPr>
              <w:t>Risk Score</w:t>
            </w:r>
          </w:p>
        </w:tc>
        <w:tc>
          <w:tcPr>
            <w:tcW w:type="dxa" w:w="7920"/>
            <w:shd w:val="clear" w:color="auto" w:fill="FFFFFF"/>
          </w:tcPr>
          <w:p>
            <w:r>
              <w:rPr>
                <w:rFonts w:ascii="Calibri" w:hAnsi="Calibri"/>
                <w:sz w:val="20"/>
              </w:rPr>
              <w:t>TrustLayer's 0–100 measure of potential harm if an incorrect response is delivered to the user.</w:t>
            </w:r>
          </w:p>
        </w:tc>
      </w:tr>
      <w:tr>
        <w:tc>
          <w:tcPr>
            <w:tcW w:type="dxa" w:w="2880"/>
            <w:shd w:val="clear" w:color="auto" w:fill="F0F4FF"/>
          </w:tcPr>
          <w:p>
            <w:r>
              <w:rPr>
                <w:rFonts w:ascii="Calibri" w:hAnsi="Calibri"/>
                <w:sz w:val="20"/>
              </w:rPr>
              <w:t>Semantic Entropy</w:t>
            </w:r>
          </w:p>
        </w:tc>
        <w:tc>
          <w:tcPr>
            <w:tcW w:type="dxa" w:w="7920"/>
            <w:shd w:val="clear" w:color="auto" w:fill="F0F4FF"/>
          </w:tcPr>
          <w:p>
            <w:r>
              <w:rPr>
                <w:rFonts w:ascii="Calibri" w:hAnsi="Calibri"/>
                <w:sz w:val="20"/>
              </w:rPr>
              <w:t>Statistical measure of uncertainty in LLM token generation; high entropy indicates low model confidence.</w:t>
            </w:r>
          </w:p>
        </w:tc>
      </w:tr>
      <w:tr>
        <w:tc>
          <w:tcPr>
            <w:tcW w:type="dxa" w:w="2880"/>
            <w:shd w:val="clear" w:color="auto" w:fill="FFFFFF"/>
          </w:tcPr>
          <w:p>
            <w:r>
              <w:rPr>
                <w:rFonts w:ascii="Calibri" w:hAnsi="Calibri"/>
                <w:sz w:val="20"/>
              </w:rPr>
              <w:t>Enterprise Grounding</w:t>
            </w:r>
          </w:p>
        </w:tc>
        <w:tc>
          <w:tcPr>
            <w:tcW w:type="dxa" w:w="7920"/>
            <w:shd w:val="clear" w:color="auto" w:fill="FFFFFF"/>
          </w:tcPr>
          <w:p>
            <w:r>
              <w:rPr>
                <w:rFonts w:ascii="Calibri" w:hAnsi="Calibri"/>
                <w:sz w:val="20"/>
              </w:rPr>
              <w:t>Verification of AI claims against authoritative internal data sources (CRM, product DB, policy DB).</w:t>
            </w:r>
          </w:p>
        </w:tc>
      </w:tr>
      <w:tr>
        <w:tc>
          <w:tcPr>
            <w:tcW w:type="dxa" w:w="2880"/>
            <w:shd w:val="clear" w:color="auto" w:fill="F0F4FF"/>
          </w:tcPr>
          <w:p>
            <w:r>
              <w:rPr>
                <w:rFonts w:ascii="Calibri" w:hAnsi="Calibri"/>
                <w:sz w:val="20"/>
              </w:rPr>
              <w:t>PASS</w:t>
            </w:r>
          </w:p>
        </w:tc>
        <w:tc>
          <w:tcPr>
            <w:tcW w:type="dxa" w:w="7920"/>
            <w:shd w:val="clear" w:color="auto" w:fill="F0F4FF"/>
          </w:tcPr>
          <w:p>
            <w:r>
              <w:rPr>
                <w:rFonts w:ascii="Calibri" w:hAnsi="Calibri"/>
                <w:sz w:val="20"/>
              </w:rPr>
              <w:t>TrustLayer action: Confidence ≥ 75% and Risk &lt; 30 — response delivered directly to user.</w:t>
            </w:r>
          </w:p>
        </w:tc>
      </w:tr>
      <w:tr>
        <w:tc>
          <w:tcPr>
            <w:tcW w:type="dxa" w:w="2880"/>
            <w:shd w:val="clear" w:color="auto" w:fill="FFFFFF"/>
          </w:tcPr>
          <w:p>
            <w:r>
              <w:rPr>
                <w:rFonts w:ascii="Calibri" w:hAnsi="Calibri"/>
                <w:sz w:val="20"/>
              </w:rPr>
              <w:t>FLAG</w:t>
            </w:r>
          </w:p>
        </w:tc>
        <w:tc>
          <w:tcPr>
            <w:tcW w:type="dxa" w:w="7920"/>
            <w:shd w:val="clear" w:color="auto" w:fill="FFFFFF"/>
          </w:tcPr>
          <w:p>
            <w:r>
              <w:rPr>
                <w:rFonts w:ascii="Calibri" w:hAnsi="Calibri"/>
                <w:sz w:val="20"/>
              </w:rPr>
              <w:t>TrustLayer action: Confidence 50–74% or Risk 30–59 — response queued for human review.</w:t>
            </w:r>
          </w:p>
        </w:tc>
      </w:tr>
      <w:tr>
        <w:tc>
          <w:tcPr>
            <w:tcW w:type="dxa" w:w="2880"/>
            <w:shd w:val="clear" w:color="auto" w:fill="F0F4FF"/>
          </w:tcPr>
          <w:p>
            <w:r>
              <w:rPr>
                <w:rFonts w:ascii="Calibri" w:hAnsi="Calibri"/>
                <w:sz w:val="20"/>
              </w:rPr>
              <w:t>BLOCK</w:t>
            </w:r>
          </w:p>
        </w:tc>
        <w:tc>
          <w:tcPr>
            <w:tcW w:type="dxa" w:w="7920"/>
            <w:shd w:val="clear" w:color="auto" w:fill="F0F4FF"/>
          </w:tcPr>
          <w:p>
            <w:r>
              <w:rPr>
                <w:rFonts w:ascii="Calibri" w:hAnsi="Calibri"/>
                <w:sz w:val="20"/>
              </w:rPr>
              <w:t>TrustLayer action: Confidence &lt; 50% or Risk ≥ 60 — response blocked; fallback triggered.</w:t>
            </w:r>
          </w:p>
        </w:tc>
      </w:tr>
      <w:tr>
        <w:tc>
          <w:tcPr>
            <w:tcW w:type="dxa" w:w="2880"/>
            <w:shd w:val="clear" w:color="auto" w:fill="FFFFFF"/>
          </w:tcPr>
          <w:p>
            <w:r>
              <w:rPr>
                <w:rFonts w:ascii="Calibri" w:hAnsi="Calibri"/>
                <w:sz w:val="20"/>
              </w:rPr>
              <w:t>EU AI Act</w:t>
            </w:r>
          </w:p>
        </w:tc>
        <w:tc>
          <w:tcPr>
            <w:tcW w:type="dxa" w:w="7920"/>
            <w:shd w:val="clear" w:color="auto" w:fill="FFFFFF"/>
          </w:tcPr>
          <w:p>
            <w:r>
              <w:rPr>
                <w:rFonts w:ascii="Calibri" w:hAnsi="Calibri"/>
                <w:sz w:val="20"/>
              </w:rPr>
              <w:t>European Union regulation governing AI systems; full enforcement from August 2026; penalties up to €35M.</w:t>
            </w:r>
          </w:p>
        </w:tc>
      </w:tr>
      <w:tr>
        <w:tc>
          <w:tcPr>
            <w:tcW w:type="dxa" w:w="2880"/>
            <w:shd w:val="clear" w:color="auto" w:fill="F0F4FF"/>
          </w:tcPr>
          <w:p>
            <w:r>
              <w:rPr>
                <w:rFonts w:ascii="Calibri" w:hAnsi="Calibri"/>
                <w:sz w:val="20"/>
              </w:rPr>
              <w:t>NIST AI RMF</w:t>
            </w:r>
          </w:p>
        </w:tc>
        <w:tc>
          <w:tcPr>
            <w:tcW w:type="dxa" w:w="7920"/>
            <w:shd w:val="clear" w:color="auto" w:fill="F0F4FF"/>
          </w:tcPr>
          <w:p>
            <w:r>
              <w:rPr>
                <w:rFonts w:ascii="Calibri" w:hAnsi="Calibri"/>
                <w:sz w:val="20"/>
              </w:rPr>
              <w:t>National Institute of Standards and Technology AI Risk Management Framework (Govern/Map/Measure/Manage).</w:t>
            </w:r>
          </w:p>
        </w:tc>
      </w:tr>
      <w:tr>
        <w:tc>
          <w:tcPr>
            <w:tcW w:type="dxa" w:w="2880"/>
            <w:shd w:val="clear" w:color="auto" w:fill="FFFFFF"/>
          </w:tcPr>
          <w:p>
            <w:r>
              <w:rPr>
                <w:rFonts w:ascii="Calibri" w:hAnsi="Calibri"/>
                <w:sz w:val="20"/>
              </w:rPr>
              <w:t>ISO/IEC 42001</w:t>
            </w:r>
          </w:p>
        </w:tc>
        <w:tc>
          <w:tcPr>
            <w:tcW w:type="dxa" w:w="7920"/>
            <w:shd w:val="clear" w:color="auto" w:fill="FFFFFF"/>
          </w:tcPr>
          <w:p>
            <w:r>
              <w:rPr>
                <w:rFonts w:ascii="Calibri" w:hAnsi="Calibri"/>
                <w:sz w:val="20"/>
              </w:rPr>
              <w:t>International standard for AI management systems, covering governance, risk, and continual improvement.</w:t>
            </w:r>
          </w:p>
        </w:tc>
      </w:tr>
      <w:tr>
        <w:tc>
          <w:tcPr>
            <w:tcW w:type="dxa" w:w="2880"/>
            <w:shd w:val="clear" w:color="auto" w:fill="F0F4FF"/>
          </w:tcPr>
          <w:p>
            <w:r>
              <w:rPr>
                <w:rFonts w:ascii="Calibri" w:hAnsi="Calibri"/>
                <w:sz w:val="20"/>
              </w:rPr>
              <w:t>SOC 2 Type II</w:t>
            </w:r>
          </w:p>
        </w:tc>
        <w:tc>
          <w:tcPr>
            <w:tcW w:type="dxa" w:w="7920"/>
            <w:shd w:val="clear" w:color="auto" w:fill="F0F4FF"/>
          </w:tcPr>
          <w:p>
            <w:r>
              <w:rPr>
                <w:rFonts w:ascii="Calibri" w:hAnsi="Calibri"/>
                <w:sz w:val="20"/>
              </w:rPr>
              <w:t>Security audit certification covering availability, processing integrity, confidentiality, and security.</w:t>
            </w:r>
          </w:p>
        </w:tc>
      </w:tr>
      <w:tr>
        <w:tc>
          <w:tcPr>
            <w:tcW w:type="dxa" w:w="2880"/>
            <w:shd w:val="clear" w:color="auto" w:fill="FFFFFF"/>
          </w:tcPr>
          <w:p>
            <w:r>
              <w:rPr>
                <w:rFonts w:ascii="Calibri" w:hAnsi="Calibri"/>
                <w:sz w:val="20"/>
              </w:rPr>
              <w:t>LLM</w:t>
            </w:r>
          </w:p>
        </w:tc>
        <w:tc>
          <w:tcPr>
            <w:tcW w:type="dxa" w:w="7920"/>
            <w:shd w:val="clear" w:color="auto" w:fill="FFFFFF"/>
          </w:tcPr>
          <w:p>
            <w:r>
              <w:rPr>
                <w:rFonts w:ascii="Calibri" w:hAnsi="Calibri"/>
                <w:sz w:val="20"/>
              </w:rPr>
              <w:t>Large Language Model — a deep learning model trained on large text corpora to generate human-like text.</w:t>
            </w:r>
          </w:p>
        </w:tc>
      </w:tr>
      <w:tr>
        <w:tc>
          <w:tcPr>
            <w:tcW w:type="dxa" w:w="2880"/>
            <w:shd w:val="clear" w:color="auto" w:fill="F0F4FF"/>
          </w:tcPr>
          <w:p>
            <w:r>
              <w:rPr>
                <w:rFonts w:ascii="Calibri" w:hAnsi="Calibri"/>
                <w:sz w:val="20"/>
              </w:rPr>
              <w:t>Domain Risk Factor</w:t>
            </w:r>
          </w:p>
        </w:tc>
        <w:tc>
          <w:tcPr>
            <w:tcW w:type="dxa" w:w="7920"/>
            <w:shd w:val="clear" w:color="auto" w:fill="F0F4FF"/>
          </w:tcPr>
          <w:p>
            <w:r>
              <w:rPr>
                <w:rFonts w:ascii="Calibri" w:hAnsi="Calibri"/>
                <w:sz w:val="20"/>
              </w:rPr>
              <w:t>TrustLayer multiplier applied to risk scores for life-safety domains: Healthcare (1.5×), Legal (1.4×), BFSI (1.3×).</w:t>
            </w:r>
          </w:p>
        </w:tc>
      </w:tr>
      <w:tr>
        <w:tc>
          <w:tcPr>
            <w:tcW w:type="dxa" w:w="2880"/>
            <w:shd w:val="clear" w:color="auto" w:fill="FFFFFF"/>
          </w:tcPr>
          <w:p>
            <w:r>
              <w:rPr>
                <w:rFonts w:ascii="Calibri" w:hAnsi="Calibri"/>
                <w:sz w:val="20"/>
              </w:rPr>
              <w:t>Grounding Multiplier</w:t>
            </w:r>
          </w:p>
        </w:tc>
        <w:tc>
          <w:tcPr>
            <w:tcW w:type="dxa" w:w="7920"/>
            <w:shd w:val="clear" w:color="auto" w:fill="FFFFFF"/>
          </w:tcPr>
          <w:p>
            <w:r>
              <w:rPr>
                <w:rFonts w:ascii="Calibri" w:hAnsi="Calibri"/>
                <w:sz w:val="20"/>
              </w:rPr>
              <w:t>Confidence score boost (up to 1.2×) applied when enterprise grounding sources confirm claims.</w:t>
            </w:r>
          </w:p>
        </w:tc>
      </w:tr>
    </w:tbl>
    <w:p/>
    <w:p>
      <w:pPr>
        <w:pStyle w:val="Heading1"/>
      </w:pPr>
      <w:r>
        <w:rPr>
          <w:color w:val="003388"/>
        </w:rPr>
        <w:t>Appendix C: API Reference</w:t>
      </w:r>
    </w:p>
    <w:p>
      <w:pPr>
        <w:spacing w:before="40" w:after="120"/>
        <w:pBdr>
          <w:bottom w:val="single" w:sz="12" w:space="1" w:color="0066FF"/>
        </w:pBdr>
      </w:pPr>
    </w:p>
    <w:p>
      <w:pPr>
        <w:pStyle w:val="Heading2"/>
      </w:pPr>
      <w:r>
        <w:rPr>
          <w:color w:val="0066FF"/>
        </w:rPr>
        <w:t>C.1 Verify Endpoint</w:t>
      </w:r>
    </w:p>
    <w:tbl>
      <w:tblPr>
        <w:tblW w:type="auto" w:w="0"/>
        <w:jc w:val="left"/>
        <w:tblLook w:firstColumn="1" w:firstRow="1" w:lastColumn="0" w:lastRow="0" w:noHBand="0" w:noVBand="1" w:val="04A0"/>
      </w:tblPr>
      <w:tblGrid>
        <w:gridCol w:w="9360"/>
      </w:tblGrid>
      <w:tr>
        <w:tc>
          <w:tcPr>
            <w:tcW w:type="dxa" w:w="9360"/>
            <w:shd w:val="clear" w:color="auto" w:fill="F0F4FF"/>
          </w:tcPr>
          <w:p>
            <w:r>
              <w:rPr>
                <w:rFonts w:ascii="Courier New" w:hAnsi="Courier New"/>
                <w:sz w:val="18"/>
              </w:rPr>
              <w:t>POST /v1/verify</w:t>
            </w:r>
          </w:p>
          <w:p>
            <w:r>
              <w:rPr>
                <w:rFonts w:ascii="Courier New" w:hAnsi="Courier New"/>
                <w:sz w:val="18"/>
              </w:rPr>
            </w:r>
          </w:p>
          <w:p>
            <w:r>
              <w:rPr>
                <w:rFonts w:ascii="Courier New" w:hAnsi="Courier New"/>
                <w:sz w:val="18"/>
              </w:rPr>
              <w:t>Request:</w:t>
            </w:r>
          </w:p>
          <w:p>
            <w:r>
              <w:rPr>
                <w:rFonts w:ascii="Courier New" w:hAnsi="Courier New"/>
                <w:sz w:val="18"/>
              </w:rPr>
              <w:t>{</w:t>
            </w:r>
          </w:p>
          <w:p>
            <w:r>
              <w:rPr>
                <w:rFonts w:ascii="Courier New" w:hAnsi="Courier New"/>
                <w:sz w:val="18"/>
              </w:rPr>
              <w:t xml:space="preserve">  "query":          "string — original user query",</w:t>
            </w:r>
          </w:p>
          <w:p>
            <w:r>
              <w:rPr>
                <w:rFonts w:ascii="Courier New" w:hAnsi="Courier New"/>
                <w:sz w:val="18"/>
              </w:rPr>
              <w:t xml:space="preserve">  "llm_response":   "string — raw LLM output to verify",</w:t>
            </w:r>
          </w:p>
          <w:p>
            <w:r>
              <w:rPr>
                <w:rFonts w:ascii="Courier New" w:hAnsi="Courier New"/>
                <w:sz w:val="18"/>
              </w:rPr>
              <w:t xml:space="preserve">  "industry":       "string — module to apply (BFSI_Banking, Healthcare, Legal, ...)",</w:t>
            </w:r>
          </w:p>
          <w:p>
            <w:r>
              <w:rPr>
                <w:rFonts w:ascii="Courier New" w:hAnsi="Courier New"/>
                <w:sz w:val="18"/>
              </w:rPr>
              <w:t xml:space="preserve">  "grounding":      ["string"] — list of connector IDs to use for grounding,</w:t>
            </w:r>
          </w:p>
          <w:p>
            <w:r>
              <w:rPr>
                <w:rFonts w:ascii="Courier New" w:hAnsi="Courier New"/>
                <w:sz w:val="18"/>
              </w:rPr>
              <w:t xml:space="preserve">  "context":        { "user_id": "string", "session_id": "string" }</w:t>
            </w:r>
          </w:p>
          <w:p>
            <w:r>
              <w:rPr>
                <w:rFonts w:ascii="Courier New" w:hAnsi="Courier New"/>
                <w:sz w:val="18"/>
              </w:rPr>
              <w:t>}</w:t>
            </w:r>
          </w:p>
          <w:p>
            <w:r>
              <w:rPr>
                <w:rFonts w:ascii="Courier New" w:hAnsi="Courier New"/>
                <w:sz w:val="18"/>
              </w:rPr>
            </w:r>
          </w:p>
          <w:p>
            <w:r>
              <w:rPr>
                <w:rFonts w:ascii="Courier New" w:hAnsi="Courier New"/>
                <w:sz w:val="18"/>
              </w:rPr>
              <w:t>Response:</w:t>
            </w:r>
          </w:p>
          <w:p>
            <w:r>
              <w:rPr>
                <w:rFonts w:ascii="Courier New" w:hAnsi="Courier New"/>
                <w:sz w:val="18"/>
              </w:rPr>
              <w:t>{</w:t>
            </w:r>
          </w:p>
          <w:p>
            <w:r>
              <w:rPr>
                <w:rFonts w:ascii="Courier New" w:hAnsi="Courier New"/>
                <w:sz w:val="18"/>
              </w:rPr>
              <w:t xml:space="preserve">  "action":           "PASS" | "FLAG" | "BLOCK",</w:t>
            </w:r>
          </w:p>
          <w:p>
            <w:r>
              <w:rPr>
                <w:rFonts w:ascii="Courier New" w:hAnsi="Courier New"/>
                <w:sz w:val="18"/>
              </w:rPr>
              <w:t xml:space="preserve">  "confidence_score": 0–100,</w:t>
            </w:r>
          </w:p>
          <w:p>
            <w:r>
              <w:rPr>
                <w:rFonts w:ascii="Courier New" w:hAnsi="Courier New"/>
                <w:sz w:val="18"/>
              </w:rPr>
              <w:t xml:space="preserve">  "risk_score":       0–100,</w:t>
            </w:r>
          </w:p>
          <w:p>
            <w:r>
              <w:rPr>
                <w:rFonts w:ascii="Courier New" w:hAnsi="Courier New"/>
                <w:sz w:val="18"/>
              </w:rPr>
              <w:t xml:space="preserve">  "content":          "string — original or modified response",</w:t>
            </w:r>
          </w:p>
          <w:p>
            <w:r>
              <w:rPr>
                <w:rFonts w:ascii="Courier New" w:hAnsi="Courier New"/>
                <w:sz w:val="18"/>
              </w:rPr>
              <w:t xml:space="preserve">  "fallback_content": "string — fallback message (if BLOCKED)",</w:t>
            </w:r>
          </w:p>
          <w:p>
            <w:r>
              <w:rPr>
                <w:rFonts w:ascii="Courier New" w:hAnsi="Courier New"/>
                <w:sz w:val="18"/>
              </w:rPr>
              <w:t xml:space="preserve">  "issues":           ["string"] — list of detected issue tags,</w:t>
            </w:r>
          </w:p>
          <w:p>
            <w:r>
              <w:rPr>
                <w:rFonts w:ascii="Courier New" w:hAnsi="Courier New"/>
                <w:sz w:val="18"/>
              </w:rPr>
              <w:t xml:space="preserve">  "detection_scores": { "semantic_entropy": 0.0–1.0, ... },</w:t>
            </w:r>
          </w:p>
          <w:p>
            <w:r>
              <w:rPr>
                <w:rFonts w:ascii="Courier New" w:hAnsi="Courier New"/>
                <w:sz w:val="18"/>
              </w:rPr>
              <w:t xml:space="preserve">  "interaction_id":   "uuid — for audit log lookup",</w:t>
            </w:r>
          </w:p>
          <w:p>
            <w:r>
              <w:rPr>
                <w:rFonts w:ascii="Courier New" w:hAnsi="Courier New"/>
                <w:sz w:val="18"/>
              </w:rPr>
              <w:t xml:space="preserve">  "processing_ms":    0–500</w:t>
            </w:r>
          </w:p>
          <w:p>
            <w:r>
              <w:rPr>
                <w:rFonts w:ascii="Courier New" w:hAnsi="Courier New"/>
                <w:sz w:val="18"/>
              </w:rPr>
              <w:t>}</w:t>
            </w:r>
          </w:p>
        </w:tc>
      </w:tr>
    </w:tbl>
    <w:p/>
    <w:p>
      <w:pPr>
        <w:pStyle w:val="Heading2"/>
      </w:pPr>
      <w:r>
        <w:rPr>
          <w:color w:val="0066FF"/>
        </w:rPr>
        <w:t>C.2 Audit Query Endpoint</w:t>
      </w:r>
    </w:p>
    <w:tbl>
      <w:tblPr>
        <w:tblW w:type="auto" w:w="0"/>
        <w:jc w:val="left"/>
        <w:tblLook w:firstColumn="1" w:firstRow="1" w:lastColumn="0" w:lastRow="0" w:noHBand="0" w:noVBand="1" w:val="04A0"/>
      </w:tblPr>
      <w:tblGrid>
        <w:gridCol w:w="9360"/>
      </w:tblGrid>
      <w:tr>
        <w:tc>
          <w:tcPr>
            <w:tcW w:type="dxa" w:w="9360"/>
            <w:shd w:val="clear" w:color="auto" w:fill="F0F4FF"/>
          </w:tcPr>
          <w:p>
            <w:r>
              <w:rPr>
                <w:rFonts w:ascii="Courier New" w:hAnsi="Courier New"/>
                <w:sz w:val="18"/>
              </w:rPr>
              <w:t>GET /v1/audit?start=ISO8601&amp;end=ISO8601&amp;action=BLOCK&amp;industry=Healthcare</w:t>
            </w:r>
          </w:p>
          <w:p>
            <w:r>
              <w:rPr>
                <w:rFonts w:ascii="Courier New" w:hAnsi="Courier New"/>
                <w:sz w:val="18"/>
              </w:rPr>
            </w:r>
          </w:p>
          <w:p>
            <w:r>
              <w:rPr>
                <w:rFonts w:ascii="Courier New" w:hAnsi="Courier New"/>
                <w:sz w:val="18"/>
              </w:rPr>
              <w:t>Response: array of audit log records (see Section 4.5 for schema)</w:t>
            </w:r>
          </w:p>
        </w:tc>
      </w:tr>
    </w:tbl>
    <w:p/>
    <w:p>
      <w:pPr>
        <w:pStyle w:val="Heading2"/>
      </w:pPr>
      <w:r>
        <w:rPr>
          <w:color w:val="0066FF"/>
        </w:rPr>
        <w:t>C.3 Compliance Report Endpoint</w:t>
      </w:r>
    </w:p>
    <w:tbl>
      <w:tblPr>
        <w:tblW w:type="auto" w:w="0"/>
        <w:jc w:val="left"/>
        <w:tblLook w:firstColumn="1" w:firstRow="1" w:lastColumn="0" w:lastRow="0" w:noHBand="0" w:noVBand="1" w:val="04A0"/>
      </w:tblPr>
      <w:tblGrid>
        <w:gridCol w:w="9360"/>
      </w:tblGrid>
      <w:tr>
        <w:tc>
          <w:tcPr>
            <w:tcW w:type="dxa" w:w="9360"/>
            <w:shd w:val="clear" w:color="auto" w:fill="F0F4FF"/>
          </w:tcPr>
          <w:p>
            <w:r>
              <w:rPr>
                <w:rFonts w:ascii="Courier New" w:hAnsi="Courier New"/>
                <w:sz w:val="18"/>
              </w:rPr>
              <w:t>POST /v1/compliance/report</w:t>
            </w:r>
          </w:p>
          <w:p>
            <w:r>
              <w:rPr>
                <w:rFonts w:ascii="Courier New" w:hAnsi="Courier New"/>
                <w:sz w:val="18"/>
              </w:rPr>
              <w:t>{</w:t>
            </w:r>
          </w:p>
          <w:p>
            <w:r>
              <w:rPr>
                <w:rFonts w:ascii="Courier New" w:hAnsi="Courier New"/>
                <w:sz w:val="18"/>
              </w:rPr>
              <w:t xml:space="preserve">  "framework": "EU_AI_Act" | "NIST_AI_RMF" | "ISO_42001" | "SOC2",</w:t>
            </w:r>
          </w:p>
          <w:p>
            <w:r>
              <w:rPr>
                <w:rFonts w:ascii="Courier New" w:hAnsi="Courier New"/>
                <w:sz w:val="18"/>
              </w:rPr>
              <w:t xml:space="preserve">  "period_start": "ISO8601",</w:t>
            </w:r>
          </w:p>
          <w:p>
            <w:r>
              <w:rPr>
                <w:rFonts w:ascii="Courier New" w:hAnsi="Courier New"/>
                <w:sz w:val="18"/>
              </w:rPr>
              <w:t xml:space="preserve">  "period_end":   "ISO8601",</w:t>
            </w:r>
          </w:p>
          <w:p>
            <w:r>
              <w:rPr>
                <w:rFonts w:ascii="Courier New" w:hAnsi="Courier New"/>
                <w:sz w:val="18"/>
              </w:rPr>
              <w:t xml:space="preserve">  "format":       "json" | "pdf"</w:t>
            </w:r>
          </w:p>
          <w:p>
            <w:r>
              <w:rPr>
                <w:rFonts w:ascii="Courier New" w:hAnsi="Courier New"/>
                <w:sz w:val="18"/>
              </w:rPr>
              <w: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8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6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B89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