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3388"/>
          <w:sz w:val="72"/>
        </w:rPr>
        <w:t>TrustLayer AI</w:t>
      </w:r>
    </w:p>
    <w:p>
      <w:pPr>
        <w:jc w:val="center"/>
      </w:pPr>
      <w:r>
        <w:rPr>
          <w:color w:val="0066FF"/>
          <w:sz w:val="36"/>
        </w:rPr>
        <w:t>Enterprise AI Reliability Platform</w:t>
      </w:r>
    </w:p>
    <w:p>
      <w:pPr>
        <w:spacing w:before="40" w:after="160"/>
        <w:pBdr>
          <w:bottom w:val="single" w:sz="20" w:space="1" w:color="0066FF"/>
        </w:pBdr>
      </w:pPr>
    </w:p>
    <w:p>
      <w:pPr>
        <w:jc w:val="center"/>
      </w:pPr>
      <w:r>
        <w:rPr>
          <w:i/>
          <w:color w:val="64748B"/>
          <w:sz w:val="28"/>
        </w:rPr>
        <w:t>Technical Design Document</w:t>
      </w:r>
    </w:p>
    <w:p>
      <w:pPr>
        <w:jc w:val="center"/>
      </w:pPr>
      <w:r>
        <w:rPr>
          <w:color w:val="64748B"/>
          <w:sz w:val="24"/>
        </w:rPr>
        <w:t>Hackathon Submission  |  Infosys Incubator 2025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$67.4B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Annual losses from AI hallucinations</w:t>
            </w:r>
          </w:p>
        </w:tc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$2.4M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Avg cost per incident</w:t>
            </w:r>
          </w:p>
        </w:tc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77%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Enterprise leaders concerned</w:t>
            </w:r>
          </w:p>
        </w:tc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92%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Hallucination catch rate</w:t>
            </w:r>
          </w:p>
        </w:tc>
        <w:tc>
          <w:tcPr>
            <w:tcW w:type="dxa" w:w="1872"/>
            <w:shd w:val="clear" w:color="auto" w:fill="003388"/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32"/>
              </w:rPr>
              <w:t>&lt;100ms</w:t>
              <w:br/>
            </w:r>
          </w:p>
          <w:p>
            <w:pPr>
              <w:spacing w:after="120"/>
              <w:jc w:val="center"/>
            </w:pPr>
            <w:r>
              <w:rPr>
                <w:color w:val="E8F4FD"/>
                <w:sz w:val="16"/>
              </w:rPr>
              <w:t>Detection latency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88"/>
        </w:rPr>
        <w:t>Table of Contents</w:t>
      </w:r>
    </w:p>
    <w:p>
      <w:pPr>
        <w:spacing w:after="60"/>
      </w:pPr>
      <w:r>
        <w:rPr>
          <w:b/>
          <w:color w:val="0066FF"/>
          <w:sz w:val="22"/>
        </w:rPr>
        <w:t xml:space="preserve">1.  </w:t>
      </w:r>
      <w:r>
        <w:rPr>
          <w:sz w:val="22"/>
        </w:rPr>
        <w:t>Problem Statement</w:t>
      </w:r>
    </w:p>
    <w:p>
      <w:pPr>
        <w:spacing w:after="60"/>
      </w:pPr>
      <w:r>
        <w:rPr>
          <w:b/>
          <w:color w:val="0066FF"/>
          <w:sz w:val="22"/>
        </w:rPr>
        <w:t xml:space="preserve">2.  </w:t>
      </w:r>
      <w:r>
        <w:rPr>
          <w:sz w:val="22"/>
        </w:rPr>
        <w:t>Solution Overview</w:t>
      </w:r>
    </w:p>
    <w:p>
      <w:pPr>
        <w:spacing w:after="60"/>
      </w:pPr>
      <w:r>
        <w:rPr>
          <w:b/>
          <w:color w:val="0066FF"/>
          <w:sz w:val="22"/>
        </w:rPr>
        <w:t xml:space="preserve">3.  </w:t>
      </w:r>
      <w:r>
        <w:rPr>
          <w:sz w:val="22"/>
        </w:rPr>
        <w:t>System Architecture</w:t>
      </w:r>
    </w:p>
    <w:p>
      <w:pPr>
        <w:spacing w:after="60"/>
      </w:pPr>
      <w:r>
        <w:rPr>
          <w:b/>
          <w:color w:val="0066FF"/>
          <w:sz w:val="22"/>
        </w:rPr>
        <w:t xml:space="preserve">4.  </w:t>
      </w:r>
      <w:r>
        <w:rPr>
          <w:sz w:val="22"/>
        </w:rPr>
        <w:t>Detection Engine</w:t>
      </w:r>
    </w:p>
    <w:p>
      <w:pPr>
        <w:spacing w:after="60"/>
      </w:pPr>
      <w:r>
        <w:rPr>
          <w:b/>
          <w:color w:val="0066FF"/>
          <w:sz w:val="22"/>
        </w:rPr>
        <w:t xml:space="preserve">5.  </w:t>
      </w:r>
      <w:r>
        <w:rPr>
          <w:sz w:val="22"/>
        </w:rPr>
        <w:t>Industry Modules</w:t>
      </w:r>
    </w:p>
    <w:p>
      <w:pPr>
        <w:spacing w:after="60"/>
      </w:pPr>
      <w:r>
        <w:rPr>
          <w:b/>
          <w:color w:val="0066FF"/>
          <w:sz w:val="22"/>
        </w:rPr>
        <w:t xml:space="preserve">6.  </w:t>
      </w:r>
      <w:r>
        <w:rPr>
          <w:sz w:val="22"/>
        </w:rPr>
        <w:t>Compliance &amp; Governance</w:t>
      </w:r>
    </w:p>
    <w:p>
      <w:pPr>
        <w:spacing w:after="60"/>
      </w:pPr>
      <w:r>
        <w:rPr>
          <w:b/>
          <w:color w:val="0066FF"/>
          <w:sz w:val="22"/>
        </w:rPr>
        <w:t xml:space="preserve">7.  </w:t>
      </w:r>
      <w:r>
        <w:rPr>
          <w:sz w:val="22"/>
        </w:rPr>
        <w:t>Integration Ecosystem</w:t>
      </w:r>
    </w:p>
    <w:p>
      <w:pPr>
        <w:spacing w:after="60"/>
      </w:pPr>
      <w:r>
        <w:rPr>
          <w:b/>
          <w:color w:val="0066FF"/>
          <w:sz w:val="22"/>
        </w:rPr>
        <w:t xml:space="preserve">8.  </w:t>
      </w:r>
      <w:r>
        <w:rPr>
          <w:sz w:val="22"/>
        </w:rPr>
        <w:t>Technology Stack</w:t>
      </w:r>
    </w:p>
    <w:p>
      <w:pPr>
        <w:spacing w:after="60"/>
      </w:pPr>
      <w:r>
        <w:rPr>
          <w:b/>
          <w:color w:val="0066FF"/>
          <w:sz w:val="22"/>
        </w:rPr>
        <w:t xml:space="preserve">9.  </w:t>
      </w:r>
      <w:r>
        <w:rPr>
          <w:sz w:val="22"/>
        </w:rPr>
        <w:t>ROI &amp; Business Case</w:t>
      </w:r>
    </w:p>
    <w:p>
      <w:pPr>
        <w:spacing w:after="60"/>
      </w:pPr>
      <w:r>
        <w:rPr>
          <w:b/>
          <w:color w:val="0066FF"/>
          <w:sz w:val="22"/>
        </w:rPr>
        <w:t xml:space="preserve">10.  </w:t>
      </w:r>
      <w:r>
        <w:rPr>
          <w:sz w:val="22"/>
        </w:rPr>
        <w:t>Demo Application</w:t>
      </w:r>
    </w:p>
    <w:p>
      <w:pPr>
        <w:spacing w:after="60"/>
      </w:pPr>
      <w:r>
        <w:rPr>
          <w:b/>
          <w:color w:val="0066FF"/>
          <w:sz w:val="22"/>
        </w:rPr>
        <w:t xml:space="preserve">11.  </w:t>
      </w:r>
      <w:r>
        <w:rPr>
          <w:sz w:val="22"/>
        </w:rPr>
        <w:t>Future Roadmap</w:t>
      </w:r>
    </w:p>
    <w:p>
      <w:pPr>
        <w:spacing w:after="60"/>
      </w:pPr>
      <w:r>
        <w:rPr>
          <w:b/>
          <w:color w:val="0066FF"/>
          <w:sz w:val="22"/>
        </w:rPr>
        <w:t xml:space="preserve">A.  </w:t>
      </w:r>
      <w:r>
        <w:rPr>
          <w:sz w:val="22"/>
        </w:rPr>
        <w:t>Competitive Landscape</w:t>
      </w:r>
    </w:p>
    <w:p>
      <w:pPr>
        <w:spacing w:after="60"/>
      </w:pPr>
      <w:r>
        <w:rPr>
          <w:b/>
          <w:color w:val="0066FF"/>
          <w:sz w:val="22"/>
        </w:rPr>
        <w:t xml:space="preserve">B.  </w:t>
      </w:r>
      <w:r>
        <w:rPr>
          <w:sz w:val="22"/>
        </w:rPr>
        <w:t>Technical Glossary</w:t>
      </w:r>
    </w:p>
    <w:p>
      <w:r>
        <w:br w:type="page"/>
      </w:r>
    </w:p>
    <w:p>
      <w:pPr>
        <w:pStyle w:val="Heading1"/>
      </w:pPr>
      <w:r>
        <w:rPr>
          <w:color w:val="003388"/>
        </w:rPr>
        <w:t>1. Problem Statement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1.1 The AI Hallucination Crisis</w:t>
      </w:r>
    </w:p>
    <w:p>
      <w:pPr>
        <w:spacing w:after="120"/>
        <w:jc w:val="left"/>
      </w:pPr>
      <w:r>
        <w:rPr>
          <w:b w:val="0"/>
          <w:i w:val="0"/>
        </w:rPr>
        <w:t>Large Language Models (LLMs) powering enterprise AI systems frequently generate confident but factually incorrect outputs — a phenomenon known as AI hallucination. These fabricated responses include non-existent legal citations submitted in court filings, incorrect drug dosages recommended to healthcare providers, fabricated financial rates presented to customers, and unauthorized regulatory determinations issued by government AI systems.</w:t>
      </w:r>
    </w:p>
    <w:p>
      <w:pPr>
        <w:pStyle w:val="Heading2"/>
      </w:pPr>
      <w:r>
        <w:rPr>
          <w:color w:val="0066FF"/>
        </w:rPr>
        <w:t>1.2 Scale of the Problem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Annual enterprise losses from AI hallucinations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$67.4 billion</w:t>
            </w:r>
          </w:p>
        </w:tc>
      </w:tr>
      <w:tr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Average cost per critical hallucination incident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$2.4 million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leaders concerned about AI hallucinations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77%</w:t>
            </w:r>
          </w:p>
        </w:tc>
      </w:tr>
      <w:tr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Organizations deploying AI despite these concerns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~70%</w:t>
            </w:r>
          </w:p>
        </w:tc>
      </w:tr>
    </w:tbl>
    <w:p/>
    <w:p>
      <w:pPr>
        <w:pStyle w:val="Heading2"/>
      </w:pPr>
      <w:r>
        <w:rPr>
          <w:color w:val="0066FF"/>
        </w:rPr>
        <w:t>1.3 Root Cause: A Structural Conflict of Interest</w:t>
      </w:r>
    </w:p>
    <w:p>
      <w:pPr>
        <w:spacing w:after="120"/>
        <w:jc w:val="left"/>
      </w:pPr>
      <w:r>
        <w:rPr>
          <w:b w:val="0"/>
          <w:i w:val="0"/>
        </w:rPr>
        <w:t>AI providers (OpenAI, Google, Microsoft, Anthropic) have a fundamental commercial disincentive to solve hallucination at the output layer. Publishing failure rates undermines product adoption. Enterprises are therefore left without a reliable mechanism to verify AI outputs before they cause harm.</w:t>
      </w:r>
    </w:p>
    <w:p>
      <w:pPr>
        <w:pStyle w:val="Heading2"/>
      </w:pPr>
      <w:r>
        <w:rPr>
          <w:color w:val="0066FF"/>
        </w:rPr>
        <w:t>1.4 Real-World Incidents</w:t>
      </w:r>
    </w:p>
    <w:p>
      <w:pPr>
        <w:pStyle w:val="ListBullet"/>
        <w:spacing w:after="60"/>
        <w:ind w:left="360"/>
      </w:pPr>
      <w:r>
        <w:rPr>
          <w:b/>
          <w:color w:val="0066FF"/>
        </w:rPr>
        <w:t>Legal:</w:t>
      </w:r>
      <w:r>
        <w:t xml:space="preserve"> Multiple attorneys sanctioned — some losing their licenses — for submitting AI-generated legal briefs containing fabricated case citations.</w:t>
      </w:r>
    </w:p>
    <w:p>
      <w:pPr>
        <w:pStyle w:val="ListBullet"/>
        <w:spacing w:after="60"/>
        <w:ind w:left="360"/>
      </w:pPr>
      <w:r>
        <w:rPr>
          <w:b/>
          <w:color w:val="0066FF"/>
        </w:rPr>
        <w:t>Healthcare:</w:t>
      </w:r>
      <w:r>
        <w:t xml:space="preserve"> AI clinical tools recommending drug dosages outside FDA-approved ranges, citing non-existent drug interactions.</w:t>
      </w:r>
    </w:p>
    <w:p>
      <w:pPr>
        <w:pStyle w:val="ListBullet"/>
        <w:spacing w:after="60"/>
        <w:ind w:left="360"/>
      </w:pPr>
      <w:r>
        <w:rPr>
          <w:b/>
          <w:color w:val="0066FF"/>
        </w:rPr>
        <w:t>Banking:</w:t>
      </w:r>
      <w:r>
        <w:t xml:space="preserve"> Customer-facing chatbots guaranteeing mortgage rates and promotional terms that do not exist in any product database.</w:t>
      </w:r>
    </w:p>
    <w:p>
      <w:pPr>
        <w:pStyle w:val="ListBullet"/>
        <w:spacing w:after="60"/>
        <w:ind w:left="360"/>
      </w:pPr>
      <w:r>
        <w:rPr>
          <w:b/>
          <w:color w:val="0066FF"/>
        </w:rPr>
        <w:t>Government:</w:t>
      </w:r>
      <w:r>
        <w:t xml:space="preserve"> AI systems issuing unauthorized benefits eligibility determinations not supported by policy.</w:t>
      </w:r>
    </w:p>
    <w:p>
      <w:pPr>
        <w:pStyle w:val="Heading2"/>
      </w:pPr>
      <w:r>
        <w:rPr>
          <w:color w:val="0066FF"/>
        </w:rPr>
        <w:t>1.5 The Compliance Gap</w:t>
      </w:r>
    </w:p>
    <w:p>
      <w:pPr>
        <w:spacing w:after="120"/>
        <w:jc w:val="left"/>
      </w:pPr>
      <w:r>
        <w:rPr>
          <w:b w:val="0"/>
          <w:i w:val="0"/>
        </w:rPr>
        <w:t>Regulatory pressure is accelerating rapidly. Most enterprises currently have no systematic way to demonstrate AI governance compliance.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Enforcement</w:t>
            </w:r>
          </w:p>
        </w:tc>
        <w:tc>
          <w:tcPr>
            <w:tcW w:type="dxa" w:w="475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Requirement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EU AI Act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August 2026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Risk classification, documentation, human oversight, accuracy monitoring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NIST AI RMF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Voluntary (US procurement reference)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Govern, Map, Measure, Manage functions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ISO/IEC 42001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International standard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 management system documentation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SOC 2 Type II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Ongoing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Availability, processing integrity, confidentiality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2. Solution Overview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2.1 What is TrustLayer AI?</w:t>
      </w:r>
    </w:p>
    <w:p>
      <w:pPr>
        <w:spacing w:after="120"/>
        <w:jc w:val="left"/>
      </w:pPr>
      <w:r>
        <w:rPr>
          <w:b w:val="0"/>
          <w:i w:val="0"/>
        </w:rPr>
        <w:t>TrustLayer AI is an enterprise AI reliability platform that acts as a trust layer between an organization's business systems and any LLM provider. It intercepts, analyzes, scores, and acts on every AI-generated response before it reaches an end user or downstream system.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D"/>
          </w:tcPr>
          <w:p>
            <w:pPr>
              <w:spacing w:before="80"/>
            </w:pPr>
            <w:r>
              <w:rPr>
                <w:b/>
                <w:color w:val="0066FF"/>
                <w:sz w:val="22"/>
              </w:rPr>
              <w:t>Core Pipeline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[User Query]  →  [LLM Provider]  →  [TrustLayer AI]  →  [Verified Response or Blocked]</w:t>
            </w:r>
          </w:p>
          <w:p>
            <w:pPr>
              <w:spacing w:before="20" w:after="20"/>
            </w:pPr>
            <w:r>
              <w:rPr>
                <w:sz w:val="20"/>
              </w:rPr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PASS   — Confidence ≥ 75%: Response delivered to user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FLAG   — Confidence 50–74%: Routed to human review queue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BLOCK  — Confidence &lt; 50%: Blocked; fallback action triggered</w:t>
            </w:r>
          </w:p>
          <w:p>
            <w:pPr>
              <w:spacing w:after="80"/>
            </w:pPr>
          </w:p>
        </w:tc>
      </w:tr>
    </w:tbl>
    <w:p/>
    <w:p>
      <w:pPr>
        <w:pStyle w:val="Heading2"/>
      </w:pPr>
      <w:r>
        <w:rPr>
          <w:color w:val="0066FF"/>
        </w:rPr>
        <w:t>2.2 Key Differentiators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Differentiator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Real-time interception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Sub-100ms total pipeline latency — transparent to end users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Multi-technique detection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8 parallel detection algorithms; not a single-point model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data grounding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Verification against your own CRM, policy databases, product catalogs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Domain-specialized modules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Industry-specific risk models for 8 verticals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Built-in compliance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Pre-mapped to EU AI Act, NIST AI RMF, ISO 42001, SOC 2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LLM-agnostic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Works with any model provider — zero vendor lock-in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3. System Architecture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3.1 Deployment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57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Integration Effort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SDK Integration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Import TrustLayer SDK; wrap existing LLM calls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1–2 hours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Redirect LLM traffic through TrustLayer endpoint</w:t>
            </w:r>
          </w:p>
        </w:tc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Zero code changes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On-Premise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Deploy within customer VPC / private cloud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1–2 weeks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SaaS</w:t>
            </w:r>
          </w:p>
        </w:tc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Fully managed cloud service</w:t>
            </w:r>
          </w:p>
        </w:tc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Minutes</w:t>
            </w:r>
          </w:p>
        </w:tc>
      </w:tr>
    </w:tbl>
    <w:p/>
    <w:p>
      <w:pPr>
        <w:pStyle w:val="Heading2"/>
      </w:pPr>
      <w:r>
        <w:rPr>
          <w:color w:val="0066FF"/>
        </w:rPr>
        <w:t>3.2 Pipeline Latency Budget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Latency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 routing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&lt; 2ms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LLM response retrieval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Varies (external)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Parallel detection engine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&lt; 80ms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Scoring and decision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&lt; 5ms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Response delivery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&lt; 5ms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Total TrustLayer overhead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&lt; 100ms</w:t>
            </w:r>
          </w:p>
        </w:tc>
      </w:tr>
    </w:tbl>
    <w:p/>
    <w:p>
      <w:pPr>
        <w:pStyle w:val="Heading2"/>
      </w:pPr>
      <w:r>
        <w:rPr>
          <w:color w:val="0066FF"/>
        </w:rPr>
        <w:t>3.3 Audit Log Schema</w:t>
      </w:r>
    </w:p>
    <w:p>
      <w:pPr>
        <w:spacing w:after="120"/>
        <w:jc w:val="left"/>
      </w:pPr>
      <w:r>
        <w:rPr>
          <w:b w:val="0"/>
          <w:i w:val="0"/>
        </w:rPr>
        <w:t>Every AI interaction processed by TrustLayer generates a structured, immutable audit record: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80"/>
            </w:pPr>
            <w:r>
              <w:rPr>
                <w:b/>
                <w:color w:val="0066FF"/>
                <w:sz w:val="22"/>
              </w:rPr>
              <w:t>Audit Log Fields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interaction_id       Unique UUID per request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timestamp            ISO 8601 datetime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user_query           Original user query text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llm_response         Raw LLM output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detection_scores     All 8 technique scores (0.0–1.0)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confidence_score     Aggregate confidence (0–100)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risk_score           Aggregate risk (0–100)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action               PASS | FLAG | BLOCK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issues_detected      List of specific issue tags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fallback_action      Action taken on BLOCK/FLAG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industry_module      Module applied (e.g., BFSI_Banking)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compliance_tags      Mapped regulatory requirements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4. Detection Engine</w:t>
      </w:r>
    </w:p>
    <w:p>
      <w:pPr>
        <w:spacing w:before="40" w:after="160"/>
        <w:pBdr>
          <w:bottom w:val="single" w:sz="12" w:space="1" w:color="0066FF"/>
        </w:pBdr>
      </w:pPr>
    </w:p>
    <w:p>
      <w:pPr>
        <w:spacing w:after="120"/>
        <w:jc w:val="left"/>
      </w:pPr>
      <w:r>
        <w:rPr>
          <w:b w:val="0"/>
          <w:i w:val="0"/>
        </w:rPr>
        <w:t>TrustLayer AI runs 8 detection techniques in parallel, each targeting a distinct LLM failure mode. Results are aggregated into a unified Confidence Score (0–100) and Risk Score (0–100), which drive the final Pass / Flag / Block decision.</w:t>
      </w:r>
    </w:p>
    <w:p>
      <w:pPr>
        <w:pStyle w:val="Heading2"/>
      </w:pPr>
      <w:r>
        <w:rPr>
          <w:color w:val="0066FF"/>
        </w:rPr>
        <w:t>4.1 Semantic Entropy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87%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45ms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Measures token-level probability distributions. High entropy (spread across many candidate tokens) signals the model is 'guessing'. Best for factual uncertainty and knowledge boundary violations.</w:t>
            </w:r>
          </w:p>
        </w:tc>
      </w:tr>
    </w:tbl>
    <w:p/>
    <w:p>
      <w:pPr>
        <w:pStyle w:val="Heading2"/>
      </w:pPr>
      <w:r>
        <w:rPr>
          <w:color w:val="0066FF"/>
        </w:rPr>
        <w:t>4.2 Self-Consistency Checking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82%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120ms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Samples the same query with varied prompting strategies and checks semantic consistency across responses. Detects logical contradictions and conflicting claims.</w:t>
            </w:r>
          </w:p>
        </w:tc>
      </w:tr>
    </w:tbl>
    <w:p/>
    <w:p>
      <w:pPr>
        <w:pStyle w:val="Heading2"/>
      </w:pPr>
      <w:r>
        <w:rPr>
          <w:color w:val="0066FF"/>
        </w:rPr>
        <w:t>4.3 Source Citation Verification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95%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200ms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Extracts all cited sources; performs real-time lookup against indexed databases, legal repositories, and web endpoints. Best for legal hallucinations and academic citation fabrication.</w:t>
            </w:r>
          </w:p>
        </w:tc>
      </w:tr>
    </w:tbl>
    <w:p/>
    <w:p>
      <w:pPr>
        <w:pStyle w:val="Heading2"/>
      </w:pPr>
      <w:r>
        <w:rPr>
          <w:color w:val="0066FF"/>
        </w:rPr>
        <w:t>4.4 Enterprise Knowledge Grounding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98%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150ms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Extracts factual claims (prices, policies, product specs); validates against connected enterprise systems via real-time API calls. Highest accuracy due to authoritative data sources.</w:t>
            </w:r>
          </w:p>
        </w:tc>
      </w:tr>
    </w:tbl>
    <w:p/>
    <w:p>
      <w:pPr>
        <w:pStyle w:val="Heading2"/>
      </w:pPr>
      <w:r>
        <w:rPr>
          <w:color w:val="0066FF"/>
        </w:rPr>
        <w:t>4.5 Claim Extraction &amp;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91%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35ms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NLP-based extraction and risk-tier classification of assertions: numerical claims, legal determinations, medical recommendations, financial guarantees.</w:t>
            </w:r>
          </w:p>
        </w:tc>
      </w:tr>
    </w:tbl>
    <w:p/>
    <w:p>
      <w:pPr>
        <w:pStyle w:val="Heading2"/>
      </w:pPr>
      <w:r>
        <w:rPr>
          <w:color w:val="0066FF"/>
        </w:rPr>
        <w:t>4.6 Hallucination Pattern Recognition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79%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25ms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Trained classifier on curated hallucination datasets across industries, updated monthly. Fastest technique; acts as first-line pre-screening.</w:t>
            </w:r>
          </w:p>
        </w:tc>
      </w:tr>
    </w:tbl>
    <w:p/>
    <w:p>
      <w:pPr>
        <w:pStyle w:val="Heading2"/>
      </w:pPr>
      <w:r>
        <w:rPr>
          <w:color w:val="0066FF"/>
        </w:rPr>
        <w:t>4.7 Temporal Consistency Checking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93%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40ms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Identifies date-sensitive claims; validates against real-time data feeds (regulatory databases, market data, news indexes). Best for financial rates and regulatory status.</w:t>
            </w:r>
          </w:p>
        </w:tc>
      </w:tr>
    </w:tbl>
    <w:p/>
    <w:p>
      <w:pPr>
        <w:pStyle w:val="Heading2"/>
      </w:pPr>
      <w:r>
        <w:rPr>
          <w:color w:val="0066FF"/>
        </w:rPr>
        <w:t>4.8 Numerical Claim Validation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type="dxa" w:w="734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Use Case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96%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80ms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Parses all numerical assertions (rates, dosages, thresholds, percentages) and validates against authoritative numerical sources. Critical for healthcare and financial use cases.</w:t>
            </w:r>
          </w:p>
        </w:tc>
      </w:tr>
    </w:tbl>
    <w:p/>
    <w:p>
      <w:pPr>
        <w:pStyle w:val="Heading2"/>
      </w:pPr>
      <w:r>
        <w:rPr>
          <w:color w:val="0066FF"/>
        </w:rPr>
        <w:t>4.9 Aggregate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Overall hallucination catch rate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92%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False positive rate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&lt; 3%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End-to-end pipeline latency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&lt; 100ms</w:t>
            </w:r>
          </w:p>
        </w:tc>
      </w:tr>
      <w:tr>
        <w:tc>
          <w:tcPr>
            <w:tcW w:type="dxa" w:w="504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Platform availability SLA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99.9%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5. Industry Modules</w:t>
      </w:r>
    </w:p>
    <w:p>
      <w:pPr>
        <w:spacing w:before="40" w:after="160"/>
        <w:pBdr>
          <w:bottom w:val="single" w:sz="12" w:space="1" w:color="0066FF"/>
        </w:pBdr>
      </w:pPr>
    </w:p>
    <w:p>
      <w:pPr>
        <w:spacing w:after="120"/>
        <w:jc w:val="left"/>
      </w:pPr>
      <w:r>
        <w:rPr>
          <w:b w:val="0"/>
          <w:i w:val="0"/>
        </w:rPr>
        <w:t>TrustLayer AI ships with pre-built, domain-specialized modules including industry-specific risk models, compliance rule sets, and enterprise system integrations.</w:t>
      </w:r>
    </w:p>
    <w:p>
      <w:pPr>
        <w:pStyle w:val="Heading2"/>
      </w:pPr>
      <w:r>
        <w:rPr>
          <w:color w:val="0066FF"/>
        </w:rPr>
        <w:t>5.1 BFSI — Banking &amp; Financial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Hallucination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Fabricated interest rates / APRs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Mortgage rate inquiry → rate fabricated; promotion non-existent; approval guarantee illegal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Unauthorized eligibility determination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Insurance claims: unauthorized coverage determination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Fiduciary violations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Investment advice: unverified return claims; regulatory disclosure missing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color w:val="64748B"/>
          <w:sz w:val="20"/>
        </w:rPr>
        <w:t>Integrations: Core banking, pricing feeds, CRM, compliance policy engines</w:t>
      </w:r>
    </w:p>
    <w:p>
      <w:pPr>
        <w:pStyle w:val="Heading2"/>
      </w:pPr>
      <w:r>
        <w:rPr>
          <w:color w:val="0066FF"/>
        </w:rPr>
        <w:t>5.2 Healthcare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Hallucination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Dangerous drug dosing errors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Metformin 1,000mg/day recommended (FDA: 500mg starting dose)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Fabricated drug interactions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Grapefruit absorption enhancement — no clinical evidence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Missed contraindications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Alcohol + metformin lactic acidosis risk not flagged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color w:val="64748B"/>
          <w:sz w:val="20"/>
        </w:rPr>
        <w:t>Integrations: FDA drug databases, clinical decision support systems, EHR APIs, formulary databases</w:t>
      </w:r>
    </w:p>
    <w:p>
      <w:pPr>
        <w:pStyle w:val="Heading2"/>
      </w:pPr>
      <w:r>
        <w:rPr>
          <w:color w:val="0066FF"/>
        </w:rPr>
        <w:t>5.3 Legal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Hallucination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Fabricated case citations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Morrison v. Tesla Motors (2023, 9th Circuit) — does not exist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Non-existent statutes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AI Liability Act of 2023 — never enacted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Analysis without source document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NDA review performed without actual document content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color w:val="64748B"/>
          <w:sz w:val="20"/>
        </w:rPr>
        <w:t>Integrations: Westlaw, LexisNexis, CourtListener, Federal Register</w:t>
      </w:r>
    </w:p>
    <w:p>
      <w:pPr>
        <w:pStyle w:val="Heading2"/>
      </w:pPr>
      <w:r>
        <w:rPr>
          <w:color w:val="0066FF"/>
        </w:rPr>
        <w:t>5.4 Enterprise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4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Hallucination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Fabricated HR policy details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Incorrect vacation accrual and overtime rules stated as fact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Incorrect IT security guidance</w:t>
            </w:r>
          </w:p>
        </w:tc>
        <w:tc>
          <w:tcPr>
            <w:tcW w:type="dxa" w:w="64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Fabricated VPN server addresses and download URLs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Unauthorized process determinations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Policy interpretations not grounded in actual policy database</w:t>
            </w:r>
          </w:p>
        </w:tc>
      </w:tr>
    </w:tbl>
    <w:p/>
    <w:p>
      <w:pPr>
        <w:spacing w:after="120"/>
        <w:jc w:val="left"/>
      </w:pPr>
      <w:r>
        <w:rPr>
          <w:b w:val="0"/>
          <w:i/>
          <w:color w:val="64748B"/>
          <w:sz w:val="20"/>
        </w:rPr>
        <w:t>Integrations: HRIS, ServiceNow, Active Directory, IT knowledge base</w:t>
      </w:r>
    </w:p>
    <w:p>
      <w:pPr>
        <w:pStyle w:val="Heading2"/>
      </w:pPr>
      <w:r>
        <w:rPr>
          <w:color w:val="0066FF"/>
        </w:rPr>
        <w:t>5.5–5.8 Additional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748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Risk Addressed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Manufacturing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Fabricated QC records, ISO certification claims, engineering spec violations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Retail</w:t>
            </w:r>
          </w:p>
        </w:tc>
        <w:tc>
          <w:tcPr>
            <w:tcW w:type="dxa" w:w="748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Unverified pricing, inventory errors, promotional term fabrication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Telecom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Unauthorized account actions, billing errors, plan misrepresentation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Government</w:t>
            </w:r>
          </w:p>
        </w:tc>
        <w:tc>
          <w:tcPr>
            <w:tcW w:type="dxa" w:w="748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Unauthorized benefits eligibility determinations, policy misinterpretation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6. Compliance &amp; Governance</w:t>
      </w:r>
    </w:p>
    <w:p>
      <w:pPr>
        <w:spacing w:before="40" w:after="160"/>
        <w:pBdr>
          <w:bottom w:val="single" w:sz="12" w:space="1" w:color="0066F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1296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691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Capabilities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EU AI Act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94%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Risk classification, technical documentation, human oversight logging, accuracy monitoring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NIST AI RMF</w:t>
            </w:r>
          </w:p>
        </w:tc>
        <w:tc>
          <w:tcPr>
            <w:tcW w:type="dxa" w:w="1296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89%</w:t>
            </w:r>
          </w:p>
        </w:tc>
        <w:tc>
          <w:tcPr>
            <w:tcW w:type="dxa" w:w="691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Govern, Map, Measure, Manage function coverage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ISO/IEC 42001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82%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 management system documentation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SOC 2 Type II</w:t>
            </w:r>
          </w:p>
        </w:tc>
        <w:tc>
          <w:tcPr>
            <w:tcW w:type="dxa" w:w="1296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97%</w:t>
            </w:r>
          </w:p>
        </w:tc>
        <w:tc>
          <w:tcPr>
            <w:tcW w:type="dxa" w:w="691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Availability, processing integrity, confidentiality controls</w:t>
            </w:r>
          </w:p>
        </w:tc>
      </w:tr>
    </w:tbl>
    <w:p/>
    <w:p>
      <w:pPr>
        <w:pStyle w:val="Heading2"/>
      </w:pPr>
      <w:r>
        <w:rPr>
          <w:color w:val="0066FF"/>
        </w:rPr>
        <w:t>6.1 EU AI Act Readiness (Critical: August 2026)</w:t>
      </w:r>
    </w:p>
    <w:p>
      <w:pPr>
        <w:spacing w:after="120"/>
        <w:jc w:val="left"/>
      </w:pPr>
      <w:r>
        <w:rPr>
          <w:b w:val="0"/>
          <w:i w:val="0"/>
        </w:rPr>
        <w:t>The EU AI Act requires enterprises deploying high-risk AI systems to meet five core obligations. Non-compliance penalties reach up to EUR 35 million or 7% of global annual revenue.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691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TrustLayer Implementation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Risk Classification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TrustLayer auto-classifies each AI deployment by risk tier per Article 6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Technical Documentation</w:t>
            </w:r>
          </w:p>
        </w:tc>
        <w:tc>
          <w:tcPr>
            <w:tcW w:type="dxa" w:w="691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Auto-generated per deployment; audit-ready without manual assembly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Human Oversight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Every FLAG and BLOCK decision creates a human review record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Accuracy Monitoring</w:t>
            </w:r>
          </w:p>
        </w:tc>
        <w:tc>
          <w:tcPr>
            <w:tcW w:type="dxa" w:w="691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Real-time dashboard with historical accuracy trends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Incident Logging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Immutable audit trail for every AI interaction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7. Integration Ecosystem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7.1 LLM Provider Support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Integration Method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OpenAI (GPT-4, GPT-4o)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 + SDK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Anthropic (Claude 3/4)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 + SDK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Google (Gemini)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 + SDK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Azure OpenAI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AWS Bedrock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Meta (Llama, via Bedrock)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Mistral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Open-source / self-hosted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SDK</w:t>
            </w:r>
          </w:p>
        </w:tc>
      </w:tr>
    </w:tbl>
    <w:p/>
    <w:p>
      <w:pPr>
        <w:pStyle w:val="Heading2"/>
      </w:pPr>
      <w:r>
        <w:rPr>
          <w:color w:val="0066FF"/>
        </w:rPr>
        <w:t>7.2 Enterprise Connectors (50+)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79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CRM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Salesforce, HubSpot, Microsoft Dynamics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ERP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SAP, Oracle, Workday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ITSM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ServiceNow, Jira, Zendesk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HRIS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Workday, BambooHR, ADP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Legal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Westlaw, LexisNexis, CourtListener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Healthcare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Epic, Cerner, FDA APIs, Clinical Databases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Financial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Bloomberg, Reuters, Core Banking APIs</w:t>
            </w:r>
          </w:p>
        </w:tc>
      </w:tr>
      <w:tr>
        <w:tc>
          <w:tcPr>
            <w:tcW w:type="dxa" w:w="21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Identity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Active Directory, Okta, Azure AD</w:t>
            </w:r>
          </w:p>
        </w:tc>
      </w:tr>
    </w:tbl>
    <w:p/>
    <w:p>
      <w:pPr>
        <w:pStyle w:val="Heading2"/>
      </w:pPr>
      <w:r>
        <w:rPr>
          <w:color w:val="0066FF"/>
        </w:rPr>
        <w:t>7.3 SDK Integration Example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80"/>
            </w:pPr>
            <w:r>
              <w:rPr>
                <w:b/>
                <w:color w:val="0066FF"/>
                <w:sz w:val="22"/>
              </w:rPr>
              <w:t>Python SDK — 3 lines to integrate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from trustlayer import TrustLayerClient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client = TrustLayerClient(api_key='tl_...', industry='BFSI_Banking')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response = client.verify(query=user_msg, llm_response=openai_response)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if response.action == 'PASS': deliver_to_user(response.content)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elif response.action == 'FLAG': queue_for_review(response)</w:t>
            </w:r>
          </w:p>
          <w:p>
            <w:pPr>
              <w:spacing w:before="20" w:after="20"/>
            </w:pPr>
            <w:r>
              <w:rPr>
                <w:sz w:val="20"/>
              </w:rPr>
              <w:t xml:space="preserve">  else: route_to_fallback(response.fallback_suggestion)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8. Technology Stack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Application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Demo Frontend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Streamlit + Plotly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Interactive hackathon demonstration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FastAPI (Python)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High-performance request routing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Detection Engine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Python + Hugging Face Transformers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NLP-based hallucination detection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Scoring Service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Python + scikit-learn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Ensemble scoring model</w:t>
            </w:r>
          </w:p>
        </w:tc>
      </w:tr>
    </w:tbl>
    <w:p/>
    <w:p>
      <w:pPr>
        <w:pStyle w:val="Heading2"/>
      </w:pPr>
      <w:r>
        <w:rPr>
          <w:color w:val="0066FF"/>
        </w:rPr>
        <w:t>Detection &amp; 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Semantic Analysis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sentence-transformers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Embedding-based entropy measurement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Claim Extraction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spaCy NER + classifiers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Named entity + assertion extraction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Pattern Recognition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Fine-tuned RoBERTa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Hallucination signature classifier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Numerical Validation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Regex + NER pipeline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Numerical entity extraction &amp; validation</w:t>
            </w:r>
          </w:p>
        </w:tc>
      </w:tr>
    </w:tbl>
    <w:p/>
    <w:p>
      <w:pPr>
        <w:pStyle w:val="Heading2"/>
      </w:pPr>
      <w:r>
        <w:rPr>
          <w:color w:val="0066FF"/>
        </w:rPr>
        <w:t>Data &amp; Persistence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Audit Logging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PostgreSQL (append-only)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Immutable interaction audit trail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Real-time Monitoring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TimescaleDB / InfluxDB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Time-series metrics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Cache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Redis (TTL-based)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Fresh enterprise data snapshots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Compliance Reports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Auto-generated PDF/JSON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Regulatory documentation output</w:t>
            </w:r>
          </w:p>
        </w:tc>
      </w:tr>
    </w:tbl>
    <w:p/>
    <w:p>
      <w:pPr>
        <w:pStyle w:val="Heading2"/>
      </w:pPr>
      <w:r>
        <w:rPr>
          <w:color w:val="0066FF"/>
        </w:rPr>
        <w:t>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Containerization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Docker + Docker Compose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Local and staging environments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Orchestration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Kubernetes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Production-scale deployment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Cloud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AWS / Azure / GCP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Multi-cloud; customer-choice</w:t>
            </w:r>
          </w:p>
        </w:tc>
      </w:tr>
      <w:tr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CI/CD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GitHub Actions</w:t>
            </w:r>
          </w:p>
        </w:tc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Automated testing and deployment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9. ROI &amp; Business Case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9.1 Cost of Inaction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Category</w:t>
            </w:r>
          </w:p>
        </w:tc>
        <w:tc>
          <w:tcPr>
            <w:tcW w:type="dxa" w:w="57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Estimated Exposure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Regulatory fines (EU AI Act)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Up to EUR 35M or 7% global annual revenue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Incident remediation</w:t>
            </w:r>
          </w:p>
        </w:tc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$2.4M × number of critical incidents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Legal liability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Uncapped — depends on harm caused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Reputation damage</w:t>
            </w:r>
          </w:p>
        </w:tc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Long-term revenue impact (unquantified)</w:t>
            </w:r>
          </w:p>
        </w:tc>
      </w:tr>
    </w:tbl>
    <w:p/>
    <w:p>
      <w:pPr>
        <w:pStyle w:val="Heading2"/>
      </w:pPr>
      <w:r>
        <w:rPr>
          <w:color w:val="0066FF"/>
        </w:rPr>
        <w:t>9.2 ROI Model (100,000 queries/month)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Without TrustLayer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 TrustLayer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Monthly AI query volume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100,000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100,000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Hallucination rate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15%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15%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Critical incidents / year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~30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~2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Annual exposure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~$72,000,000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~$4,800,000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TrustLayer annual cost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~$500,000</w:t>
            </w:r>
          </w:p>
        </w:tc>
      </w:tr>
      <w:tr>
        <w:tc>
          <w:tcPr>
            <w:tcW w:type="dxa" w:w="43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Net annual benefit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~$65,700,000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ROI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&gt; 400%</w:t>
            </w:r>
          </w:p>
        </w:tc>
      </w:tr>
    </w:tbl>
    <w:p/>
    <w:p>
      <w:pPr>
        <w:pStyle w:val="Heading2"/>
      </w:pPr>
      <w:r>
        <w:rPr>
          <w:color w:val="0066FF"/>
        </w:rPr>
        <w:t>9.3 Time to Value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SDK integration / API gateway setup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1–2 days</w:t>
            </w:r>
          </w:p>
        </w:tc>
      </w:tr>
      <w:tr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Industry module configuration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data source connections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2–3 weeks</w:t>
            </w:r>
          </w:p>
        </w:tc>
      </w:tr>
      <w:tr>
        <w:tc>
          <w:tcPr>
            <w:tcW w:type="dxa" w:w="576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Full production deployment</w:t>
            </w:r>
          </w:p>
        </w:tc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2–4 weeks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First compliance report generated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Day 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10. Demo Application</w:t>
      </w:r>
    </w:p>
    <w:p>
      <w:pPr>
        <w:spacing w:before="40" w:after="160"/>
        <w:pBdr>
          <w:bottom w:val="single" w:sz="12" w:space="1" w:color="0066FF"/>
        </w:pBdr>
      </w:pPr>
    </w:p>
    <w:p>
      <w:pPr>
        <w:spacing w:after="120"/>
        <w:jc w:val="left"/>
      </w:pPr>
      <w:r>
        <w:rPr>
          <w:b w:val="0"/>
          <w:i w:val="0"/>
        </w:rPr>
        <w:t>The TrustLayer AI hackathon demo is a fully interactive Streamlit application demonstrating the platform's capabilities across 9 pages, with 13 live industry scenarios and real-time scoring simulation.</w:t>
      </w:r>
    </w:p>
    <w:p>
      <w:pPr>
        <w:pStyle w:val="Heading2"/>
      </w:pPr>
      <w:r>
        <w:rPr>
          <w:color w:val="0066FF"/>
        </w:rPr>
        <w:t>10.1 Demo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75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Elements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Executive Overview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Market context and platform summary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Market stats, capability cards, industry risk heatmap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Live Detection Demo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Interactive hallucination detection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13 scenarios, real-time scoring animation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Technical Architecture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Detection engine deep-dive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 techniques with accuracy/latency metrics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Industry Solutions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Domain module showcase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8 industry vertical cards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Real-Time Monitoring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Operations dashboard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Query volume chart, detection feed, alerts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Compliance &amp; Governance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Regulatory coverage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EU AI Act, NIST, ISO, SOC 2 coverage meters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Integrations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Ecosystem showcase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8 LLM providers, 50+ enterprise connectors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ROI Calculator</w:t>
            </w:r>
          </w:p>
        </w:tc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Business case tool</w:t>
            </w:r>
          </w:p>
        </w:tc>
        <w:tc>
          <w:tcPr>
            <w:tcW w:type="dxa" w:w="475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Customizable inputs, 12-month projection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API Documentation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Developer resources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SDK examples, API reference, patterns</w:t>
            </w:r>
          </w:p>
        </w:tc>
      </w:tr>
    </w:tbl>
    <w:p/>
    <w:p>
      <w:pPr>
        <w:pStyle w:val="Heading2"/>
      </w:pPr>
      <w:r>
        <w:rPr>
          <w:color w:val="0066FF"/>
        </w:rPr>
        <w:t>10.2 Live Detection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403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58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584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BFSI — Banking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Mortgage rate inquiry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18%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BFSI — Insurance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Claims processing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22%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BFSI — Wealth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Investment advice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31%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Healthcare — Clinical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Drug dosage (metformin)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6%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Healthcare — Admin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Prior authorization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29%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Legal — Litigation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Case research (all fabricated)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4%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Legal — Contract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NDA review (no document)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35%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Enterprise — HR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Policy inquiry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42%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FLAGGED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Enterprise — IT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VPN support (fabricated URL)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38%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FLAGGED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Manufacturing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Quality control records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55%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FLAGGED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Retail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Product inquiry (unverified)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61%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FLAGGED</w:t>
            </w:r>
          </w:p>
        </w:tc>
      </w:tr>
      <w:tr>
        <w:tc>
          <w:tcPr>
            <w:tcW w:type="dxa" w:w="3168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Telecom</w:t>
            </w:r>
          </w:p>
        </w:tc>
        <w:tc>
          <w:tcPr>
            <w:tcW w:type="dxa" w:w="4032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Billing inquiry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27%</w:t>
            </w:r>
          </w:p>
        </w:tc>
        <w:tc>
          <w:tcPr>
            <w:tcW w:type="dxa" w:w="1584"/>
            <w:shd w:val="clear" w:color="auto" w:fill="F0F4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Government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Benefits eligibility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19%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BLOCKED</w:t>
            </w:r>
          </w:p>
        </w:tc>
      </w:tr>
    </w:tbl>
    <w:p/>
    <w:p>
      <w:pPr>
        <w:pStyle w:val="Heading2"/>
      </w:pPr>
      <w:r>
        <w:rPr>
          <w:color w:val="0066FF"/>
        </w:rPr>
        <w:t>10.3 Recommended Demo Flow (15–20 minutes)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47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0–2 min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Executive Overview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$67.4B problem, market urgency</w:t>
            </w:r>
          </w:p>
        </w:tc>
      </w:tr>
      <w:tr>
        <w:tc>
          <w:tcPr>
            <w:tcW w:type="dxa" w:w="172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2–6 min</w:t>
            </w:r>
          </w:p>
        </w:tc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Live Detection Demo</w:t>
            </w:r>
          </w:p>
        </w:tc>
        <w:tc>
          <w:tcPr>
            <w:tcW w:type="dxa" w:w="547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Banking + Healthcare scenarios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6–8 min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Technical Architecture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8 detection techniques, latency</w:t>
            </w:r>
          </w:p>
        </w:tc>
      </w:tr>
      <w:tr>
        <w:tc>
          <w:tcPr>
            <w:tcW w:type="dxa" w:w="172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8–10 min</w:t>
            </w:r>
          </w:p>
        </w:tc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Industry Solutions</w:t>
            </w:r>
          </w:p>
        </w:tc>
        <w:tc>
          <w:tcPr>
            <w:tcW w:type="dxa" w:w="547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BFSI module deep-dive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10–12 min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Compliance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EU AI Act 2026 readiness</w:t>
            </w:r>
          </w:p>
        </w:tc>
      </w:tr>
      <w:tr>
        <w:tc>
          <w:tcPr>
            <w:tcW w:type="dxa" w:w="172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12–15 min</w:t>
            </w:r>
          </w:p>
        </w:tc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ROI Calculator</w:t>
            </w:r>
          </w:p>
        </w:tc>
        <w:tc>
          <w:tcPr>
            <w:tcW w:type="dxa" w:w="547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Customize inputs for audience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15–20 min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Q&amp;A</w:t>
            </w:r>
          </w:p>
        </w:tc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Address technical questions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88"/>
        </w:rPr>
        <w:t>11. Future Roadmap</w:t>
      </w:r>
    </w:p>
    <w:p>
      <w:pPr>
        <w:spacing w:before="40" w:after="160"/>
        <w:pBdr>
          <w:bottom w:val="single" w:sz="12" w:space="1" w:color="0066FF"/>
        </w:pBdr>
      </w:pPr>
    </w:p>
    <w:p>
      <w:pPr>
        <w:pStyle w:val="Heading2"/>
      </w:pPr>
      <w:r>
        <w:rPr>
          <w:color w:val="0066FF"/>
        </w:rPr>
        <w:t>Phase 1 — Current (Hackathon Demo)</w:t>
      </w:r>
    </w:p>
    <w:p>
      <w:pPr>
        <w:pStyle w:val="ListBullet"/>
        <w:spacing w:after="60"/>
        <w:ind w:left="360"/>
      </w:pPr>
      <w:r>
        <w:t>Interactive Streamlit demo with 13 industry scenarios</w:t>
      </w:r>
    </w:p>
    <w:p>
      <w:pPr>
        <w:pStyle w:val="ListBullet"/>
        <w:spacing w:after="60"/>
        <w:ind w:left="360"/>
      </w:pPr>
      <w:r>
        <w:t>Simulated detection engine with realistic scoring</w:t>
      </w:r>
    </w:p>
    <w:p>
      <w:pPr>
        <w:pStyle w:val="ListBullet"/>
        <w:spacing w:after="60"/>
        <w:ind w:left="360"/>
      </w:pPr>
      <w:r>
        <w:t>9-page demo covering all platform capabilities</w:t>
      </w:r>
    </w:p>
    <w:p>
      <w:pPr>
        <w:pStyle w:val="ListBullet"/>
        <w:spacing w:after="60"/>
        <w:ind w:left="360"/>
      </w:pPr>
      <w:r>
        <w:t>EU AI Act, NIST, ISO, SOC 2 compliance dashboards</w:t>
      </w:r>
    </w:p>
    <w:p/>
    <w:p>
      <w:pPr>
        <w:pStyle w:val="Heading2"/>
      </w:pPr>
      <w:r>
        <w:rPr>
          <w:color w:val="0066FF"/>
        </w:rPr>
        <w:t>Phase 2 — MVP (3–6 months)</w:t>
      </w:r>
    </w:p>
    <w:p>
      <w:pPr>
        <w:pStyle w:val="ListBullet"/>
        <w:spacing w:after="60"/>
        <w:ind w:left="360"/>
      </w:pPr>
      <w:r>
        <w:t>Production detection engine with real NLP models</w:t>
      </w:r>
    </w:p>
    <w:p>
      <w:pPr>
        <w:pStyle w:val="ListBullet"/>
        <w:spacing w:after="60"/>
        <w:ind w:left="360"/>
      </w:pPr>
      <w:r>
        <w:t>Live API gateway for LLM traffic interception</w:t>
      </w:r>
    </w:p>
    <w:p>
      <w:pPr>
        <w:pStyle w:val="ListBullet"/>
        <w:spacing w:after="60"/>
        <w:ind w:left="360"/>
      </w:pPr>
      <w:r>
        <w:t>3 enterprise system connectors (Salesforce, ServiceNow, SAP)</w:t>
      </w:r>
    </w:p>
    <w:p>
      <w:pPr>
        <w:pStyle w:val="ListBullet"/>
        <w:spacing w:after="60"/>
        <w:ind w:left="360"/>
      </w:pPr>
      <w:r>
        <w:t>Pilot deployment with 1–2 enterprise customers</w:t>
      </w:r>
    </w:p>
    <w:p>
      <w:pPr>
        <w:pStyle w:val="ListBullet"/>
        <w:spacing w:after="60"/>
        <w:ind w:left="360"/>
      </w:pPr>
      <w:r>
        <w:t>Real audit logging and compliance report generation</w:t>
      </w:r>
    </w:p>
    <w:p/>
    <w:p>
      <w:pPr>
        <w:pStyle w:val="Heading2"/>
      </w:pPr>
      <w:r>
        <w:rPr>
          <w:color w:val="0066FF"/>
        </w:rPr>
        <w:t>Phase 3 — Growth (6–12 months)</w:t>
      </w:r>
    </w:p>
    <w:p>
      <w:pPr>
        <w:pStyle w:val="ListBullet"/>
        <w:spacing w:after="60"/>
        <w:ind w:left="360"/>
      </w:pPr>
      <w:r>
        <w:t>Expand to 50+ enterprise connectors</w:t>
      </w:r>
    </w:p>
    <w:p>
      <w:pPr>
        <w:pStyle w:val="ListBullet"/>
        <w:spacing w:after="60"/>
        <w:ind w:left="360"/>
      </w:pPr>
      <w:r>
        <w:t>Fine-tune industry-specific hallucination detection models</w:t>
      </w:r>
    </w:p>
    <w:p>
      <w:pPr>
        <w:pStyle w:val="ListBullet"/>
        <w:spacing w:after="60"/>
        <w:ind w:left="360"/>
      </w:pPr>
      <w:r>
        <w:t>SOC 2 Type II certification</w:t>
      </w:r>
    </w:p>
    <w:p>
      <w:pPr>
        <w:pStyle w:val="ListBullet"/>
        <w:spacing w:after="60"/>
        <w:ind w:left="360"/>
      </w:pPr>
      <w:r>
        <w:t>Multi-region deployment (US, EU, APAC)</w:t>
      </w:r>
    </w:p>
    <w:p>
      <w:pPr>
        <w:pStyle w:val="ListBullet"/>
        <w:spacing w:after="60"/>
        <w:ind w:left="360"/>
      </w:pPr>
      <w:r>
        <w:t>Self-serve onboarding portal</w:t>
      </w:r>
    </w:p>
    <w:p/>
    <w:p>
      <w:pPr>
        <w:pStyle w:val="Heading2"/>
      </w:pPr>
      <w:r>
        <w:rPr>
          <w:color w:val="0066FF"/>
        </w:rPr>
        <w:t>Phase 4 — Scale (12–24 months)</w:t>
      </w:r>
    </w:p>
    <w:p>
      <w:pPr>
        <w:pStyle w:val="ListBullet"/>
        <w:spacing w:after="60"/>
        <w:ind w:left="360"/>
      </w:pPr>
      <w:r>
        <w:t>EU AI Act compliance certification program</w:t>
      </w:r>
    </w:p>
    <w:p>
      <w:pPr>
        <w:pStyle w:val="ListBullet"/>
        <w:spacing w:after="60"/>
        <w:ind w:left="360"/>
      </w:pPr>
      <w:r>
        <w:t>Marketplace for third-party detection modules</w:t>
      </w:r>
    </w:p>
    <w:p>
      <w:pPr>
        <w:pStyle w:val="ListBullet"/>
        <w:spacing w:after="60"/>
        <w:ind w:left="360"/>
      </w:pPr>
      <w:r>
        <w:t>Federated learning for enterprise-specific models (privacy-preserving)</w:t>
      </w:r>
    </w:p>
    <w:p>
      <w:pPr>
        <w:pStyle w:val="ListBullet"/>
        <w:spacing w:after="60"/>
        <w:ind w:left="360"/>
      </w:pPr>
      <w:r>
        <w:t>Real-time regulatory update pipeline</w:t>
      </w:r>
    </w:p>
    <w:p>
      <w:pPr>
        <w:pStyle w:val="ListBullet"/>
        <w:spacing w:after="60"/>
        <w:ind w:left="360"/>
      </w:pPr>
      <w:r>
        <w:t>Series B fundraising readiness</w:t>
      </w:r>
    </w:p>
    <w:p/>
    <w:p>
      <w:r>
        <w:br w:type="page"/>
      </w:r>
    </w:p>
    <w:p>
      <w:pPr>
        <w:pStyle w:val="Heading1"/>
      </w:pPr>
      <w:r>
        <w:rPr>
          <w:color w:val="003388"/>
        </w:rPr>
        <w:t>Appendix A: Competitive Landscape</w:t>
      </w:r>
    </w:p>
    <w:p>
      <w:pPr>
        <w:spacing w:before="40" w:after="160"/>
        <w:pBdr>
          <w:bottom w:val="single" w:sz="12" w:space="1" w:color="0066F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  <w:tc>
          <w:tcPr>
            <w:tcW w:type="dxa" w:w="2592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Gap vs TrustLayer AI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OpenAI / Google native safety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Provider-built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Conflict of interest; not enterprise-grade governance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Guardrails AI</w:t>
            </w:r>
          </w:p>
        </w:tc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Open-source</w:t>
            </w:r>
          </w:p>
        </w:tc>
        <w:tc>
          <w:tcPr>
            <w:tcW w:type="dxa" w:w="460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No enterprise grounding; no compliance mapping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Arthur AI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Point solution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Monitoring only; no real-time blocking capability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Fiddler AI</w:t>
            </w:r>
          </w:p>
        </w:tc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Point solution</w:t>
            </w:r>
          </w:p>
        </w:tc>
        <w:tc>
          <w:tcPr>
            <w:tcW w:type="dxa" w:w="460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Bias/drift focus; not hallucination-specific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Custom in-house build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DIY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6–12 months; $500K+; ongoing maintenance burden</w:t>
            </w:r>
          </w:p>
        </w:tc>
      </w:tr>
      <w:tr>
        <w:tc>
          <w:tcPr>
            <w:tcW w:type="dxa" w:w="360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TrustLayer AI</w:t>
            </w:r>
          </w:p>
        </w:tc>
        <w:tc>
          <w:tcPr>
            <w:tcW w:type="dxa" w:w="2592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Integrated platform</w:t>
            </w:r>
          </w:p>
        </w:tc>
        <w:tc>
          <w:tcPr>
            <w:tcW w:type="dxa" w:w="4608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Detection + Prevention + Governance in one solution</w:t>
            </w:r>
          </w:p>
        </w:tc>
      </w:tr>
    </w:tbl>
    <w:p/>
    <w:p/>
    <w:p>
      <w:pPr>
        <w:pStyle w:val="Heading1"/>
      </w:pPr>
      <w:r>
        <w:rPr>
          <w:color w:val="003388"/>
        </w:rPr>
        <w:t>Appendix B: Technical Glossary</w:t>
      </w:r>
    </w:p>
    <w:p>
      <w:pPr>
        <w:spacing w:before="40" w:after="160"/>
        <w:pBdr>
          <w:bottom w:val="single" w:sz="12" w:space="1" w:color="0066F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920"/>
            <w:shd w:val="clear" w:color="auto" w:fill="0033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Hallucination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AI-generated content that is confidently stated but factually incorrect or fabricated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Confidence Score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TrustLayer's 0–100 measure of response reliability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Risk Score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TrustLayer's 0–100 measure of potential harm if the response is delivered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Semantic Entropy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Statistical measure of uncertainty in LLM token generation distributions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Enterprise Grounding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Verification of AI claims against authoritative internal data sources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EU AI Act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European Union regulation governing AI systems; full enforcement from August 2026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NIST AI RMF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National Institute of Standards and Technology AI Risk Management Framework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Pass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TrustLayer action: response delivered directly to user (confidence ≥ 75%)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Flag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TrustLayer action: response routed to human review (confidence 50–74%)</w:t>
            </w:r>
          </w:p>
        </w:tc>
      </w:tr>
      <w:tr>
        <w:tc>
          <w:tcPr>
            <w:tcW w:type="dxa" w:w="288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Block</w:t>
            </w:r>
          </w:p>
        </w:tc>
        <w:tc>
          <w:tcPr>
            <w:tcW w:type="dxa" w:w="7920"/>
            <w:shd w:val="clear" w:color="auto" w:fill="F0F4FF"/>
          </w:tcPr>
          <w:p>
            <w:pPr>
              <w:jc w:val="left"/>
            </w:pPr>
            <w:r>
              <w:rPr>
                <w:sz w:val="20"/>
              </w:rPr>
              <w:t>TrustLayer action: response prevented; fallback triggered (confidence &lt; 50%)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8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6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B89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