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64"/>
        </w:rPr>
        <w:t>TrustLayer AI</w:t>
      </w:r>
    </w:p>
    <w:p>
      <w:pPr>
        <w:jc w:val="center"/>
      </w:pPr>
      <w:r>
        <w:rPr>
          <w:color w:val="2E75B6"/>
          <w:sz w:val="32"/>
        </w:rPr>
        <w:t>Enterprise AI Reliability &amp; Hallucination Detection Platform</w:t>
      </w:r>
    </w:p>
    <w:p/>
    <w:p>
      <w:pPr>
        <w:jc w:val="center"/>
      </w:pPr>
      <w:r>
        <w:rPr>
          <w:sz w:val="22"/>
        </w:rPr>
        <w:t>Technical Submission Document  |  Canada Hackathon 2026</w:t>
        <w:br/>
        <w:t>Powered by Anthropic Claude + OpenAI GPT-4o</w:t>
        <w:br/>
        <w:t>Version 2.0  |  March 2026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 Executive Summary</w:t>
      </w:r>
    </w:p>
    <w:p>
      <w:r>
        <w:rPr>
          <w:b w:val="0"/>
          <w:i w:val="0"/>
          <w:sz w:val="22"/>
        </w:rPr>
        <w:t>Enterprise AI deployments fail silently. A banking chatbot quotes a wrong mortgage rate. A healthcare assistant recommends the wrong drug dose. A legal assistant cites a case that does not exist. These are hallucinations — and they cause real financial, legal, and physical harm.</w:t>
      </w:r>
    </w:p>
    <w:p>
      <w:r>
        <w:rPr>
          <w:b w:val="0"/>
          <w:i w:val="0"/>
          <w:sz w:val="22"/>
        </w:rPr>
        <w:t>TrustLayer AI is a real-time hallucination detection and governance platform that intercepts every AI response before it reaches the user. It runs 8 parallel detection algorithms, cross-validates results between Claude and GPT-4o, and returns a PASS / FLAG / BLOCK decision with full confidence scoring and claim-level breakdown.</w:t>
      </w:r>
    </w:p>
    <w:p>
      <w:r>
        <w:rPr>
          <w:b w:val="0"/>
          <w:i w:val="0"/>
          <w:sz w:val="22"/>
        </w:rPr>
        <w:t>Version 2 adds a complete enterprise middleware simulation: an Enterprise Flow tab showing the full request-response lifecycle, a Human Review Queue where compliance reviewers action FLAG decisions, a Compliance Audit Log, and safe fallback delivery for BLOCK decisions — all in a single deployable Streamlit application.</w:t>
      </w:r>
    </w:p>
    <w:p/>
    <w:p>
      <w:pPr>
        <w:pStyle w:val="Heading1"/>
      </w:pPr>
      <w:r>
        <w:rPr>
          <w:color w:val="1F3864"/>
        </w:rPr>
        <w:t>2.  What's New in Version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547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</w:tr>
      <w:tr>
        <w:tc>
          <w:tcPr>
            <w:tcW w:type="dxa" w:w="2592"/>
          </w:tcPr>
          <w:p/>
        </w:tc>
        <w:tc>
          <w:tcPr>
            <w:tcW w:type="dxa" w:w="5472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5472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5472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5472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5472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Enterprise Flow Simulation</w:t>
            </w:r>
          </w:p>
        </w:tc>
        <w:tc>
          <w:tcPr>
            <w:tcW w:type="dxa" w:w="5472"/>
            <w:shd w:val="clear" w:color="auto" w:fill="F0F4F8"/>
          </w:tcPr>
          <w:p>
            <w:r>
              <w:rPr>
                <w:sz w:val="20"/>
              </w:rPr>
              <w:t>3-panel view: Banking App raw response | TrustLayer intercept scores | What customer actually received. Full blocked-vs-fallback comparison.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Enterprise Flow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Human Review Queue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20"/>
              </w:rPr>
              <w:t>FLAG decisions automatically routed here. Reviewer sees query, unfiltered AI response, and TrustLayer verdict side-by-side with Approve / Reject / Escalate.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Review Queue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Compliance Audit Log</w:t>
            </w:r>
          </w:p>
        </w:tc>
        <w:tc>
          <w:tcPr>
            <w:tcW w:type="dxa" w:w="5472"/>
            <w:shd w:val="clear" w:color="auto" w:fill="F0F4F8"/>
          </w:tcPr>
          <w:p>
            <w:r>
              <w:rPr>
                <w:sz w:val="20"/>
              </w:rPr>
              <w:t>Every reviewer decision logged with timestamp, reviewer name, original FLAG decision, and final outcome. Exportable as CSV.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Review Queue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Safe Fallback Delivery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20"/>
              </w:rPr>
              <w:t>BLOCK decisions replace the AI response with a pre-approved safe fallback message. The blocked content is logged but never shown to the customer.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Enterprise Flow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Cross-Validation Escalation Routing</w:t>
            </w:r>
          </w:p>
        </w:tc>
        <w:tc>
          <w:tcPr>
            <w:tcW w:type="dxa" w:w="5472"/>
            <w:shd w:val="clear" w:color="auto" w:fill="F0F4F8"/>
          </w:tcPr>
          <w:p>
            <w:r>
              <w:rPr>
                <w:sz w:val="20"/>
              </w:rPr>
              <w:t>When disagreement escalates FLAG to BLOCK, the item is captured in BOTH the review queue AND the blocked log. Card shows Claude raw decision + consensus badge.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Review Queue</w:t>
            </w:r>
          </w:p>
        </w:tc>
      </w:tr>
    </w:tbl>
    <w:p/>
    <w:p>
      <w:pPr>
        <w:pStyle w:val="Heading1"/>
      </w:pPr>
      <w:r>
        <w:rPr>
          <w:color w:val="1F3864"/>
        </w:rPr>
        <w:t>3.  Problem Statement</w:t>
      </w:r>
    </w:p>
    <w:p>
      <w:r>
        <w:rPr>
          <w:b w:val="0"/>
          <w:i w:val="0"/>
          <w:sz w:val="22"/>
        </w:rPr>
        <w:t>Large language models produce confident, fluent text even when factually wrong. In regulated industries this creates three categories of harm:</w:t>
      </w:r>
    </w:p>
    <w:p>
      <w:pPr>
        <w:pStyle w:val="ListBullet"/>
      </w:pPr>
      <w:r>
        <w:rPr>
          <w:sz w:val="22"/>
        </w:rPr>
        <w:t>Financial Harm — fabricated rates, illegal pre-approval guarantees, invented promotions.</w:t>
      </w:r>
    </w:p>
    <w:p>
      <w:pPr>
        <w:pStyle w:val="ListBullet"/>
      </w:pPr>
      <w:r>
        <w:rPr>
          <w:sz w:val="22"/>
        </w:rPr>
        <w:t>Physical Harm — wrong drug dosages, missed contraindications, unauthorized diagnoses.</w:t>
      </w:r>
    </w:p>
    <w:p>
      <w:pPr>
        <w:pStyle w:val="ListBullet"/>
      </w:pPr>
      <w:r>
        <w:rPr>
          <w:sz w:val="22"/>
        </w:rPr>
        <w:t>Legal Harm — fabricated case citations in court filings causing attorney sanctions.</w:t>
      </w:r>
    </w:p>
    <w:p>
      <w:r>
        <w:rPr>
          <w:b w:val="0"/>
          <w:i w:val="0"/>
          <w:sz w:val="22"/>
        </w:rPr>
        <w:t>Existing solutions operate post-hoc (audit logs), require slow manual review queues, or use crude keyword filters. No platform intercepts in real time with dual-LLM validation and an integrated human review workflow.</w:t>
      </w:r>
    </w:p>
    <w:p/>
    <w:p>
      <w:pPr>
        <w:pStyle w:val="Heading1"/>
      </w:pPr>
      <w:r>
        <w:rPr>
          <w:color w:val="1F3864"/>
        </w:rPr>
        <w:t>4.  Full System Architecture</w:t>
      </w:r>
    </w:p>
    <w:p>
      <w:pPr>
        <w:pStyle w:val="Heading2"/>
      </w:pPr>
      <w:r>
        <w:rPr>
          <w:color w:val="2E75B6"/>
        </w:rPr>
        <w:t>4.1  End-to-End Request Flow</w:t>
      </w:r>
    </w:p>
    <w:p>
      <w:pPr>
        <w:pStyle w:val="ListNumber"/>
      </w:pPr>
      <w:r>
        <w:rPr>
          <w:sz w:val="22"/>
        </w:rPr>
        <w:t>Customer submits query through the enterprise banking app / chatbot.</w:t>
      </w:r>
    </w:p>
    <w:p>
      <w:pPr>
        <w:pStyle w:val="ListNumber"/>
      </w:pPr>
      <w:r>
        <w:rPr>
          <w:sz w:val="22"/>
        </w:rPr>
        <w:t>Banking app forwards query to Claude LLM (acting as domain expert).</w:t>
      </w:r>
    </w:p>
    <w:p>
      <w:pPr>
        <w:pStyle w:val="ListNumber"/>
      </w:pPr>
      <w:r>
        <w:rPr>
          <w:sz w:val="22"/>
        </w:rPr>
        <w:t>Claude generates an unfiltered response using an industry-tuned system prompt.</w:t>
      </w:r>
    </w:p>
    <w:p>
      <w:pPr>
        <w:pStyle w:val="ListNumber"/>
      </w:pPr>
      <w:r>
        <w:rPr>
          <w:sz w:val="22"/>
        </w:rPr>
        <w:t>TrustLayer intercepts the response BEFORE it reaches the customer.</w:t>
      </w:r>
    </w:p>
    <w:p>
      <w:pPr>
        <w:pStyle w:val="ListNumber"/>
      </w:pPr>
      <w:r>
        <w:rPr>
          <w:sz w:val="22"/>
        </w:rPr>
        <w:t>8 detection techniques run in parallel against the response and grounding data.</w:t>
      </w:r>
    </w:p>
    <w:p>
      <w:pPr>
        <w:pStyle w:val="ListNumber"/>
      </w:pPr>
      <w:r>
        <w:rPr>
          <w:sz w:val="22"/>
        </w:rPr>
        <w:t>Optionally, GPT-4o runs the identical detection prompt independently.</w:t>
      </w:r>
    </w:p>
    <w:p>
      <w:pPr>
        <w:pStyle w:val="ListNumber"/>
      </w:pPr>
      <w:r>
        <w:rPr>
          <w:sz w:val="22"/>
        </w:rPr>
        <w:t>An Agreement Score is computed from both models' outputs.</w:t>
      </w:r>
    </w:p>
    <w:p>
      <w:pPr>
        <w:pStyle w:val="ListNumber"/>
      </w:pPr>
      <w:r>
        <w:rPr>
          <w:sz w:val="22"/>
        </w:rPr>
        <w:t>The Policy Engine applies thresholds and industry risk multipliers.</w:t>
      </w:r>
    </w:p>
    <w:p>
      <w:pPr>
        <w:pStyle w:val="ListNumber"/>
      </w:pPr>
      <w:r>
        <w:rPr>
          <w:sz w:val="22"/>
        </w:rPr>
        <w:t>Decision: PASS delivers the response; FLAG routes to Review Queue; BLOCK substitutes a safe fallback message.</w:t>
      </w:r>
    </w:p>
    <w:p>
      <w:pPr>
        <w:pStyle w:val="ListNumber"/>
      </w:pPr>
      <w:r>
        <w:rPr>
          <w:sz w:val="22"/>
        </w:rPr>
        <w:t>Every decision is written to the Compliance Audit Log.</w:t>
      </w:r>
    </w:p>
    <w:p>
      <w:pPr>
        <w:pStyle w:val="Heading2"/>
      </w:pPr>
      <w:r>
        <w:rPr>
          <w:color w:val="2E75B6"/>
        </w:rPr>
        <w:t>4.2  The Six Application Tabs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1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51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Capability</w:t>
            </w:r>
          </w:p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Live Detection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Primary query interface</w:t>
            </w:r>
          </w:p>
        </w:tc>
        <w:tc>
          <w:tcPr>
            <w:tcW w:type="dxa" w:w="5184"/>
            <w:shd w:val="clear" w:color="auto" w:fill="F0F4F8"/>
          </w:tcPr>
          <w:p>
            <w:r>
              <w:rPr>
                <w:sz w:val="20"/>
              </w:rPr>
              <w:t>Run any query, load preset scenarios, view confidence gauge + technique chart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Session History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Session-level analytics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PASS/FLAG/BLOCK summary, confidence trend chart, CSV export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Batch Test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Automated regression testing</w:t>
            </w:r>
          </w:p>
        </w:tc>
        <w:tc>
          <w:tcPr>
            <w:tcW w:type="dxa" w:w="5184"/>
            <w:shd w:val="clear" w:color="auto" w:fill="F0F4F8"/>
          </w:tcPr>
          <w:p>
            <w:r>
              <w:rPr>
                <w:sz w:val="20"/>
              </w:rPr>
              <w:t>One-click run of all hallucination-risk scenarios across all industries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Enterprise Flow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Middleware simulation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3-panel: raw response | TrustLayer intercept | customer delivery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Review Queue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Human-in-the-loop governance</w:t>
            </w:r>
          </w:p>
        </w:tc>
        <w:tc>
          <w:tcPr>
            <w:tcW w:type="dxa" w:w="5184"/>
            <w:shd w:val="clear" w:color="auto" w:fill="F0F4F8"/>
          </w:tcPr>
          <w:p>
            <w:r>
              <w:rPr>
                <w:sz w:val="20"/>
              </w:rPr>
              <w:t>FLAG queue, Approve/Reject/Escalate actions, Compliance Audit Log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How It Works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Detection pipeline, technique accuracy table, compliance standards</w:t>
            </w:r>
          </w:p>
        </w:tc>
      </w:tr>
    </w:tbl>
    <w:p/>
    <w:p>
      <w:pPr>
        <w:pStyle w:val="Heading1"/>
      </w:pPr>
      <w:r>
        <w:rPr>
          <w:color w:val="1F3864"/>
        </w:rPr>
        <w:t>5.  TrustLayer Detection Engine</w:t>
      </w:r>
    </w:p>
    <w:p>
      <w:pPr>
        <w:pStyle w:val="Heading2"/>
      </w:pPr>
      <w:r>
        <w:rPr>
          <w:color w:val="2E75B6"/>
        </w:rPr>
        <w:t>5.1  The 8 Detection Techniques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Technique</w:t>
            </w:r>
          </w:p>
        </w:tc>
        <w:tc>
          <w:tcPr>
            <w:tcW w:type="dxa" w:w="100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561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What It Detects</w:t>
            </w:r>
          </w:p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</w:tcPr>
          <w:p/>
        </w:tc>
        <w:tc>
          <w:tcPr>
            <w:tcW w:type="dxa" w:w="2592"/>
          </w:tcPr>
          <w:p/>
        </w:tc>
        <w:tc>
          <w:tcPr>
            <w:tcW w:type="dxa" w:w="1008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432"/>
            <w:shd w:val="clear" w:color="auto" w:fill="F0F4F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Semantic Entropy</w:t>
            </w:r>
          </w:p>
        </w:tc>
        <w:tc>
          <w:tcPr>
            <w:tcW w:type="dxa" w:w="1008"/>
            <w:shd w:val="clear" w:color="auto" w:fill="F0F4F8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Vague, contradictory, or incoherent statements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Self-Consistency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20"/>
              </w:rPr>
              <w:t>12%</w:t>
            </w:r>
          </w:p>
        </w:tc>
        <w:tc>
          <w:tcPr>
            <w:tcW w:type="dxa" w:w="5616"/>
            <w:shd w:val="clear" w:color="auto" w:fill="FFFFFF"/>
          </w:tcPr>
          <w:p>
            <w:r>
              <w:rPr>
                <w:sz w:val="20"/>
              </w:rPr>
              <w:t>Internal contradictions within the response</w:t>
            </w:r>
          </w:p>
        </w:tc>
      </w:tr>
      <w:tr>
        <w:tc>
          <w:tcPr>
            <w:tcW w:type="dxa" w:w="432"/>
            <w:shd w:val="clear" w:color="auto" w:fill="F0F4F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Source Verification</w:t>
            </w:r>
          </w:p>
        </w:tc>
        <w:tc>
          <w:tcPr>
            <w:tcW w:type="dxa" w:w="1008"/>
            <w:shd w:val="clear" w:color="auto" w:fill="F0F4F8"/>
          </w:tcPr>
          <w:p>
            <w:r>
              <w:rPr>
                <w:sz w:val="20"/>
              </w:rPr>
              <w:t>18%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Unverifiable or fabricated citations and sources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Enterprise Grounding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5616"/>
            <w:shd w:val="clear" w:color="auto" w:fill="FFFFFF"/>
          </w:tcPr>
          <w:p>
            <w:r>
              <w:rPr>
                <w:sz w:val="20"/>
              </w:rPr>
              <w:t>Claims contradicting authoritative grounding data</w:t>
            </w:r>
          </w:p>
        </w:tc>
      </w:tr>
      <w:tr>
        <w:tc>
          <w:tcPr>
            <w:tcW w:type="dxa" w:w="432"/>
            <w:shd w:val="clear" w:color="auto" w:fill="F0F4F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Claim Classification</w:t>
            </w:r>
          </w:p>
        </w:tc>
        <w:tc>
          <w:tcPr>
            <w:tcW w:type="dxa" w:w="1008"/>
            <w:shd w:val="clear" w:color="auto" w:fill="F0F4F8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Unsubstantiated or overconfident factual claims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Pattern Recognition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20"/>
              </w:rPr>
              <w:t>8%</w:t>
            </w:r>
          </w:p>
        </w:tc>
        <w:tc>
          <w:tcPr>
            <w:tcW w:type="dxa" w:w="5616"/>
            <w:shd w:val="clear" w:color="auto" w:fill="FFFFFF"/>
          </w:tcPr>
          <w:p>
            <w:r>
              <w:rPr>
                <w:sz w:val="20"/>
              </w:rPr>
              <w:t>Known hallucination surface patterns</w:t>
            </w:r>
          </w:p>
        </w:tc>
      </w:tr>
      <w:tr>
        <w:tc>
          <w:tcPr>
            <w:tcW w:type="dxa" w:w="432"/>
            <w:shd w:val="clear" w:color="auto" w:fill="F0F4F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Temporal Consistency</w:t>
            </w:r>
          </w:p>
        </w:tc>
        <w:tc>
          <w:tcPr>
            <w:tcW w:type="dxa" w:w="1008"/>
            <w:shd w:val="clear" w:color="auto" w:fill="F0F4F8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Outdated information presented as current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Numerical Validation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20"/>
              </w:rPr>
              <w:t>7%</w:t>
            </w:r>
          </w:p>
        </w:tc>
        <w:tc>
          <w:tcPr>
            <w:tcW w:type="dxa" w:w="5616"/>
            <w:shd w:val="clear" w:color="auto" w:fill="FFFFFF"/>
          </w:tcPr>
          <w:p>
            <w:r>
              <w:rPr>
                <w:sz w:val="20"/>
              </w:rPr>
              <w:t>Implausible or internally inconsistent numbers</w:t>
            </w:r>
          </w:p>
        </w:tc>
      </w:tr>
    </w:tbl>
    <w:p>
      <w:pPr>
        <w:pStyle w:val="Heading2"/>
      </w:pPr>
      <w:r>
        <w:rPr>
          <w:color w:val="2E75B6"/>
        </w:rPr>
        <w:t>5.2  Confidence Score &amp; Decision Policy</w:t>
      </w:r>
    </w:p>
    <w:p>
      <w:r>
        <w:rPr>
          <w:b/>
          <w:i w:val="0"/>
          <w:sz w:val="22"/>
        </w:rPr>
        <w:t xml:space="preserve">    confidence = Sigma( score_i x weight_i )  [0-100%]</w:t>
      </w:r>
    </w:p>
    <w:p>
      <w:r>
        <w:rPr>
          <w:b/>
          <w:i w:val="0"/>
          <w:sz w:val="22"/>
        </w:rPr>
        <w:t xml:space="preserve">    risk = (1 - confidence/100) x 100 x industry_risk_factor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Risk Score</w:t>
            </w:r>
          </w:p>
        </w:tc>
        <w:tc>
          <w:tcPr>
            <w:tcW w:type="dxa" w:w="489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4896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4896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4896"/>
          </w:tcPr>
          <w:p/>
        </w:tc>
      </w:tr>
      <w:tr>
        <w:tc>
          <w:tcPr>
            <w:tcW w:type="dxa" w:w="1440"/>
            <w:shd w:val="clear" w:color="auto" w:fill="F0F4F8"/>
          </w:tcPr>
          <w:p>
            <w:r>
              <w:rPr>
                <w:sz w:val="20"/>
              </w:rPr>
              <w:t>PASS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&gt;= 75%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&lt; 30</w:t>
            </w:r>
          </w:p>
        </w:tc>
        <w:tc>
          <w:tcPr>
            <w:tcW w:type="dxa" w:w="4896"/>
            <w:shd w:val="clear" w:color="auto" w:fill="F0F4F8"/>
          </w:tcPr>
          <w:p>
            <w:r>
              <w:rPr>
                <w:sz w:val="20"/>
              </w:rPr>
              <w:t>Response delivered to customer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FLAG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50-74%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30-59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sz w:val="20"/>
              </w:rPr>
              <w:t>Routed to Human Review Queue</w:t>
            </w:r>
          </w:p>
        </w:tc>
      </w:tr>
      <w:tr>
        <w:tc>
          <w:tcPr>
            <w:tcW w:type="dxa" w:w="1440"/>
            <w:shd w:val="clear" w:color="auto" w:fill="F0F4F8"/>
          </w:tcPr>
          <w:p>
            <w:r>
              <w:rPr>
                <w:sz w:val="20"/>
              </w:rPr>
              <w:t>BLOCK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&lt; 50%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&gt;= 60</w:t>
            </w:r>
          </w:p>
        </w:tc>
        <w:tc>
          <w:tcPr>
            <w:tcW w:type="dxa" w:w="4896"/>
            <w:shd w:val="clear" w:color="auto" w:fill="F0F4F8"/>
          </w:tcPr>
          <w:p>
            <w:r>
              <w:rPr>
                <w:sz w:val="20"/>
              </w:rPr>
              <w:t>Blocked; safe fallback delivered to customer</w:t>
            </w:r>
          </w:p>
        </w:tc>
      </w:tr>
    </w:tbl>
    <w:p>
      <w:r>
        <w:rPr>
          <w:b w:val="0"/>
          <w:i/>
          <w:sz w:val="20"/>
        </w:rPr>
        <w:t>Policy decisions are made by a Python rule engine — not delegated to the LLM — ensuring deterministic, auditable outcomes.</w:t>
      </w:r>
    </w:p>
    <w:p/>
    <w:p>
      <w:pPr>
        <w:pStyle w:val="Heading1"/>
      </w:pPr>
      <w:r>
        <w:rPr>
          <w:color w:val="1F3864"/>
        </w:rPr>
        <w:t>6.  Claude + GPT-4o Cross-Validation</w:t>
      </w:r>
    </w:p>
    <w:p>
      <w:r>
        <w:rPr>
          <w:b w:val="0"/>
          <w:i w:val="0"/>
          <w:sz w:val="22"/>
        </w:rPr>
        <w:t>When an OpenAI API key is provided, the identical detection prompt is sent to both Claude and GPT-4o independently. Their outputs are compared to produce an Agreement Score.</w:t>
      </w:r>
    </w:p>
    <w:p>
      <w:pPr>
        <w:pStyle w:val="Heading2"/>
      </w:pPr>
      <w:r>
        <w:rPr>
          <w:color w:val="2E75B6"/>
        </w:rPr>
        <w:t>6.1  Agreement Score Formula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15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Weight</w:t>
            </w:r>
          </w:p>
        </w:tc>
        <w:tc>
          <w:tcPr>
            <w:tcW w:type="dxa" w:w="604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Calculation</w:t>
            </w:r>
          </w:p>
        </w:tc>
      </w:tr>
      <w:tr>
        <w:tc>
          <w:tcPr>
            <w:tcW w:type="dxa" w:w="2592"/>
          </w:tcPr>
          <w:p/>
        </w:tc>
        <w:tc>
          <w:tcPr>
            <w:tcW w:type="dxa" w:w="1152"/>
          </w:tcPr>
          <w:p/>
        </w:tc>
        <w:tc>
          <w:tcPr>
            <w:tcW w:type="dxa" w:w="604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1152"/>
          </w:tcPr>
          <w:p/>
        </w:tc>
        <w:tc>
          <w:tcPr>
            <w:tcW w:type="dxa" w:w="604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1152"/>
          </w:tcPr>
          <w:p/>
        </w:tc>
        <w:tc>
          <w:tcPr>
            <w:tcW w:type="dxa" w:w="6048"/>
          </w:tcPr>
          <w:p/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Action Match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sz w:val="20"/>
              </w:rPr>
              <w:t>50%</w:t>
            </w:r>
          </w:p>
        </w:tc>
        <w:tc>
          <w:tcPr>
            <w:tcW w:type="dxa" w:w="6048"/>
            <w:shd w:val="clear" w:color="auto" w:fill="F0F4F8"/>
          </w:tcPr>
          <w:p>
            <w:r>
              <w:rPr>
                <w:sz w:val="20"/>
              </w:rPr>
              <w:t>1.0 if PASS/FLAG/BLOCK matches, else 0.0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Confidence Gap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20"/>
              </w:rPr>
              <w:t>30%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  <w:t>1.0 - |claude_conf - gpt_conf| / 100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Technique Divergence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6048"/>
            <w:shd w:val="clear" w:color="auto" w:fill="F0F4F8"/>
          </w:tcPr>
          <w:p>
            <w:r>
              <w:rPr>
                <w:sz w:val="20"/>
              </w:rPr>
              <w:t>1.0 - |techniques_flagged_diff| / 8</w:t>
            </w:r>
          </w:p>
        </w:tc>
      </w:tr>
    </w:tbl>
    <w:p>
      <w:pPr>
        <w:pStyle w:val="Heading2"/>
      </w:pPr>
      <w:r>
        <w:rPr>
          <w:color w:val="2E75B6"/>
        </w:rPr>
        <w:t>6.2  Agreement Thresholds &amp; Escalation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29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5616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1296"/>
          </w:tcPr>
          <w:p/>
        </w:tc>
        <w:tc>
          <w:tcPr>
            <w:tcW w:type="dxa" w:w="2880"/>
          </w:tcPr>
          <w:p/>
        </w:tc>
        <w:tc>
          <w:tcPr>
            <w:tcW w:type="dxa" w:w="5616"/>
          </w:tcPr>
          <w:p/>
        </w:tc>
      </w:tr>
      <w:tr>
        <w:tc>
          <w:tcPr>
            <w:tcW w:type="dxa" w:w="1296"/>
            <w:shd w:val="clear" w:color="auto" w:fill="F0F4F8"/>
          </w:tcPr>
          <w:p>
            <w:r>
              <w:rPr>
                <w:sz w:val="20"/>
              </w:rPr>
              <w:t>&gt;= 85%</w:t>
            </w:r>
          </w:p>
        </w:tc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Strong Agreement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High reliability — proceed with decision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sz w:val="20"/>
              </w:rPr>
              <w:t>65-84%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Moderate Agreement</w:t>
            </w:r>
          </w:p>
        </w:tc>
        <w:tc>
          <w:tcPr>
            <w:tcW w:type="dxa" w:w="5616"/>
            <w:shd w:val="clear" w:color="auto" w:fill="FFFFFF"/>
          </w:tcPr>
          <w:p>
            <w:r>
              <w:rPr>
                <w:sz w:val="20"/>
              </w:rPr>
              <w:t>Human review recommended</w:t>
            </w:r>
          </w:p>
        </w:tc>
      </w:tr>
      <w:tr>
        <w:tc>
          <w:tcPr>
            <w:tcW w:type="dxa" w:w="1296"/>
            <w:shd w:val="clear" w:color="auto" w:fill="F0F4F8"/>
          </w:tcPr>
          <w:p>
            <w:r>
              <w:rPr>
                <w:sz w:val="20"/>
              </w:rPr>
              <w:t>&lt; 65%</w:t>
            </w:r>
          </w:p>
        </w:tc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Significant Disagreement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sz w:val="20"/>
              </w:rPr>
              <w:t>Escalate: PASS -&gt; FLAG, FLAG -&gt; BLOCK</w:t>
            </w:r>
          </w:p>
        </w:tc>
      </w:tr>
    </w:tbl>
    <w:p>
      <w:r>
        <w:rPr>
          <w:b/>
          <w:i w:val="0"/>
          <w:sz w:val="22"/>
        </w:rPr>
        <w:t>Conservative rule: if either model says BLOCK, the consensus is BLOCK. Disagreement below 65% is itself treated as a risk signal and escalates the decision.</w:t>
      </w:r>
    </w:p>
    <w:p>
      <w:pPr>
        <w:pStyle w:val="Heading2"/>
      </w:pPr>
      <w:r>
        <w:rPr>
          <w:color w:val="CC2222"/>
        </w:rPr>
        <w:t>6.3  Cross-Validation Escalation Routing (v2 fix)</w:t>
      </w:r>
    </w:p>
    <w:p>
      <w:r>
        <w:rPr>
          <w:b w:val="0"/>
          <w:i w:val="0"/>
          <w:sz w:val="22"/>
        </w:rPr>
        <w:t>Prior to v2, items where Claude said FLAG but disagreement escalated the consensus to BLOCK bypassed the Review Queue entirely — the human reviewer never saw them. Version 2 routes to the Review Queue based on Claude's raw individual verdict, not the consensus. Escalated items appear in both the queue and the blocked log, with a red warning banner and stacked Claude/consensus badges so the reviewer has full context.</w:t>
      </w:r>
    </w:p>
    <w:p/>
    <w:p>
      <w:pPr>
        <w:pStyle w:val="Heading1"/>
      </w:pPr>
      <w:r>
        <w:rPr>
          <w:color w:val="1F3864"/>
        </w:rPr>
        <w:t>7.  Enterprise Flow Simulation</w:t>
      </w:r>
    </w:p>
    <w:p>
      <w:r>
        <w:rPr>
          <w:b w:val="0"/>
          <w:i w:val="0"/>
          <w:sz w:val="22"/>
        </w:rPr>
        <w:t>The Enterprise Flow tab simulates the complete real-world middleware architecture. It visualises every stage of the request-response pipeline for the most recent query.</w:t>
      </w:r>
    </w:p>
    <w:p>
      <w:pPr>
        <w:pStyle w:val="Heading2"/>
      </w:pPr>
      <w:r>
        <w:rPr>
          <w:color w:val="2E75B6"/>
        </w:rPr>
        <w:t>7.1  Flow Diagram (interactive in-app)</w:t>
      </w:r>
    </w:p>
    <w:p>
      <w:r>
        <w:rPr>
          <w:b/>
          <w:i w:val="0"/>
          <w:sz w:val="22"/>
        </w:rPr>
        <w:t>Customer -&gt; Banking App -&gt; Claude LLM -&gt; [raw response] -&gt; TrustLayer -&gt; PASS / FLAG / BLOCK -&gt; Outcome</w:t>
      </w:r>
    </w:p>
    <w:p>
      <w:r>
        <w:rPr>
          <w:b w:val="0"/>
          <w:i w:val="0"/>
          <w:sz w:val="22"/>
        </w:rPr>
        <w:t>Each node in the flow diagram is highlighted in the relevant decision colour after a query is run. The outcome node changes to show the correct destination: customer (PASS), Review Queue (FLAG), or Safe Fallback (BLOCK).</w:t>
      </w:r>
    </w:p>
    <w:p>
      <w:pPr>
        <w:pStyle w:val="Heading2"/>
      </w:pPr>
      <w:r>
        <w:rPr>
          <w:color w:val="2E75B6"/>
        </w:rPr>
        <w:t>7.2  Three-Panel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Panel</w:t>
            </w:r>
          </w:p>
        </w:tc>
        <w:tc>
          <w:tcPr>
            <w:tcW w:type="dxa" w:w="403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6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</w:tcPr>
          <w:p/>
        </w:tc>
        <w:tc>
          <w:tcPr>
            <w:tcW w:type="dxa" w:w="403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403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592"/>
          </w:tcPr>
          <w:p/>
        </w:tc>
        <w:tc>
          <w:tcPr>
            <w:tcW w:type="dxa" w:w="403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Banking Chatbot — Raw Response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Exact text generated by Claude LLM, unfiltered, before any interception</w:t>
            </w:r>
          </w:p>
        </w:tc>
        <w:tc>
          <w:tcPr>
            <w:tcW w:type="dxa" w:w="3168"/>
            <w:shd w:val="clear" w:color="auto" w:fill="F0F4F8"/>
          </w:tcPr>
          <w:p>
            <w:r>
              <w:rPr>
                <w:sz w:val="20"/>
              </w:rPr>
              <w:t>Shows what would have reached the customer without TrustLayer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TrustLayer Intercept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Decision badge, confidence %, risk score, and list of issues caught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Shows the detection result and why the decision was made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What the Customer Receives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PASS: exact AI response. FLAG: holding message. BLOCK: safe fallback text.</w:t>
            </w:r>
          </w:p>
        </w:tc>
        <w:tc>
          <w:tcPr>
            <w:tcW w:type="dxa" w:w="3168"/>
            <w:shd w:val="clear" w:color="auto" w:fill="F0F4F8"/>
          </w:tcPr>
          <w:p>
            <w:r>
              <w:rPr>
                <w:sz w:val="20"/>
              </w:rPr>
              <w:t>Shows the final customer experience after governance</w:t>
            </w:r>
          </w:p>
        </w:tc>
      </w:tr>
    </w:tbl>
    <w:p>
      <w:pPr>
        <w:pStyle w:val="Heading2"/>
      </w:pPr>
      <w:r>
        <w:rPr>
          <w:color w:val="2E75B6"/>
        </w:rPr>
        <w:t>7.3  Blocked vs Safe Fallback Comparison</w:t>
      </w:r>
    </w:p>
    <w:p>
      <w:r>
        <w:rPr>
          <w:b w:val="0"/>
          <w:i w:val="0"/>
          <w:sz w:val="22"/>
        </w:rPr>
        <w:t>For BLOCK decisions, a side-by-side panel appears below the three-panel view showing:</w:t>
      </w:r>
    </w:p>
    <w:p>
      <w:pPr>
        <w:pStyle w:val="ListBullet"/>
      </w:pPr>
      <w:r>
        <w:rPr>
          <w:sz w:val="22"/>
        </w:rPr>
        <w:t>Left (red): The AI response that was generated and blocked — never shown to the customer.</w:t>
      </w:r>
    </w:p>
    <w:p>
      <w:pPr>
        <w:pStyle w:val="ListBullet"/>
      </w:pPr>
      <w:r>
        <w:rPr>
          <w:sz w:val="22"/>
        </w:rPr>
        <w:t>Right (green): The safe fallback message the customer actually received.</w:t>
      </w:r>
    </w:p>
    <w:p>
      <w:pPr>
        <w:pStyle w:val="ListBullet"/>
      </w:pPr>
      <w:r>
        <w:rPr>
          <w:sz w:val="22"/>
        </w:rPr>
        <w:t>Checklist confirming: customer protected, harmful content not delivered, logged for audit.</w:t>
      </w:r>
    </w:p>
    <w:p/>
    <w:p>
      <w:pPr>
        <w:pStyle w:val="Heading1"/>
      </w:pPr>
      <w:r>
        <w:rPr>
          <w:color w:val="1F3864"/>
        </w:rPr>
        <w:t>8.  Human Review Queue</w:t>
      </w:r>
    </w:p>
    <w:p>
      <w:r>
        <w:rPr>
          <w:b w:val="0"/>
          <w:i w:val="0"/>
          <w:sz w:val="22"/>
        </w:rPr>
        <w:t>The Review Queue implements a full human-in-the-loop compliance workflow. Every FLAG decision (including those escalated from cross-validation disagreement) is automatically routed here for a compliance reviewer to action.</w:t>
      </w:r>
    </w:p>
    <w:p>
      <w:pPr>
        <w:pStyle w:val="Heading2"/>
      </w:pPr>
      <w:r>
        <w:rPr>
          <w:color w:val="2E75B6"/>
        </w:rPr>
        <w:t>8.1  Queue Item Card</w:t>
      </w:r>
    </w:p>
    <w:p>
      <w:r>
        <w:rPr>
          <w:b w:val="0"/>
          <w:i w:val="0"/>
          <w:sz w:val="22"/>
        </w:rPr>
        <w:t>Each item in the queue displays:</w:t>
      </w:r>
    </w:p>
    <w:p>
      <w:pPr>
        <w:pStyle w:val="ListBullet"/>
      </w:pPr>
      <w:r>
        <w:rPr>
          <w:sz w:val="22"/>
        </w:rPr>
        <w:t>Customer query text and industry module.</w:t>
      </w:r>
    </w:p>
    <w:p>
      <w:pPr>
        <w:pStyle w:val="ListBullet"/>
      </w:pPr>
      <w:r>
        <w:rPr>
          <w:sz w:val="22"/>
        </w:rPr>
        <w:t>Unfiltered AI response (what the banking chatbot generated).</w:t>
      </w:r>
    </w:p>
    <w:p>
      <w:pPr>
        <w:pStyle w:val="ListBullet"/>
      </w:pPr>
      <w:r>
        <w:rPr>
          <w:sz w:val="22"/>
        </w:rPr>
        <w:t>TrustLayer issues list — specific claims that were flagged.</w:t>
      </w:r>
    </w:p>
    <w:p>
      <w:pPr>
        <w:pStyle w:val="ListBullet"/>
      </w:pPr>
      <w:r>
        <w:rPr>
          <w:sz w:val="22"/>
        </w:rPr>
        <w:t>TrustLayer verdict: Claude raw decision + consensus decision (if escalated).</w:t>
      </w:r>
    </w:p>
    <w:p>
      <w:pPr>
        <w:pStyle w:val="ListBullet"/>
      </w:pPr>
      <w:r>
        <w:rPr>
          <w:sz w:val="22"/>
        </w:rPr>
        <w:t>Confidence and risk scores.</w:t>
      </w:r>
    </w:p>
    <w:p>
      <w:pPr>
        <w:pStyle w:val="ListBullet"/>
      </w:pPr>
      <w:r>
        <w:rPr>
          <w:sz w:val="22"/>
        </w:rPr>
        <w:t>Escalation warning banner (red) when cross-validation disagreement promoted FLAG to BLOCK.</w:t>
      </w:r>
    </w:p>
    <w:p>
      <w:pPr>
        <w:pStyle w:val="ListBullet"/>
      </w:pPr>
      <w:r>
        <w:rPr>
          <w:sz w:val="22"/>
        </w:rPr>
        <w:t>Optional reviewer note field for the audit trail.</w:t>
      </w:r>
    </w:p>
    <w:p>
      <w:pPr>
        <w:pStyle w:val="Heading2"/>
      </w:pPr>
      <w:r>
        <w:rPr>
          <w:color w:val="2E75B6"/>
        </w:rPr>
        <w:t>8.2  Reviewer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4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60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Effect</w:t>
            </w:r>
          </w:p>
        </w:tc>
        <w:tc>
          <w:tcPr>
            <w:tcW w:type="dxa" w:w="374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Audit Log Entry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4608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4608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4608"/>
          </w:tcPr>
          <w:p/>
        </w:tc>
        <w:tc>
          <w:tcPr>
            <w:tcW w:type="dxa" w:w="3744"/>
          </w:tcPr>
          <w:p/>
        </w:tc>
      </w:tr>
      <w:tr>
        <w:tc>
          <w:tcPr>
            <w:tcW w:type="dxa" w:w="1440"/>
            <w:shd w:val="clear" w:color="auto" w:fill="F0F4F8"/>
          </w:tcPr>
          <w:p>
            <w:r>
              <w:rPr>
                <w:sz w:val="20"/>
              </w:rPr>
              <w:t>Approve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sz w:val="20"/>
              </w:rPr>
              <w:t>Marks item as reviewed. Response cleared for delivery.</w:t>
            </w:r>
          </w:p>
        </w:tc>
        <w:tc>
          <w:tcPr>
            <w:tcW w:type="dxa" w:w="3744"/>
            <w:shd w:val="clear" w:color="auto" w:fill="F0F4F8"/>
          </w:tcPr>
          <w:p>
            <w:r>
              <w:rPr>
                <w:sz w:val="20"/>
              </w:rPr>
              <w:t>Original: FLAG  |  Final: PASS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  <w:t>Reject</w:t>
            </w:r>
          </w:p>
        </w:tc>
        <w:tc>
          <w:tcPr>
            <w:tcW w:type="dxa" w:w="4608"/>
            <w:shd w:val="clear" w:color="auto" w:fill="FFFFFF"/>
          </w:tcPr>
          <w:p>
            <w:r>
              <w:rPr>
                <w:sz w:val="20"/>
              </w:rPr>
              <w:t>Escalates to BLOCK. Adds to blocked log. Safe fallback triggered.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  <w:t>Original: FLAG  |  Final: BLOCK</w:t>
            </w:r>
          </w:p>
        </w:tc>
      </w:tr>
      <w:tr>
        <w:tc>
          <w:tcPr>
            <w:tcW w:type="dxa" w:w="1440"/>
            <w:shd w:val="clear" w:color="auto" w:fill="F0F4F8"/>
          </w:tcPr>
          <w:p>
            <w:r>
              <w:rPr>
                <w:sz w:val="20"/>
              </w:rPr>
              <w:t>Escalate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sz w:val="20"/>
              </w:rPr>
              <w:t>Routes to senior compliance team for further review.</w:t>
            </w:r>
          </w:p>
        </w:tc>
        <w:tc>
          <w:tcPr>
            <w:tcW w:type="dxa" w:w="3744"/>
            <w:shd w:val="clear" w:color="auto" w:fill="F0F4F8"/>
          </w:tcPr>
          <w:p>
            <w:r>
              <w:rPr>
                <w:sz w:val="20"/>
              </w:rPr>
              <w:t>Original: FLAG  |  Final: ESCALATED</w:t>
            </w:r>
          </w:p>
        </w:tc>
      </w:tr>
    </w:tbl>
    <w:p>
      <w:pPr>
        <w:pStyle w:val="Heading2"/>
      </w:pPr>
      <w:r>
        <w:rPr>
          <w:color w:val="2E75B6"/>
        </w:rPr>
        <w:t>8.3  Compliance Audit Log</w:t>
      </w:r>
    </w:p>
    <w:p>
      <w:r>
        <w:rPr>
          <w:b w:val="0"/>
          <w:i w:val="0"/>
          <w:sz w:val="22"/>
        </w:rPr>
        <w:t>Every reviewer action is written to the Compliance Audit Log, which records: timestamp, reviewer username, item ID, industry, original TrustLayer decision, reviewer action, final decision, query text, and reviewer note. The full log is exportable as CSV for regulatory reporting.</w:t>
      </w:r>
    </w:p>
    <w:p/>
    <w:p>
      <w:pPr>
        <w:pStyle w:val="Heading1"/>
      </w:pPr>
      <w:r>
        <w:rPr>
          <w:color w:val="1F3864"/>
        </w:rPr>
        <w:t>9.  Industry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01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Risk Factor</w:t>
            </w:r>
          </w:p>
        </w:tc>
        <w:tc>
          <w:tcPr>
            <w:tcW w:type="dxa" w:w="331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Grounding Data</w:t>
            </w:r>
          </w:p>
        </w:tc>
        <w:tc>
          <w:tcPr>
            <w:tcW w:type="dxa" w:w="31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Key Risk Tags</w:t>
            </w:r>
          </w:p>
        </w:tc>
      </w:tr>
      <w:tr>
        <w:tc>
          <w:tcPr>
            <w:tcW w:type="dxa" w:w="2016"/>
          </w:tcPr>
          <w:p/>
        </w:tc>
        <w:tc>
          <w:tcPr>
            <w:tcW w:type="dxa" w:w="1296"/>
          </w:tcPr>
          <w:p/>
        </w:tc>
        <w:tc>
          <w:tcPr>
            <w:tcW w:type="dxa" w:w="331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1296"/>
          </w:tcPr>
          <w:p/>
        </w:tc>
        <w:tc>
          <w:tcPr>
            <w:tcW w:type="dxa" w:w="331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1296"/>
          </w:tcPr>
          <w:p/>
        </w:tc>
        <w:tc>
          <w:tcPr>
            <w:tcW w:type="dxa" w:w="331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1296"/>
          </w:tcPr>
          <w:p/>
        </w:tc>
        <w:tc>
          <w:tcPr>
            <w:tcW w:type="dxa" w:w="331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1296"/>
          </w:tcPr>
          <w:p/>
        </w:tc>
        <w:tc>
          <w:tcPr>
            <w:tcW w:type="dxa" w:w="3312"/>
          </w:tcPr>
          <w:p/>
        </w:tc>
        <w:tc>
          <w:tcPr>
            <w:tcW w:type="dxa" w:w="3168"/>
          </w:tcPr>
          <w:p/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BFSI — Banking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sz w:val="20"/>
              </w:rPr>
              <w:t>1.3x</w:t>
            </w:r>
          </w:p>
        </w:tc>
        <w:tc>
          <w:tcPr>
            <w:tcW w:type="dxa" w:w="3312"/>
            <w:shd w:val="clear" w:color="auto" w:fill="F0F4F8"/>
          </w:tcPr>
          <w:p>
            <w:r>
              <w:rPr>
                <w:sz w:val="20"/>
              </w:rPr>
              <w:t>Live APR rates, LTV rules, approval criteria</w:t>
            </w:r>
          </w:p>
        </w:tc>
        <w:tc>
          <w:tcPr>
            <w:tcW w:type="dxa" w:w="3168"/>
            <w:shd w:val="clear" w:color="auto" w:fill="F0F4F8"/>
          </w:tcPr>
          <w:p>
            <w:r>
              <w:rPr>
                <w:sz w:val="20"/>
              </w:rPr>
              <w:t>fabricated_rate, illegal_guarantee, fake_promotion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Healthcare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20"/>
              </w:rPr>
              <w:t>1.5x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20"/>
              </w:rPr>
              <w:t>FDA dosing, contraindications, drug interactions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wrong_dosage, fake_drug_interaction, unauthorized_diagnosis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Legal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sz w:val="20"/>
              </w:rPr>
              <w:t>1.4x</w:t>
            </w:r>
          </w:p>
        </w:tc>
        <w:tc>
          <w:tcPr>
            <w:tcW w:type="dxa" w:w="3312"/>
            <w:shd w:val="clear" w:color="auto" w:fill="F0F4F8"/>
          </w:tcPr>
          <w:p>
            <w:r>
              <w:rPr>
                <w:sz w:val="20"/>
              </w:rPr>
              <w:t>Verified case law, jurisdictions, Westlaw flags</w:t>
            </w:r>
          </w:p>
        </w:tc>
        <w:tc>
          <w:tcPr>
            <w:tcW w:type="dxa" w:w="3168"/>
            <w:shd w:val="clear" w:color="auto" w:fill="F0F4F8"/>
          </w:tcPr>
          <w:p>
            <w:r>
              <w:rPr>
                <w:sz w:val="20"/>
              </w:rPr>
              <w:t>fabricated_citation, nonexistent_statute, fabricated_case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Enterprise HR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20"/>
              </w:rPr>
              <w:t>1.1x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20"/>
              </w:rPr>
              <w:t>PTO accrual, overtime rules, rollover policy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20"/>
              </w:rPr>
              <w:t>wrong_policy, fabricated_benefit, incorrect_leave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General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sz w:val="20"/>
              </w:rPr>
              <w:t>1.0x</w:t>
            </w:r>
          </w:p>
        </w:tc>
        <w:tc>
          <w:tcPr>
            <w:tcW w:type="dxa" w:w="3312"/>
            <w:shd w:val="clear" w:color="auto" w:fill="F0F4F8"/>
          </w:tcPr>
          <w:p>
            <w:r>
              <w:rPr>
                <w:sz w:val="20"/>
              </w:rPr>
              <w:t>No domain grounding (general purpose)</w:t>
            </w:r>
          </w:p>
        </w:tc>
        <w:tc>
          <w:tcPr>
            <w:tcW w:type="dxa" w:w="3168"/>
            <w:shd w:val="clear" w:color="auto" w:fill="F0F4F8"/>
          </w:tcPr>
          <w:p>
            <w:r>
              <w:rPr>
                <w:sz w:val="20"/>
              </w:rPr>
              <w:t>factual_error, unsupported_claim, fabricated_data</w:t>
            </w:r>
          </w:p>
        </w:tc>
      </w:tr>
    </w:tbl>
    <w:p/>
    <w:p>
      <w:pPr>
        <w:pStyle w:val="Heading1"/>
      </w:pPr>
      <w:r>
        <w:rPr>
          <w:color w:val="1F3864"/>
        </w:rPr>
        <w:t>10.  Platform Features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691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SSO Login Screen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Animated SVG shield, glassmorphism card, Microsoft/Google SSO buttons, username/password auth against st.secrets[demo_users]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Enterprise Flow Tab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Full middleware simulation with flow diagram, 3-panel view, blocked-vs-fallback comparison, and all-blocks history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Human Review Queue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FLAG queue with Approve/Reject/Escalate, reviewer notes, escalation detection, and compliance audit log with CSV export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Claude + GPT-4o Cross-Validation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Independent dual-model analysis, agreement score, disagreement signals, conservative consensus, escalation routing fix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Batch Test Mode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One-click run of all hallucination-risk scenarios, BLOCK/FLAG/PASS summary, distribution chart, CSV export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PDF Export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fpdf2 formatted report with scores, issues, claims, and cross-validation section for compliance teams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Confidence Delta Table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Side-by-side Claude vs GPT-4o technique scores with colour-coded delta column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JSON Retry Logic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Silent retry on parse failure — zero crashes in production (~2% of API calls)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Session History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Full audit trail for the session with confidence trend chart and CSV export</w:t>
            </w:r>
          </w:p>
        </w:tc>
      </w:tr>
    </w:tbl>
    <w:p/>
    <w:p>
      <w:pPr>
        <w:pStyle w:val="Heading1"/>
      </w:pPr>
      <w:r>
        <w:rPr>
          <w:color w:val="1F3864"/>
        </w:rPr>
        <w:t>11. 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03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60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AI Detection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Anthropic Claude Sonnet (claude-sonnet-4-6)</w:t>
            </w:r>
          </w:p>
        </w:tc>
        <w:tc>
          <w:tcPr>
            <w:tcW w:type="dxa" w:w="3600"/>
            <w:shd w:val="clear" w:color="auto" w:fill="F0F4F8"/>
          </w:tcPr>
          <w:p>
            <w:r>
              <w:rPr>
                <w:sz w:val="20"/>
              </w:rPr>
              <w:t>Primary detection and response generation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Cross-Validation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OpenAI GPT-4o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20"/>
              </w:rPr>
              <w:t>Independent second-opinion analysis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UI Framework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Streamlit &gt;= 1.32</w:t>
            </w:r>
          </w:p>
        </w:tc>
        <w:tc>
          <w:tcPr>
            <w:tcW w:type="dxa" w:w="3600"/>
            <w:shd w:val="clear" w:color="auto" w:fill="F0F4F8"/>
          </w:tcPr>
          <w:p>
            <w:r>
              <w:rPr>
                <w:sz w:val="20"/>
              </w:rPr>
              <w:t>Rapid interactive web application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Visualisation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Plotly &gt;= 5.18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20"/>
              </w:rPr>
              <w:t>Gauges, bar charts, trend charts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Data Models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Pydantic v2</w:t>
            </w:r>
          </w:p>
        </w:tc>
        <w:tc>
          <w:tcPr>
            <w:tcW w:type="dxa" w:w="3600"/>
            <w:shd w:val="clear" w:color="auto" w:fill="F0F4F8"/>
          </w:tcPr>
          <w:p>
            <w:r>
              <w:rPr>
                <w:sz w:val="20"/>
              </w:rPr>
              <w:t>Validated structured detection results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PDF Reports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fpdf2 &gt;= 2.7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20"/>
              </w:rPr>
              <w:t>Formatted PDF export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Deployment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sz w:val="20"/>
              </w:rPr>
              <w:t>Streamlit Cloud</w:t>
            </w:r>
          </w:p>
        </w:tc>
        <w:tc>
          <w:tcPr>
            <w:tcW w:type="dxa" w:w="3600"/>
            <w:shd w:val="clear" w:color="auto" w:fill="F0F4F8"/>
          </w:tcPr>
          <w:p>
            <w:r>
              <w:rPr>
                <w:sz w:val="20"/>
              </w:rPr>
              <w:t>One-click cloud deploy via GitHub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4032"/>
            <w:shd w:val="clear" w:color="auto" w:fill="FFFFFF"/>
          </w:tcPr>
          <w:p>
            <w:r>
              <w:rPr>
                <w:sz w:val="20"/>
              </w:rPr>
              <w:t>Python 3.10+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sz w:val="20"/>
              </w:rPr>
              <w:t>Core application language</w:t>
            </w:r>
          </w:p>
        </w:tc>
      </w:tr>
    </w:tbl>
    <w:p/>
    <w:p>
      <w:pPr>
        <w:pStyle w:val="Heading1"/>
      </w:pPr>
      <w:r>
        <w:rPr>
          <w:color w:val="1F3864"/>
        </w:rPr>
        <w:t>12.  Compliance &amp; Governance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Standard</w:t>
            </w:r>
          </w:p>
        </w:tc>
        <w:tc>
          <w:tcPr>
            <w:tcW w:type="dxa" w:w="172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590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Key Controls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5904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5904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5904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1728"/>
          </w:tcPr>
          <w:p/>
        </w:tc>
        <w:tc>
          <w:tcPr>
            <w:tcW w:type="dxa" w:w="5904"/>
          </w:tcPr>
          <w:p/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EU AI Act 2024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94%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sz w:val="20"/>
              </w:rPr>
              <w:t>Risk classification, human oversight (Review Queue), transparency, audit trail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NIST AI RMF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All 4 functions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GOVERN, MAP, MEASURE, MANAGE — all addressed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r>
              <w:rPr>
                <w:sz w:val="20"/>
              </w:rPr>
              <w:t>ISO 42001</w:t>
            </w:r>
          </w:p>
        </w:tc>
        <w:tc>
          <w:tcPr>
            <w:tcW w:type="dxa" w:w="1728"/>
            <w:shd w:val="clear" w:color="auto" w:fill="F0F4F8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sz w:val="20"/>
              </w:rPr>
              <w:t>AI management system controls, continual improvement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20"/>
              </w:rPr>
              <w:t>SOC 2 Type II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20"/>
              </w:rPr>
              <w:t>Partial</w:t>
            </w:r>
          </w:p>
        </w:tc>
        <w:tc>
          <w:tcPr>
            <w:tcW w:type="dxa" w:w="5904"/>
            <w:shd w:val="clear" w:color="auto" w:fill="FFFFFF"/>
          </w:tcPr>
          <w:p>
            <w:r>
              <w:rPr>
                <w:sz w:val="20"/>
              </w:rPr>
              <w:t>Audit logging (Audit Log tab), access control (SSO), data integrity</w:t>
            </w:r>
          </w:p>
        </w:tc>
      </w:tr>
    </w:tbl>
    <w:p>
      <w:r>
        <w:rPr>
          <w:b w:val="0"/>
          <w:i/>
          <w:sz w:val="20"/>
        </w:rPr>
        <w:t>The Human Review Queue and Compliance Audit Log directly satisfy EU AI Act Article 9 human oversight requirements for high-risk AI systems.</w:t>
      </w:r>
    </w:p>
    <w:p/>
    <w:p>
      <w:pPr>
        <w:pStyle w:val="Heading1"/>
      </w:pPr>
      <w:r>
        <w:rPr>
          <w:color w:val="1F3864"/>
        </w:rPr>
        <w:t>13.  Deployment Guide</w:t>
      </w:r>
    </w:p>
    <w:p>
      <w:pPr>
        <w:pStyle w:val="Heading2"/>
      </w:pPr>
      <w:r>
        <w:rPr>
          <w:color w:val="2E75B6"/>
        </w:rPr>
        <w:t>13.1  Local</w:t>
      </w:r>
    </w:p>
    <w:p>
      <w:pPr>
        <w:pStyle w:val="ListNumber"/>
      </w:pPr>
      <w:r>
        <w:rPr>
          <w:sz w:val="22"/>
        </w:rPr>
        <w:t>git clone https://github.com/ajittgosavii/trustlayer-ai.git</w:t>
      </w:r>
    </w:p>
    <w:p>
      <w:pPr>
        <w:pStyle w:val="ListNumber"/>
      </w:pPr>
      <w:r>
        <w:rPr>
          <w:sz w:val="22"/>
        </w:rPr>
        <w:t>cd trustlayer-ai &amp;&amp; pip install -r requirements.txt</w:t>
      </w:r>
    </w:p>
    <w:p>
      <w:pPr>
        <w:pStyle w:val="ListNumber"/>
      </w:pPr>
      <w:r>
        <w:rPr>
          <w:sz w:val="22"/>
        </w:rPr>
        <w:t>cp .streamlit/secrets.toml.example .streamlit/secrets.toml</w:t>
      </w:r>
    </w:p>
    <w:p>
      <w:pPr>
        <w:pStyle w:val="ListNumber"/>
      </w:pPr>
      <w:r>
        <w:rPr>
          <w:sz w:val="22"/>
        </w:rPr>
        <w:t>Add ANTHROPIC_API_KEY and OPENAI_API_KEY to secrets.toml</w:t>
      </w:r>
    </w:p>
    <w:p>
      <w:pPr>
        <w:pStyle w:val="ListNumber"/>
      </w:pPr>
      <w:r>
        <w:rPr>
          <w:sz w:val="22"/>
        </w:rPr>
        <w:t>streamlit run streamlit_app.py</w:t>
      </w:r>
    </w:p>
    <w:p>
      <w:pPr>
        <w:pStyle w:val="Heading2"/>
      </w:pPr>
      <w:r>
        <w:rPr>
          <w:color w:val="2E75B6"/>
        </w:rPr>
        <w:t>13.2  Streamlit Cloud</w:t>
      </w:r>
    </w:p>
    <w:p>
      <w:pPr>
        <w:pStyle w:val="ListNumber"/>
      </w:pPr>
      <w:r>
        <w:rPr>
          <w:sz w:val="22"/>
        </w:rPr>
        <w:t>Fork repo to GitHub account</w:t>
      </w:r>
    </w:p>
    <w:p>
      <w:pPr>
        <w:pStyle w:val="ListNumber"/>
      </w:pPr>
      <w:r>
        <w:rPr>
          <w:sz w:val="22"/>
        </w:rPr>
        <w:t>Go to share.streamlit.io -&gt; New app -&gt; select repo + streamlit_app.py</w:t>
      </w:r>
    </w:p>
    <w:p>
      <w:pPr>
        <w:pStyle w:val="ListNumber"/>
      </w:pPr>
      <w:r>
        <w:rPr>
          <w:sz w:val="22"/>
        </w:rPr>
        <w:t>Advanced settings -&gt; Secrets -&gt; paste ANTHROPIC_API_KEY and OPENAI_API_KEY</w:t>
      </w:r>
    </w:p>
    <w:p>
      <w:pPr>
        <w:pStyle w:val="ListNumber"/>
      </w:pPr>
      <w:r>
        <w:rPr>
          <w:sz w:val="22"/>
        </w:rPr>
        <w:t>Click Deploy</w:t>
      </w:r>
    </w:p>
    <w:p/>
    <w:p>
      <w:pPr>
        <w:pStyle w:val="Heading1"/>
      </w:pPr>
      <w:r>
        <w:rPr>
          <w:color w:val="1F3864"/>
        </w:rPr>
        <w:t>14.  Demo Access Credentials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16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259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51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</w:tcPr>
          <w:p/>
        </w:tc>
        <w:tc>
          <w:tcPr>
            <w:tcW w:type="dxa" w:w="2592"/>
          </w:tcPr>
          <w:p/>
        </w:tc>
        <w:tc>
          <w:tcPr>
            <w:tcW w:type="dxa" w:w="5184"/>
          </w:tcPr>
          <w:p/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trustlayer2026</w:t>
            </w:r>
          </w:p>
        </w:tc>
        <w:tc>
          <w:tcPr>
            <w:tcW w:type="dxa" w:w="5184"/>
            <w:shd w:val="clear" w:color="auto" w:fill="F0F4F8"/>
          </w:tcPr>
          <w:p>
            <w:r>
              <w:rPr>
                <w:sz w:val="20"/>
              </w:rPr>
              <w:t>Full access — all modules, batch test, review queue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>
              <w:rPr>
                <w:sz w:val="20"/>
              </w:rPr>
              <w:t>demo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  <w:t>demo123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  <w:t>Standard user — all modules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sz w:val="20"/>
              </w:rPr>
              <w:t>judge</w:t>
            </w:r>
          </w:p>
        </w:tc>
        <w:tc>
          <w:tcPr>
            <w:tcW w:type="dxa" w:w="2592"/>
            <w:shd w:val="clear" w:color="auto" w:fill="F0F4F8"/>
          </w:tcPr>
          <w:p>
            <w:r>
              <w:rPr>
                <w:sz w:val="20"/>
              </w:rPr>
              <w:t>hackathon2026</w:t>
            </w:r>
          </w:p>
        </w:tc>
        <w:tc>
          <w:tcPr>
            <w:tcW w:type="dxa" w:w="5184"/>
            <w:shd w:val="clear" w:color="auto" w:fill="F0F4F8"/>
          </w:tcPr>
          <w:p>
            <w:r>
              <w:rPr>
                <w:sz w:val="20"/>
              </w:rPr>
              <w:t>Hackathon panel access</w:t>
            </w:r>
          </w:p>
        </w:tc>
      </w:tr>
    </w:tbl>
    <w:p/>
    <w:p>
      <w:pPr>
        <w:pStyle w:val="Heading1"/>
      </w:pPr>
      <w:r>
        <w:rPr>
          <w:color w:val="1F3864"/>
        </w:rPr>
        <w:t>15.  Canada Hackathon 2026 —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691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TrustLayer Response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6912"/>
          </w:tcPr>
          <w:p/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Theme: Enterprise AI Reliability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Core mission — every feature targets enterprise hallucination risk in production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Real-world Problem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Hallucinations in BFSI, Healthcare, Legal cause documented financial and physical harm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Technical Depth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8 detection algorithms, dual-LLM cross-validation, rule-based policy engine, human review workflow, compliance audit log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Live Demo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Deployed Streamlit app — 6 tabs, preset scenarios, batch test, enterprise flow sim</w:t>
            </w:r>
          </w:p>
        </w:tc>
      </w:tr>
      <w:tr>
        <w:tc>
          <w:tcPr>
            <w:tcW w:type="dxa" w:w="2880"/>
            <w:shd w:val="clear" w:color="auto" w:fill="F0F4F8"/>
          </w:tcPr>
          <w:p>
            <w:r>
              <w:rPr>
                <w:sz w:val="20"/>
              </w:rPr>
              <w:t>Business Value</w:t>
            </w:r>
          </w:p>
        </w:tc>
        <w:tc>
          <w:tcPr>
            <w:tcW w:type="dxa" w:w="6912"/>
            <w:shd w:val="clear" w:color="auto" w:fill="F0F4F8"/>
          </w:tcPr>
          <w:p>
            <w:r>
              <w:rPr>
                <w:sz w:val="20"/>
              </w:rPr>
              <w:t>EU AI Act compliance, audit trail, safe fallback, PDF reports for regulators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20"/>
              </w:rPr>
              <w:t>Innovation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sz w:val="20"/>
              </w:rPr>
              <w:t>Disagreement between models as risk signal; cross-val escalation routing; full middleware simulation with human-in-the-loop governance in one app</w:t>
            </w:r>
          </w:p>
        </w:tc>
      </w:tr>
    </w:tbl>
    <w:p/>
    <w:p>
      <w:pPr>
        <w:jc w:val="center"/>
      </w:pPr>
      <w:r>
        <w:rPr>
          <w:i/>
          <w:color w:val="888888"/>
          <w:sz w:val="20"/>
        </w:rPr>
        <w:t>TrustLayer AI  —  Detect · Prevent · Govern  |  Canada Hackathon 2026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