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M5 CA and Tax Lawyer Sign Off Brief</w:t>
      </w:r>
    </w:p>
    <w:p>
      <w:pPr>
        <w:spacing w:after="280"/>
      </w:pPr>
      <w:r>
        <w:rPr>
          <w:i/>
          <w:sz w:val="22"/>
        </w:rPr>
        <w:t>Encho Stays India domestic stays marketplace and booking settlement design</w:t>
      </w:r>
    </w:p>
    <w:p>
      <w:pPr>
        <w:pStyle w:val="Heading1"/>
      </w:pPr>
      <w:r>
        <w:t>Purpose and requested conclusion</w:t>
      </w:r>
    </w:p>
    <w:p>
      <w:r>
        <w:t>Encho Stays requests written professional advice before implementing Milestone 5, Immutable Quotes and Internal Settlement Snapshots. This brief asks the reviewer to confirm, qualify, or reject the proposed operating model and identify the legally compliant treatment of tax, invoices, collections, commissions, refunds, and host payouts. Encho will not encode statutory rates, issue production invoices, collect guest money, or automate payouts under this milestone until this written sign off is received.</w:t>
      </w:r>
    </w:p>
    <w:p>
      <w:pPr>
        <w:pStyle w:val="Heading1"/>
      </w:pPr>
      <w:r>
        <w:t>Requested reviewer response</w:t>
      </w:r>
    </w:p>
    <w:p>
      <w:r>
        <w:t>Please provide a written response that identifies the applicable law, assumptions, registrations, thresholds, documents, and operational controls. A simple approval without conditions is not sufficient. Where an issue depends on fact, state the fact that must be verified and the interim control Encho should use.</w:t>
      </w:r>
    </w:p>
    <w:p>
      <w:pPr>
        <w:pStyle w:val="Heading1"/>
      </w:pPr>
      <w:r>
        <w:t>Business facts for review</w:t>
      </w:r>
    </w:p>
    <w:tbl>
      <w:tblPr>
        <w:tblStyle w:val="TableGrid"/>
        <w:tblW w:type="auto" w:w="0"/>
        <w:jc w:val="center"/>
        <w:tblLook w:firstColumn="1" w:firstRow="1" w:lastColumn="0" w:lastRow="0" w:noHBand="0" w:noVBand="1" w:val="04A0"/>
      </w:tblPr>
      <w:tblGrid>
        <w:gridCol w:w="4997"/>
        <w:gridCol w:w="4997"/>
      </w:tblGrid>
      <w:tr>
        <w:tc>
          <w:tcPr>
            <w:tcW w:type="dxa" w:w="2088"/>
            <w:shd w:fill="16324F"/>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color w:val="FFFFFF"/>
                <w:sz w:val="18"/>
              </w:rPr>
              <w:t>Topic</w:t>
            </w:r>
          </w:p>
        </w:tc>
        <w:tc>
          <w:tcPr>
            <w:tcW w:type="dxa" w:w="7200"/>
            <w:shd w:fill="16324F"/>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color w:val="FFFFFF"/>
                <w:sz w:val="18"/>
              </w:rPr>
              <w:t>Proposed operating fact</w:t>
            </w:r>
          </w:p>
        </w:tc>
      </w:tr>
      <w:tr>
        <w:tc>
          <w:tcPr>
            <w:tcW w:type="dxa" w:w="2088"/>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Market and scope</w:t>
            </w:r>
          </w:p>
        </w:tc>
        <w:tc>
          <w:tcPr>
            <w:tcW w:type="dxa" w:w="7200"/>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India domestic stays only for the first public launch. Experiences are out of scope.</w:t>
            </w:r>
          </w:p>
        </w:tc>
      </w:tr>
      <w:tr>
        <w:tc>
          <w:tcPr>
            <w:tcW w:type="dxa" w:w="2088"/>
            <w:shd w:fill="F4F7FA"/>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Marketplace role</w:t>
            </w:r>
          </w:p>
        </w:tc>
        <w:tc>
          <w:tcPr>
            <w:tcW w:type="dxa" w:w="7200"/>
            <w:shd w:fill="F4F7FA"/>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The property host remains the accommodation supplier. Encho intends to act as a disclosed marketplace and collection agent.</w:t>
            </w:r>
          </w:p>
        </w:tc>
      </w:tr>
      <w:tr>
        <w:tc>
          <w:tcPr>
            <w:tcW w:type="dxa" w:w="2088"/>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Guest price</w:t>
            </w:r>
          </w:p>
        </w:tc>
        <w:tc>
          <w:tcPr>
            <w:tcW w:type="dxa" w:w="7200"/>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Guests pay the quoted booking total. Encho does not add a booking commission or payment-gateway surcharge to the guest.</w:t>
            </w:r>
          </w:p>
        </w:tc>
      </w:tr>
      <w:tr>
        <w:tc>
          <w:tcPr>
            <w:tcW w:type="dxa" w:w="2088"/>
            <w:shd w:fill="F4F7FA"/>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Host plans</w:t>
            </w:r>
          </w:p>
        </w:tc>
        <w:tc>
          <w:tcPr>
            <w:tcW w:type="dxa" w:w="7200"/>
            <w:shd w:fill="F4F7FA"/>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Flex: default 15 percent booking commission, configurable by an administrator and snapshotted when the booking is confirmed. Growth: ₹4,999 plus applicable GST per property for each rolling 30-day term; confirmed bookings during an active Growth term have 0 percent booking commission.</w:t>
            </w:r>
          </w:p>
        </w:tc>
      </w:tr>
      <w:tr>
        <w:tc>
          <w:tcPr>
            <w:tcW w:type="dxa" w:w="2088"/>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Growth extension</w:t>
            </w:r>
          </w:p>
        </w:tc>
        <w:tc>
          <w:tcPr>
            <w:tcW w:type="dxa" w:w="7200"/>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A new Growth purchase during an active term adds 30 days after the current expiry. It never removes unused active time.</w:t>
            </w:r>
          </w:p>
        </w:tc>
      </w:tr>
      <w:tr>
        <w:tc>
          <w:tcPr>
            <w:tcW w:type="dxa" w:w="2088"/>
            <w:shd w:fill="F4F7FA"/>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Advertising</w:t>
            </w:r>
          </w:p>
        </w:tc>
        <w:tc>
          <w:tcPr>
            <w:tcW w:type="dxa" w:w="7200"/>
            <w:shd w:fill="F4F7FA"/>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Optional and separate from bookings: actual media spend plus a 15 percent optimization and management fee plus applicable statutory taxes.</w:t>
            </w:r>
          </w:p>
        </w:tc>
      </w:tr>
      <w:tr>
        <w:tc>
          <w:tcPr>
            <w:tcW w:type="dxa" w:w="2088"/>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Collections and payout</w:t>
            </w:r>
          </w:p>
        </w:tc>
        <w:tc>
          <w:tcPr>
            <w:tcW w:type="dxa" w:w="7200"/>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Encho expects to receive guest booking funds into its company account and initiate host payout 24 hours after verified check-in. Actual bank credit time depends on gateway and banking settlement cycles.</w:t>
            </w:r>
          </w:p>
        </w:tc>
      </w:tr>
      <w:tr>
        <w:tc>
          <w:tcPr>
            <w:tcW w:type="dxa" w:w="2088"/>
            <w:shd w:fill="F4F7FA"/>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Risk reserve</w:t>
            </w:r>
          </w:p>
        </w:tc>
        <w:tc>
          <w:tcPr>
            <w:tcW w:type="dxa" w:w="7200"/>
            <w:shd w:fill="F4F7FA"/>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New or high-risk hosts may have a default 10 percent rolling reserve for 30 days, with admin-configurable risk rules. Refund deficits may be recovered from future host payouts or reserve balance.</w:t>
            </w:r>
          </w:p>
        </w:tc>
      </w:tr>
      <w:tr>
        <w:tc>
          <w:tcPr>
            <w:tcW w:type="dxa" w:w="2088"/>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Payments</w:t>
            </w:r>
          </w:p>
        </w:tc>
        <w:tc>
          <w:tcPr>
            <w:tcW w:type="dxa" w:w="7200"/>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Razorpay is the intended India payment provider. Gateway charges are intended to be borne by the host and represented only in internal settlement records, not as a guest surcharge.</w:t>
            </w:r>
          </w:p>
        </w:tc>
      </w:tr>
    </w:tbl>
    <w:p>
      <w:pPr>
        <w:spacing w:after="40"/>
      </w:pPr>
    </w:p>
    <w:p>
      <w:pPr>
        <w:pStyle w:val="Heading1"/>
      </w:pPr>
      <w:r>
        <w:t>Milestone 5 technical boundary</w:t>
      </w:r>
    </w:p>
    <w:p>
      <w:r>
        <w:t>M5 will create server-authoritative immutable price quotes, private settlement snapshots, versioned commission policies, and Growth subscription records. It will not permit the browser to submit or alter price, tax, commission, or payout calculations. Booking payment capture and provider webhook fulfillment are reserved for later Milestone 9; invoice issuance and guest confirmation are reserved for Milestone 10; refunds and payouts are reserved for Milestone 11.</w:t>
      </w:r>
    </w:p>
    <w:p>
      <w:pPr>
        <w:pStyle w:val="Heading1"/>
      </w:pPr>
      <w:r>
        <w:t>Questions requiring written sign off</w:t>
      </w:r>
    </w:p>
    <w:tbl>
      <w:tblPr>
        <w:tblStyle w:val="TableGrid"/>
        <w:tblW w:type="auto" w:w="0"/>
        <w:jc w:val="center"/>
        <w:tblLook w:firstColumn="1" w:firstRow="1" w:lastColumn="0" w:lastRow="0" w:noHBand="0" w:noVBand="1" w:val="04A0"/>
      </w:tblPr>
      <w:tblGrid>
        <w:gridCol w:w="4997"/>
        <w:gridCol w:w="4997"/>
      </w:tblGrid>
      <w:tr>
        <w:tc>
          <w:tcPr>
            <w:tcW w:type="dxa" w:w="604"/>
            <w:shd w:fill="16324F"/>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color w:val="FFFFFF"/>
                <w:sz w:val="18"/>
              </w:rPr>
              <w:t>No.</w:t>
            </w:r>
          </w:p>
        </w:tc>
        <w:tc>
          <w:tcPr>
            <w:tcW w:type="dxa" w:w="8683"/>
            <w:shd w:fill="16324F"/>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color w:val="FFFFFF"/>
                <w:sz w:val="18"/>
              </w:rPr>
              <w:t>Question and decision required</w:t>
            </w:r>
          </w:p>
        </w:tc>
      </w:tr>
      <w:tr>
        <w:tc>
          <w:tcPr>
            <w:tcW w:type="dxa" w:w="604"/>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1</w:t>
            </w:r>
          </w:p>
        </w:tc>
        <w:tc>
          <w:tcPr>
            <w:tcW w:type="dxa" w:w="8683"/>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Confirm whether Encho may operate as a disclosed marketplace collection agent for accommodation payments, and list required registrations, agreements, disclosures, and payment-flow constraints.</w:t>
            </w:r>
          </w:p>
        </w:tc>
      </w:tr>
      <w:tr>
        <w:tc>
          <w:tcPr>
            <w:tcW w:type="dxa" w:w="604"/>
            <w:shd w:fill="F4F7FA"/>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2</w:t>
            </w:r>
          </w:p>
        </w:tc>
        <w:tc>
          <w:tcPr>
            <w:tcW w:type="dxa" w:w="8683"/>
            <w:shd w:fill="F4F7FA"/>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Confirm the supplier and issuer of the accommodation invoice. If the host is issuer and Encho generates it on the host’s behalf, specify authorisation, invoice numbering, storage, delivery, and GSTIN requirements.</w:t>
            </w:r>
          </w:p>
        </w:tc>
      </w:tr>
      <w:tr>
        <w:tc>
          <w:tcPr>
            <w:tcW w:type="dxa" w:w="604"/>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3</w:t>
            </w:r>
          </w:p>
        </w:tc>
        <w:tc>
          <w:tcPr>
            <w:tcW w:type="dxa" w:w="8683"/>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Specify GST treatment, registration/threshold implications, place-of-supply treatment, invoicing, and rate display requirements for accommodation charges, Encho Flex commission, Growth subscription, ad optimization fee, and gateway charges.</w:t>
            </w:r>
          </w:p>
        </w:tc>
      </w:tr>
      <w:tr>
        <w:tc>
          <w:tcPr>
            <w:tcW w:type="dxa" w:w="604"/>
            <w:shd w:fill="F4F7FA"/>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4</w:t>
            </w:r>
          </w:p>
        </w:tc>
        <w:tc>
          <w:tcPr>
            <w:tcW w:type="dxa" w:w="8683"/>
            <w:shd w:fill="F4F7FA"/>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Confirm whether TCS, TDS, equalisation levy, e-commerce operator obligations, or other withholding/reporting rules apply; state thresholds, responsible party, timing, records, and reconciliation requirements.</w:t>
            </w:r>
          </w:p>
        </w:tc>
      </w:tr>
      <w:tr>
        <w:tc>
          <w:tcPr>
            <w:tcW w:type="dxa" w:w="604"/>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5</w:t>
            </w:r>
          </w:p>
        </w:tc>
        <w:tc>
          <w:tcPr>
            <w:tcW w:type="dxa" w:w="8683"/>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Confirm whether Encho may deduct its commission and actual gateway cost from host settlement, and identify the contractual disclosure and tax-document requirements for each deduction.</w:t>
            </w:r>
          </w:p>
        </w:tc>
      </w:tr>
      <w:tr>
        <w:tc>
          <w:tcPr>
            <w:tcW w:type="dxa" w:w="604"/>
            <w:shd w:fill="F4F7FA"/>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6</w:t>
            </w:r>
          </w:p>
        </w:tc>
        <w:tc>
          <w:tcPr>
            <w:tcW w:type="dxa" w:w="8683"/>
            <w:shd w:fill="F4F7FA"/>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Specify compliant refund and cancellation handling after host payout, including recovery from future payouts/reserve and any required credit note, debit note, amendment, or ledger treatment.</w:t>
            </w:r>
          </w:p>
        </w:tc>
      </w:tr>
      <w:tr>
        <w:tc>
          <w:tcPr>
            <w:tcW w:type="dxa" w:w="604"/>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7</w:t>
            </w:r>
          </w:p>
        </w:tc>
        <w:tc>
          <w:tcPr>
            <w:tcW w:type="dxa" w:w="8683"/>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Confirm the legal and tax implications of initiating host payout after verified check-in plus 24 hours, and the high-risk reserve policy. State any mandatory escrow, nodal, settlement, or safeguarding arrangement.</w:t>
            </w:r>
          </w:p>
        </w:tc>
      </w:tr>
      <w:tr>
        <w:tc>
          <w:tcPr>
            <w:tcW w:type="dxa" w:w="604"/>
            <w:shd w:fill="F4F7FA"/>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8</w:t>
            </w:r>
          </w:p>
        </w:tc>
        <w:tc>
          <w:tcPr>
            <w:tcW w:type="dxa" w:w="8683"/>
            <w:shd w:fill="F4F7FA"/>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Confirm whether the non-refundable Growth rule is lawful when activated, subject only to duplicate charge, technical failure, or legally required refund. Identify consumer, contract, and GST implications.</w:t>
            </w:r>
          </w:p>
        </w:tc>
      </w:tr>
      <w:tr>
        <w:tc>
          <w:tcPr>
            <w:tcW w:type="dxa" w:w="604"/>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9</w:t>
            </w:r>
          </w:p>
        </w:tc>
        <w:tc>
          <w:tcPr>
            <w:tcW w:type="dxa" w:w="8683"/>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List required terms for hosts and guests: supplier identity, taxes, cancellation, payout, reserve, recovery rights, marketplace role, data processing, dispute handling, and consent.</w:t>
            </w:r>
          </w:p>
        </w:tc>
      </w:tr>
      <w:tr>
        <w:tc>
          <w:tcPr>
            <w:tcW w:type="dxa" w:w="604"/>
            <w:shd w:fill="F4F7FA"/>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10</w:t>
            </w:r>
          </w:p>
        </w:tc>
        <w:tc>
          <w:tcPr>
            <w:tcW w:type="dxa" w:w="8683"/>
            <w:shd w:fill="F4F7FA"/>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Identify mandatory records, retention periods, audit trails, financial reconciliations, and statutory filings relevant to this model.</w:t>
            </w:r>
          </w:p>
        </w:tc>
      </w:tr>
    </w:tbl>
    <w:p>
      <w:pPr>
        <w:spacing w:after="40"/>
      </w:pPr>
    </w:p>
    <w:p>
      <w:pPr>
        <w:pStyle w:val="Heading1"/>
      </w:pPr>
      <w:r>
        <w:t>Controls Encho proposes to implement after approval</w:t>
      </w:r>
    </w:p>
    <w:p>
      <w:pPr>
        <w:ind w:left="259" w:hanging="259"/>
      </w:pPr>
      <w:r>
        <w:rPr>
          <w:b/>
        </w:rPr>
        <w:t xml:space="preserve">• </w:t>
      </w:r>
      <w:r>
        <w:t>Versioned tax and commission policies with effective dates; historical bookings retain the rule snapshot used at confirmation.</w:t>
      </w:r>
    </w:p>
    <w:p>
      <w:pPr>
        <w:ind w:left="259" w:hanging="259"/>
      </w:pPr>
      <w:r>
        <w:rPr>
          <w:b/>
        </w:rPr>
        <w:t xml:space="preserve">• </w:t>
      </w:r>
      <w:r>
        <w:t>Immutable quote, payment, settlement, refund, and payout audit records with amounts stored in paise and currency fixed to INR.</w:t>
      </w:r>
    </w:p>
    <w:p>
      <w:pPr>
        <w:ind w:left="259" w:hanging="259"/>
      </w:pPr>
      <w:r>
        <w:rPr>
          <w:b/>
        </w:rPr>
        <w:t xml:space="preserve">• </w:t>
      </w:r>
      <w:r>
        <w:t>Guest-visible total and tax breakdown before payment; internal host commission and gateway-cost records never exposed to guests.</w:t>
      </w:r>
    </w:p>
    <w:p>
      <w:pPr>
        <w:ind w:left="259" w:hanging="259"/>
      </w:pPr>
      <w:r>
        <w:rPr>
          <w:b/>
        </w:rPr>
        <w:t xml:space="preserve">• </w:t>
      </w:r>
      <w:r>
        <w:t>Separate payment records and idempotency controls for bookings and Growth subscriptions.</w:t>
      </w:r>
    </w:p>
    <w:p>
      <w:pPr>
        <w:ind w:left="259" w:hanging="259"/>
      </w:pPr>
      <w:r>
        <w:rPr>
          <w:b/>
        </w:rPr>
        <w:t xml:space="preserve">• </w:t>
      </w:r>
      <w:r>
        <w:t>No automatic implementation of any statutory rate or invoice form until the reviewer confirms the required rule and effective date.</w:t>
      </w:r>
    </w:p>
    <w:p>
      <w:pPr>
        <w:pStyle w:val="Heading1"/>
      </w:pPr>
      <w:r>
        <w:t>Documents available to the reviewer</w:t>
      </w:r>
    </w:p>
    <w:p>
      <w:r>
        <w:t>The reviewer should request any additional material needed. Encho will provide the following architecture documents and product terms in their current draft form:</w:t>
      </w:r>
    </w:p>
    <w:p>
      <w:pPr>
        <w:ind w:left="259" w:hanging="259"/>
      </w:pPr>
      <w:r>
        <w:rPr>
          <w:b/>
        </w:rPr>
        <w:t xml:space="preserve">• </w:t>
      </w:r>
      <w:r>
        <w:t>Guest Booking Experience V2 Blueprint</w:t>
      </w:r>
    </w:p>
    <w:p>
      <w:pPr>
        <w:ind w:left="259" w:hanging="259"/>
      </w:pPr>
      <w:r>
        <w:rPr>
          <w:b/>
        </w:rPr>
        <w:t xml:space="preserve">• </w:t>
      </w:r>
      <w:r>
        <w:t>Guest Booking Decision Register</w:t>
      </w:r>
    </w:p>
    <w:p>
      <w:pPr>
        <w:ind w:left="259" w:hanging="259"/>
      </w:pPr>
      <w:r>
        <w:rPr>
          <w:b/>
        </w:rPr>
        <w:t xml:space="preserve">• </w:t>
      </w:r>
      <w:r>
        <w:t>Guest Booking V2 Implementation Plan</w:t>
      </w:r>
    </w:p>
    <w:p>
      <w:pPr>
        <w:ind w:left="259" w:hanging="259"/>
      </w:pPr>
      <w:r>
        <w:rPr>
          <w:b/>
        </w:rPr>
        <w:t xml:space="preserve">• </w:t>
      </w:r>
      <w:r>
        <w:t>Draft host terms, guest terms, privacy notice, cancellation policy, payout policy, and Razorpay account and payment-flow details when available.</w:t>
      </w:r>
    </w:p>
    <w:p>
      <w:r>
        <w:br w:type="page"/>
      </w:r>
    </w:p>
    <w:p>
      <w:pPr>
        <w:pStyle w:val="Heading1"/>
      </w:pPr>
      <w:r>
        <w:t>Professional sign off record</w:t>
      </w:r>
    </w:p>
    <w:p>
      <w:r>
        <w:t>Reviewer: Please complete this section and attach a detailed written opinion or schedule of conditions. “Approved” means approved only for the operating facts and controls stated above, subject to the recorded qualifications.</w:t>
      </w:r>
    </w:p>
    <w:tbl>
      <w:tblPr>
        <w:tblStyle w:val="TableGrid"/>
        <w:tblW w:type="auto" w:w="0"/>
        <w:jc w:val="center"/>
        <w:tblLook w:firstColumn="1" w:firstRow="1" w:lastColumn="0" w:lastRow="0" w:noHBand="0" w:noVBand="1" w:val="04A0"/>
      </w:tblPr>
      <w:tblGrid>
        <w:gridCol w:w="4997"/>
        <w:gridCol w:w="4997"/>
      </w:tblGrid>
      <w:tr>
        <w:tc>
          <w:tcPr>
            <w:tcW w:type="dxa" w:w="3096"/>
            <w:shd w:fill="16324F"/>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color w:val="FFFFFF"/>
                <w:sz w:val="18"/>
              </w:rPr>
              <w:t>Decision</w:t>
            </w:r>
          </w:p>
        </w:tc>
        <w:tc>
          <w:tcPr>
            <w:tcW w:type="dxa" w:w="6192"/>
            <w:shd w:fill="16324F"/>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color w:val="FFFFFF"/>
                <w:sz w:val="18"/>
              </w:rPr>
              <w:t>Select one and provide reference</w:t>
            </w:r>
          </w:p>
        </w:tc>
      </w:tr>
      <w:tr>
        <w:tc>
          <w:tcPr>
            <w:tcW w:type="dxa" w:w="3096"/>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Overall position</w:t>
            </w:r>
          </w:p>
        </w:tc>
        <w:tc>
          <w:tcPr>
            <w:tcW w:type="dxa" w:w="6192"/>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 Approved  ☐ Approved with conditions  ☐ Not approved  ☐ More facts required</w:t>
            </w:r>
          </w:p>
        </w:tc>
      </w:tr>
      <w:tr>
        <w:tc>
          <w:tcPr>
            <w:tcW w:type="dxa" w:w="3096"/>
            <w:shd w:fill="F4F7FA"/>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Scope reviewed</w:t>
            </w:r>
          </w:p>
        </w:tc>
        <w:tc>
          <w:tcPr>
            <w:tcW w:type="dxa" w:w="6192"/>
            <w:shd w:fill="F4F7FA"/>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 Marketplace role  ☐ Taxes and invoicing  ☐ Collections and payout  ☐ Refunds and reserves  ☐ Terms and disclosures</w:t>
            </w:r>
          </w:p>
        </w:tc>
      </w:tr>
      <w:tr>
        <w:tc>
          <w:tcPr>
            <w:tcW w:type="dxa" w:w="3096"/>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Written opinion reference</w:t>
            </w:r>
          </w:p>
        </w:tc>
        <w:tc>
          <w:tcPr>
            <w:tcW w:type="dxa" w:w="6192"/>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________________________________________________________________________________</w:t>
            </w:r>
          </w:p>
        </w:tc>
      </w:tr>
      <w:tr>
        <w:tc>
          <w:tcPr>
            <w:tcW w:type="dxa" w:w="3096"/>
            <w:shd w:fill="F4F7FA"/>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Required changes before implementation</w:t>
            </w:r>
          </w:p>
        </w:tc>
        <w:tc>
          <w:tcPr>
            <w:tcW w:type="dxa" w:w="6192"/>
            <w:shd w:fill="F4F7FA"/>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________________________________________________________________________________</w:t>
              <w:br/>
              <w:t>________________________________________________________________________________</w:t>
            </w:r>
          </w:p>
        </w:tc>
      </w:tr>
      <w:tr>
        <w:tc>
          <w:tcPr>
            <w:tcW w:type="dxa" w:w="3096"/>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Reviewer name and firm</w:t>
            </w:r>
          </w:p>
        </w:tc>
        <w:tc>
          <w:tcPr>
            <w:tcW w:type="dxa" w:w="6192"/>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________________________________________________________________________________</w:t>
            </w:r>
          </w:p>
        </w:tc>
      </w:tr>
      <w:tr>
        <w:tc>
          <w:tcPr>
            <w:tcW w:type="dxa" w:w="3096"/>
            <w:shd w:fill="F4F7FA"/>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Professional registration and jurisdiction</w:t>
            </w:r>
          </w:p>
        </w:tc>
        <w:tc>
          <w:tcPr>
            <w:tcW w:type="dxa" w:w="6192"/>
            <w:shd w:fill="F4F7FA"/>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________________________________________________________________________________</w:t>
            </w:r>
          </w:p>
        </w:tc>
      </w:tr>
      <w:tr>
        <w:tc>
          <w:tcPr>
            <w:tcW w:type="dxa" w:w="3096"/>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Signature and date</w:t>
            </w:r>
          </w:p>
        </w:tc>
        <w:tc>
          <w:tcPr>
            <w:tcW w:type="dxa" w:w="6192"/>
            <w:tcBorders>
              <w:top w:val="single" w:sz="6" w:color="D9D9D9"/>
              <w:left w:val="single" w:sz="6" w:color="D9D9D9"/>
              <w:bottom w:val="single" w:sz="6" w:color="D9D9D9"/>
              <w:right w:val="single" w:sz="6" w:color="D9D9D9"/>
            </w:tcBorders>
            <w:tcMar>
              <w:top w:w="110" w:type="dxa"/>
              <w:start w:w="110" w:type="dxa"/>
              <w:bottom w:w="110" w:type="dxa"/>
              <w:end w:w="110" w:type="dxa"/>
            </w:tcMar>
            <w:vAlign w:val="center"/>
          </w:tcPr>
          <w:p>
            <w:pPr>
              <w:spacing w:after="0"/>
            </w:pPr>
            <w:r>
              <w:rPr>
                <w:rFonts w:ascii="Aptos" w:hAnsi="Aptos"/>
                <w:b w:val="0"/>
                <w:sz w:val="18"/>
              </w:rPr>
              <w:t>________________________________________________________________________________</w:t>
            </w:r>
          </w:p>
        </w:tc>
      </w:tr>
    </w:tbl>
    <w:p>
      <w:pPr>
        <w:spacing w:after="40"/>
      </w:pPr>
    </w:p>
    <w:p>
      <w:pPr>
        <w:pStyle w:val="Heading2"/>
      </w:pPr>
      <w:r>
        <w:t>Reviewer detailed opinion and conditions</w:t>
      </w:r>
    </w:p>
    <w:p>
      <w:r>
        <w:rPr>
          <w:i/>
        </w:rPr>
        <w:t>Attach a separate opinion if more space is required.</w:t>
      </w:r>
    </w:p>
    <w:p>
      <w:pPr>
        <w:spacing w:after="140"/>
      </w:pPr>
      <w:r>
        <w:t>________________________________________________________________________________________________</w:t>
      </w:r>
    </w:p>
    <w:p>
      <w:pPr>
        <w:spacing w:after="140"/>
      </w:pPr>
      <w:r>
        <w:t>________________________________________________________________________________________________</w:t>
      </w:r>
    </w:p>
    <w:p>
      <w:pPr>
        <w:spacing w:after="140"/>
      </w:pPr>
      <w:r>
        <w:t>________________________________________________________________________________________________</w:t>
      </w:r>
    </w:p>
    <w:p>
      <w:pPr>
        <w:spacing w:after="140"/>
      </w:pPr>
      <w:r>
        <w:t>________________________________________________________________________________________________</w:t>
      </w:r>
    </w:p>
    <w:p>
      <w:pPr>
        <w:spacing w:after="140"/>
      </w:pPr>
      <w:r>
        <w:t>________________________________________________________________________________________________</w:t>
      </w:r>
    </w:p>
    <w:p>
      <w:pPr>
        <w:spacing w:after="140"/>
      </w:pPr>
      <w:r>
        <w:t>________________________________________________________________________________________________</w:t>
      </w:r>
    </w:p>
    <w:p>
      <w:pPr>
        <w:spacing w:after="140"/>
      </w:pPr>
      <w:r>
        <w:t>________________________________________________________________________________________________</w:t>
      </w:r>
    </w:p>
    <w:p>
      <w:r>
        <w:rPr>
          <w:i/>
        </w:rPr>
        <w:t>Important: this brief is a request for professional advice. It is not legal or tax advice, does not state statutory rates, and must not be treated as a substitute for the reviewer’s written opinion.</w:t>
      </w:r>
    </w:p>
    <w:sectPr w:rsidR="00FC693F" w:rsidRPr="0006063C" w:rsidSect="00034616">
      <w:footerReference w:type="default" r:id="rId9"/>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6"/>
      </w:rPr>
      <w:t>Encho Stays  |  M5 professional review brief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