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GUIDELINE FOR ICOMESH ABSTRACT</w:t>
      </w:r>
    </w:p>
    <w:p w:rsidR="00000000" w:rsidDel="00000000" w:rsidP="00000000" w:rsidRDefault="00000000" w:rsidRPr="00000000" w14:paraId="00000002">
      <w:pPr>
        <w:shd w:fill="ffffff" w:val="clea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4">
      <w:pPr>
        <w:shd w:fill="ffffff" w:val="clear"/>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All abstracts must be prepared according to the following instructions: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The abstract must be written in English.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Abstract title is limited to 20 words.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Abstract is limited to</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250-300 words (this does not include the title, author’s names, institutions and keywords).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Abstract must be in a structured form, including (but not limited to) background,</w:t>
      </w:r>
      <w:r w:rsidDel="00000000" w:rsidR="00000000" w:rsidRPr="00000000">
        <w:rPr>
          <w:rFonts w:ascii="Times New Roman" w:cs="Times New Roman" w:eastAsia="Times New Roman" w:hAnsi="Times New Roman"/>
          <w:color w:val="222222"/>
          <w:rtl w:val="0"/>
        </w:rPr>
        <w:t xml:space="preserve"> objective</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methods, result, and conclusion.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Abstract not more than 1 page (size A4).</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Keywords are limited to 5 words.</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715"/>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2715"/>
        </w:tabs>
        <w:spacing w:line="276"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Please save your abstract in Microsoft Word file, with this following file name instruction:</w:t>
      </w:r>
    </w:p>
    <w:p w:rsidR="00000000" w:rsidDel="00000000" w:rsidP="00000000" w:rsidRDefault="00000000" w:rsidRPr="00000000" w14:paraId="0000000E">
      <w:pPr>
        <w:spacing w:line="276"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File name : participant’s name_abstract_icomesh</w:t>
      </w:r>
    </w:p>
    <w:p w:rsidR="00000000" w:rsidDel="00000000" w:rsidP="00000000" w:rsidRDefault="00000000" w:rsidRPr="00000000" w14:paraId="0000000F">
      <w:pPr>
        <w:spacing w:line="276"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Example   : rahayu_abstract_icomesh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1f497d"/>
          <w:sz w:val="32"/>
          <w:szCs w:val="32"/>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3">
      <w:pPr>
        <w:tabs>
          <w:tab w:val="left" w:leader="none" w:pos="1429"/>
          <w:tab w:val="right" w:leader="none" w:pos="8300"/>
        </w:tabs>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(Example Abstract for 1</w:t>
      </w:r>
      <w:r w:rsidDel="00000000" w:rsidR="00000000" w:rsidRPr="00000000">
        <w:rPr>
          <w:b w:val="1"/>
          <w:vertAlign w:val="superscript"/>
          <w:rtl w:val="0"/>
        </w:rPr>
        <w:t xml:space="preserve">st</w:t>
      </w:r>
      <w:r w:rsidDel="00000000" w:rsidR="00000000" w:rsidRPr="00000000">
        <w:rPr>
          <w:rFonts w:ascii="Times New Roman" w:cs="Times New Roman" w:eastAsia="Times New Roman" w:hAnsi="Times New Roman"/>
          <w:b w:val="1"/>
          <w:rtl w:val="0"/>
        </w:rPr>
        <w:t xml:space="preserve"> ICOMESH 2023)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1"/>
          <w:i w:val="0"/>
          <w:smallCaps w:val="0"/>
          <w:strike w:val="0"/>
          <w:color w:val="1f497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b w:val="0"/>
          <w:color w:val="1f1f1f"/>
          <w:sz w:val="46"/>
          <w:szCs w:val="46"/>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Title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Author</w:t>
      </w:r>
      <w:r w:rsidDel="00000000" w:rsidR="00000000" w:rsidRPr="00000000">
        <w:rPr>
          <w:i w:val="1"/>
          <w:smallCaps w:val="0"/>
          <w:strike w:val="0"/>
          <w:color w:val="000000"/>
          <w:sz w:val="20"/>
          <w:szCs w:val="20"/>
          <w:u w:val="none"/>
          <w:shd w:fill="auto" w:val="clear"/>
          <w:vertAlign w:val="superscript"/>
          <w:rtl w:val="0"/>
        </w:rPr>
        <w:t xml:space="preserve">1</w:t>
      </w:r>
      <w:r w:rsidDel="00000000" w:rsidR="00000000" w:rsidRPr="00000000">
        <w:rPr>
          <w:i w:val="1"/>
          <w:smallCaps w:val="0"/>
          <w:strike w:val="0"/>
          <w:color w:val="000000"/>
          <w:sz w:val="20"/>
          <w:szCs w:val="20"/>
          <w:u w:val="none"/>
          <w:shd w:fill="auto" w:val="clear"/>
          <w:vertAlign w:val="baseline"/>
          <w:rtl w:val="0"/>
        </w:rPr>
        <w:t xml:space="preserve"> , Author</w:t>
      </w:r>
      <w:r w:rsidDel="00000000" w:rsidR="00000000" w:rsidRPr="00000000">
        <w:rPr>
          <w:i w:val="1"/>
          <w:smallCaps w:val="0"/>
          <w:strike w:val="0"/>
          <w:color w:val="000000"/>
          <w:sz w:val="20"/>
          <w:szCs w:val="20"/>
          <w:u w:val="none"/>
          <w:shd w:fill="auto" w:val="clear"/>
          <w:vertAlign w:val="superscript"/>
          <w:rtl w:val="0"/>
        </w:rPr>
        <w:t xml:space="preserve"> 2</w:t>
      </w:r>
      <w:r w:rsidDel="00000000" w:rsidR="00000000" w:rsidRPr="00000000">
        <w:rPr>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mallCaps w:val="0"/>
          <w:strike w:val="0"/>
          <w:color w:val="000000"/>
          <w:sz w:val="20"/>
          <w:szCs w:val="20"/>
          <w:u w:val="none"/>
          <w:shd w:fill="auto" w:val="clear"/>
          <w:vertAlign w:val="superscript"/>
        </w:rPr>
      </w:pPr>
      <w:r w:rsidDel="00000000" w:rsidR="00000000" w:rsidRPr="00000000">
        <w:rPr>
          <w:i w:val="1"/>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Department of Pharmacology</w:t>
      </w:r>
      <w:r w:rsidDel="00000000" w:rsidR="00000000" w:rsidRPr="00000000">
        <w:rPr>
          <w:i w:val="1"/>
          <w:sz w:val="20"/>
          <w:szCs w:val="20"/>
          <w:rtl w:val="0"/>
        </w:rPr>
        <w:t xml:space="preserve">, Faculty of Medicine, University of Lampung, Bandar Lampung, 35145, Indonesia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Department of Chemistry, Faculty of Science, University of Lampung, Bandar Lampung, 35145, Indonesia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Corresponding email: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mbria" w:cs="Cambria" w:eastAsia="Cambria" w:hAnsi="Cambria"/>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rtl w:val="0"/>
        </w:rPr>
        <w:t xml:space="preserve">raditionally, various parts of the, </w:t>
      </w:r>
      <w:r w:rsidDel="00000000" w:rsidR="00000000" w:rsidRPr="00000000">
        <w:rPr>
          <w:rFonts w:ascii="Times New Roman" w:cs="Times New Roman" w:eastAsia="Times New Roman" w:hAnsi="Times New Roman"/>
          <w:i w:val="1"/>
          <w:rtl w:val="0"/>
        </w:rPr>
        <w:t xml:space="preserve">Aegle marmelos</w:t>
      </w:r>
      <w:r w:rsidDel="00000000" w:rsidR="00000000" w:rsidRPr="00000000">
        <w:rPr>
          <w:rFonts w:ascii="Times New Roman" w:cs="Times New Roman" w:eastAsia="Times New Roman" w:hAnsi="Times New Roman"/>
          <w:rtl w:val="0"/>
        </w:rPr>
        <w:t xml:space="preserve"> Corr (Rutaceae) plant is reported to have multiple therapeutic properties such as anti-inflammatory, antipyretic and analgesic, anti diabetic, anti diarrheal, anti hyperlipidemic, antifungal, antimicrobial, antibacterial and anti parasitic, anti cancer, anti malaria, hepatoprotective, and cardioprotective potentials.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rtl w:val="0"/>
        </w:rPr>
        <w:t xml:space="preserve">The aim of the present study was to investigate the immunomodulatory activity of methanolic extract from </w:t>
      </w:r>
      <w:r w:rsidDel="00000000" w:rsidR="00000000" w:rsidRPr="00000000">
        <w:rPr>
          <w:rFonts w:ascii="Times New Roman" w:cs="Times New Roman" w:eastAsia="Times New Roman" w:hAnsi="Times New Roman"/>
          <w:i w:val="1"/>
          <w:rtl w:val="0"/>
        </w:rPr>
        <w:t xml:space="preserve">Aegle marmelos</w:t>
      </w:r>
      <w:r w:rsidDel="00000000" w:rsidR="00000000" w:rsidRPr="00000000">
        <w:rPr>
          <w:rFonts w:ascii="Times New Roman" w:cs="Times New Roman" w:eastAsia="Times New Roman" w:hAnsi="Times New Roman"/>
          <w:rtl w:val="0"/>
        </w:rPr>
        <w:t xml:space="preserve"> fruit (FEAM) in experimental model of immunity.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Materials and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Cellular immunity was carried out by neutrophil adhesion test and carbon clearance assay, whereas, humoral immunity was analyzed by mice lethality test and indirect haemagglutination assay. FEAM dose was selected by Stair case method (up and down) and administered at 100 and 500 mg/kg orally. The </w:t>
      </w:r>
      <w:r w:rsidDel="00000000" w:rsidR="00000000" w:rsidRPr="00000000">
        <w:rPr>
          <w:rFonts w:ascii="Times New Roman" w:cs="Times New Roman" w:eastAsia="Times New Roman" w:hAnsi="Times New Roman"/>
          <w:i w:val="1"/>
          <w:rtl w:val="0"/>
        </w:rPr>
        <w:t xml:space="preserve">Ocimum sanctum</w:t>
      </w:r>
      <w:r w:rsidDel="00000000" w:rsidR="00000000" w:rsidRPr="00000000">
        <w:rPr>
          <w:rFonts w:ascii="Times New Roman" w:cs="Times New Roman" w:eastAsia="Times New Roman" w:hAnsi="Times New Roman"/>
          <w:rtl w:val="0"/>
        </w:rPr>
        <w:t xml:space="preserve"> (OSE, 100 mg/kg, </w:t>
      </w:r>
      <w:r w:rsidDel="00000000" w:rsidR="00000000" w:rsidRPr="00000000">
        <w:rPr>
          <w:rFonts w:ascii="Times New Roman" w:cs="Times New Roman" w:eastAsia="Times New Roman" w:hAnsi="Times New Roman"/>
          <w:i w:val="1"/>
          <w:rtl w:val="0"/>
        </w:rPr>
        <w:t xml:space="preserve">p.o</w:t>
      </w:r>
      <w:r w:rsidDel="00000000" w:rsidR="00000000" w:rsidRPr="00000000">
        <w:rPr>
          <w:rFonts w:ascii="Times New Roman" w:cs="Times New Roman" w:eastAsia="Times New Roman" w:hAnsi="Times New Roman"/>
          <w:rtl w:val="0"/>
        </w:rPr>
        <w:t xml:space="preserve">) was used as standard.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FEAM at 100 and 500 mg/kg produced significant increases in adhesion of neutrophils and an increase in phagocytic index in carbon clearance assay. Both high and low doses of FEAM significantly prevented the mortality induced by bovine </w:t>
      </w:r>
      <w:r w:rsidDel="00000000" w:rsidR="00000000" w:rsidRPr="00000000">
        <w:rPr>
          <w:rFonts w:ascii="Times New Roman" w:cs="Times New Roman" w:eastAsia="Times New Roman" w:hAnsi="Times New Roman"/>
          <w:i w:val="1"/>
          <w:rtl w:val="0"/>
        </w:rPr>
        <w:t xml:space="preserve">Pasteurella multocida</w:t>
      </w:r>
      <w:r w:rsidDel="00000000" w:rsidR="00000000" w:rsidRPr="00000000">
        <w:rPr>
          <w:rFonts w:ascii="Times New Roman" w:cs="Times New Roman" w:eastAsia="Times New Roman" w:hAnsi="Times New Roman"/>
          <w:rtl w:val="0"/>
        </w:rPr>
        <w:t xml:space="preserve"> in mice. Treatment of animals with FEAM and OSE significantly increased the circulating antibody titre in indirect haemagglutination test. Among the different doses, low one was more effective in cellular immunity models than the high. However, all the doses exhibited similar protection in humoral immunity procedures.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From the above findings, it is concluded that FEAM possesses potential for augmenting immune activity by cellular and humoral mediated mechanisms more at lower dose (100 mg/kg) than higher dose (500 mg/kg).</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Key words: Immunomodulation, Neutrophil</w:t>
      </w:r>
      <w:r w:rsidDel="00000000" w:rsidR="00000000" w:rsidRPr="00000000">
        <w:rPr>
          <w:b w:val="1"/>
          <w:rtl w:val="0"/>
        </w:rPr>
        <w:t xml:space="preserve"> 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dhesion, Phagocytic response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21">
      <w:pPr>
        <w:spacing w:before="240" w:lineRule="auto"/>
        <w:rPr/>
      </w:pPr>
      <w:r w:rsidDel="00000000" w:rsidR="00000000" w:rsidRPr="00000000">
        <w:rPr>
          <w:rtl w:val="0"/>
        </w:rPr>
        <w:tab/>
      </w:r>
    </w:p>
    <w:p w:rsidR="00000000" w:rsidDel="00000000" w:rsidP="00000000" w:rsidRDefault="00000000" w:rsidRPr="00000000" w14:paraId="00000022">
      <w:pPr>
        <w:rPr>
          <w:u w:val="single"/>
        </w:rPr>
      </w:pPr>
      <w:r w:rsidDel="00000000" w:rsidR="00000000" w:rsidRPr="00000000">
        <w:rPr>
          <w:rtl w:val="0"/>
        </w:rPr>
      </w:r>
    </w:p>
    <w:sectPr>
      <w:pgSz w:h="16840" w:w="1190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