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ind w:hanging="0" w:left="0"/>
        <w:rPr/>
      </w:pPr>
      <w:r>
        <w:rPr/>
        <w:t>Codebook Analisis Isi Krippendorff</w:t>
      </w:r>
    </w:p>
    <w:p>
      <w:pPr>
        <w:pStyle w:val="Normal"/>
        <w:rPr>
          <w:b/>
          <w:bCs/>
        </w:rPr>
      </w:pPr>
      <w:r>
        <w:rPr>
          <w:b/>
          <w:bCs/>
        </w:rPr>
        <w:t xml:space="preserve">Panduan Coder untuk Penyusunan SRS </w:t>
      </w:r>
      <w:r>
        <w:rPr>
          <w:b/>
          <w:bCs/>
          <w:i/>
          <w:iCs/>
        </w:rPr>
        <w:t>Web Scraping</w:t>
      </w:r>
      <w:r>
        <w:rPr>
          <w:b/>
          <w:bCs/>
        </w:rPr>
        <w:t xml:space="preserve"> yang Mengintegrasikan Aspek Legalitas dan Etika Privasi Data</w:t>
      </w:r>
    </w:p>
    <w:p>
      <w:pPr>
        <w:pStyle w:val="Normal"/>
        <w:rPr/>
      </w:pPr>
      <w:r>
        <w:rPr/>
        <w:t>Instrumen penelitian · Versi 1.0.2 · 20 Oktober 2026</w:t>
      </w:r>
    </w:p>
    <w:p>
      <w:pPr>
        <w:pStyle w:val="Heading2"/>
        <w:ind w:hanging="283" w:left="283" w:right="0"/>
        <w:rPr/>
      </w:pPr>
      <w:r>
        <w:rPr/>
        <w:t>1. Tujuan Codebook</w:t>
      </w:r>
    </w:p>
    <w:p>
      <w:pPr>
        <w:pStyle w:val="Normal"/>
        <w:rPr/>
      </w:pPr>
      <w:r>
        <w:rPr/>
        <w:t xml:space="preserve">Codebook ini memandu </w:t>
      </w:r>
      <w:r>
        <w:rPr>
          <w:i/>
          <w:iCs/>
        </w:rPr>
        <w:t>coder</w:t>
      </w:r>
      <w:r>
        <w:rPr/>
        <w:t xml:space="preserve"> (subjek pelaku </w:t>
      </w:r>
      <w:r>
        <w:rPr>
          <w:i/>
          <w:iCs/>
        </w:rPr>
        <w:t>coding</w:t>
      </w:r>
      <w:r>
        <w:rPr/>
        <w:t xml:space="preserve">) dalam mengubah teks peraturan perundang-undangan dan artikel hukum menjadi data terstruktur melalui metode analisis isi Krippendorff. Hasil </w:t>
      </w:r>
      <w:r>
        <w:rPr>
          <w:i/>
          <w:iCs/>
        </w:rPr>
        <w:t>coding</w:t>
      </w:r>
      <w:r>
        <w:rPr/>
        <w:t xml:space="preserve"> akan dipakai untuk menurunkan kebutuhan fungsional, kebutuhan non-fungsional, dan batasan hukum pada dokumen Spesifikasi Kebutuhan Perangkat Lunak (</w:t>
      </w:r>
      <w:r>
        <w:rPr>
          <w:i/>
          <w:iCs/>
        </w:rPr>
        <w:t>Software Requirement Specification</w:t>
      </w:r>
      <w:r>
        <w:rPr/>
        <w:t xml:space="preserve"> - SRS) untuk sistem </w:t>
      </w:r>
      <w:r>
        <w:rPr>
          <w:i/>
          <w:iCs/>
        </w:rPr>
        <w:t>web scraping</w:t>
      </w:r>
      <w:r>
        <w:rPr/>
        <w:t xml:space="preserve"> yang patuh pada ketentuan legalitas dan etika privasi data di Indonesia.</w:t>
      </w:r>
    </w:p>
    <w:p>
      <w:pPr>
        <w:pStyle w:val="Normal"/>
        <w:rPr/>
      </w:pPr>
      <w:r>
        <w:rPr/>
        <w:t xml:space="preserve">Codebook dirancang agar dua </w:t>
      </w:r>
      <w:r>
        <w:rPr>
          <w:i/>
          <w:iCs/>
        </w:rPr>
        <w:t>coder</w:t>
      </w:r>
      <w:r>
        <w:rPr/>
        <w:t xml:space="preserve"> atau lebih yang bekerja sendiri-sendiri pada korpus/teks yang sama menghasilkan kode yang sama (dapat direproduksi). Karena itu, setiap kategori memiliki definisi, indikator, aturan keputusan, dan contoh dari korpus. Pengodean dilakukan pada Lembar Coding berbentuk tabel seperti ditunjukkan di Bagian 3.</w:t>
      </w:r>
    </w:p>
    <w:p>
      <w:pPr>
        <w:pStyle w:val="Heading2"/>
        <w:ind w:hanging="283" w:left="283" w:right="0"/>
        <w:rPr/>
      </w:pPr>
      <w:r>
        <w:rPr/>
        <w:t>2. Korpus dan Unit Analisis</w:t>
      </w:r>
    </w:p>
    <w:p>
      <w:pPr>
        <w:pStyle w:val="Heading3"/>
        <w:ind w:hanging="0" w:left="0"/>
        <w:rPr/>
      </w:pPr>
      <w:r>
        <w:rPr/>
        <w:t>2.1 Korpus/Teks</w:t>
      </w:r>
    </w:p>
    <w:p>
      <w:pPr>
        <w:pStyle w:val="Normal"/>
        <w:rPr/>
      </w:pPr>
      <w:r>
        <w:rPr/>
        <w:t xml:space="preserve">Sumber data adalah satu artikel majalah hukum dan empat peraturan (unit sampling) yang dipecah menjadi baris-baris (unit pencatatan) dan digabungkan dalam satu file </w:t>
      </w:r>
      <w:r>
        <w:rPr>
          <w:i/>
        </w:rPr>
        <w:t>For_Codebook_1.xlsx</w:t>
      </w:r>
      <w:r>
        <w:rPr/>
        <w:t xml:space="preserve"> (sheet </w:t>
      </w:r>
      <w:r>
        <w:rPr>
          <w:i/>
        </w:rPr>
        <w:t>Lembar1</w:t>
      </w:r>
      <w:r>
        <w:rPr/>
        <w:t>) dengan kolom: Dokumen, BAB, Bagian, Paragraf, Pasal, dan Isi.</w:t>
      </w:r>
    </w:p>
    <w:tbl>
      <w:tblPr>
        <w:tblW w:w="9358" w:type="dxa"/>
        <w:jc w:val="left"/>
        <w:tblInd w:w="0" w:type="dxa"/>
        <w:tblLayout w:type="fixed"/>
        <w:tblCellMar>
          <w:top w:w="0" w:type="dxa"/>
          <w:left w:w="108" w:type="dxa"/>
          <w:bottom w:w="0" w:type="dxa"/>
          <w:right w:w="108" w:type="dxa"/>
        </w:tblCellMar>
      </w:tblPr>
      <w:tblGrid>
        <w:gridCol w:w="2955"/>
        <w:gridCol w:w="5032"/>
        <w:gridCol w:w="1371"/>
      </w:tblGrid>
      <w:tr>
        <w:trPr>
          <w:tblHeader w:val="true"/>
        </w:trPr>
        <w:tc>
          <w:tcPr>
            <w:tcW w:w="295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Nilai kolom "Dokumen"</w:t>
            </w:r>
          </w:p>
        </w:tc>
        <w:tc>
          <w:tcPr>
            <w:tcW w:w="5032"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Sumber</w:t>
            </w:r>
          </w:p>
        </w:tc>
        <w:tc>
          <w:tcPr>
            <w:tcW w:w="137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Unit berisi</w:t>
            </w:r>
          </w:p>
        </w:tc>
      </w:tr>
      <w:tr>
        <w:trPr/>
        <w:tc>
          <w:tcPr>
            <w:tcW w:w="29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2019MHN201</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Artikel Majalah Hukum Nasional (kode 2019MHN201)</w:t>
            </w:r>
          </w:p>
        </w:tc>
        <w:tc>
          <w:tcPr>
            <w:tcW w:w="137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25</w:t>
            </w:r>
          </w:p>
        </w:tc>
      </w:tr>
      <w:tr>
        <w:trPr/>
        <w:tc>
          <w:tcPr>
            <w:tcW w:w="2955" w:type="dxa"/>
            <w:tcBorders>
              <w:left w:val="single" w:sz="4" w:space="0" w:color="000000"/>
              <w:bottom w:val="single" w:sz="4" w:space="0" w:color="000000"/>
              <w:right w:val="single" w:sz="4" w:space="0" w:color="000000"/>
            </w:tcBorders>
          </w:tcPr>
          <w:p>
            <w:pPr>
              <w:pStyle w:val="Normal"/>
              <w:spacing w:before="0" w:after="160"/>
              <w:rPr>
                <w:sz w:val="22"/>
              </w:rPr>
            </w:pPr>
            <w:r>
              <w:rPr>
                <w:sz w:val="22"/>
              </w:rPr>
              <w:t>UU 27 Thn 2022 (PDP)</w:t>
            </w:r>
          </w:p>
        </w:tc>
        <w:tc>
          <w:tcPr>
            <w:tcW w:w="5032" w:type="dxa"/>
            <w:tcBorders>
              <w:left w:val="single" w:sz="4" w:space="0" w:color="000000"/>
              <w:bottom w:val="single" w:sz="4" w:space="0" w:color="000000"/>
              <w:right w:val="single" w:sz="4" w:space="0" w:color="000000"/>
            </w:tcBorders>
          </w:tcPr>
          <w:p>
            <w:pPr>
              <w:pStyle w:val="Normal"/>
              <w:spacing w:before="0" w:after="160"/>
              <w:rPr>
                <w:sz w:val="22"/>
              </w:rPr>
            </w:pPr>
            <w:r>
              <w:rPr>
                <w:sz w:val="22"/>
              </w:rPr>
              <w:t>UU No. 27 Tahun 2022 tentang Pelindungan Data Pribadi</w:t>
            </w:r>
          </w:p>
        </w:tc>
        <w:tc>
          <w:tcPr>
            <w:tcW w:w="1371" w:type="dxa"/>
            <w:tcBorders>
              <w:left w:val="single" w:sz="4" w:space="0" w:color="000000"/>
              <w:bottom w:val="single" w:sz="4" w:space="0" w:color="000000"/>
              <w:right w:val="single" w:sz="4" w:space="0" w:color="000000"/>
            </w:tcBorders>
          </w:tcPr>
          <w:p>
            <w:pPr>
              <w:pStyle w:val="Normal"/>
              <w:spacing w:before="0" w:after="160"/>
              <w:rPr>
                <w:sz w:val="22"/>
              </w:rPr>
            </w:pPr>
            <w:r>
              <w:rPr>
                <w:sz w:val="22"/>
              </w:rPr>
              <w:t>57</w:t>
            </w:r>
          </w:p>
        </w:tc>
      </w:tr>
      <w:tr>
        <w:trPr/>
        <w:tc>
          <w:tcPr>
            <w:tcW w:w="29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Perpres 39 Thn 2019 (Satu Data)</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Perpres No. 39 Tahun 2019 tentang Satu Data Indonesia</w:t>
            </w:r>
          </w:p>
        </w:tc>
        <w:tc>
          <w:tcPr>
            <w:tcW w:w="137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w:t>
            </w:r>
          </w:p>
        </w:tc>
      </w:tr>
      <w:tr>
        <w:trPr/>
        <w:tc>
          <w:tcPr>
            <w:tcW w:w="29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UU 23 Thn 2002 (Perlindungan Anak)</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UU No. 23 Tahun 2002 tentang Perlindungan Anak</w:t>
            </w:r>
          </w:p>
        </w:tc>
        <w:tc>
          <w:tcPr>
            <w:tcW w:w="137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1</w:t>
            </w:r>
          </w:p>
        </w:tc>
      </w:tr>
      <w:tr>
        <w:trPr/>
        <w:tc>
          <w:tcPr>
            <w:tcW w:w="29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UU 8 Thn 1999 (Perlindungan Konsumen)</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UU No. 8 Tahun 1999 tentang Perlindungan Konsumen</w:t>
            </w:r>
          </w:p>
        </w:tc>
        <w:tc>
          <w:tcPr>
            <w:tcW w:w="137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0 (kolom Isi kosong)</w:t>
            </w:r>
          </w:p>
        </w:tc>
      </w:tr>
      <w:tr>
        <w:trPr/>
        <w:tc>
          <w:tcPr>
            <w:tcW w:w="2955"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rPr>
            </w:pPr>
            <w:r>
              <w:rPr>
                <w:b/>
                <w:bCs/>
                <w:sz w:val="22"/>
              </w:rPr>
              <w:t>Total unit yang dikodekan</w:t>
            </w:r>
          </w:p>
        </w:tc>
        <w:tc>
          <w:tcPr>
            <w:tcW w:w="5032"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rPr>
            </w:pPr>
            <w:r>
              <w:rPr>
                <w:b/>
                <w:bCs/>
              </w:rPr>
            </w:r>
          </w:p>
        </w:tc>
        <w:tc>
          <w:tcPr>
            <w:tcW w:w="1371" w:type="dxa"/>
            <w:tcBorders>
              <w:top w:val="single" w:sz="4" w:space="0" w:color="000000"/>
              <w:left w:val="single" w:sz="4" w:space="0" w:color="000000"/>
              <w:bottom w:val="single" w:sz="4" w:space="0" w:color="000000"/>
              <w:right w:val="single" w:sz="4" w:space="0" w:color="000000"/>
            </w:tcBorders>
          </w:tcPr>
          <w:p>
            <w:pPr>
              <w:pStyle w:val="Normal"/>
              <w:spacing w:before="0" w:after="160"/>
              <w:rPr>
                <w:b/>
                <w:bCs/>
              </w:rPr>
            </w:pPr>
            <w:r>
              <w:rPr>
                <w:b/>
                <w:bCs/>
                <w:sz w:val="22"/>
              </w:rPr>
              <w:t>85</w:t>
            </w:r>
          </w:p>
        </w:tc>
      </w:tr>
    </w:tbl>
    <w:p>
      <w:pPr>
        <w:pStyle w:val="Normal"/>
        <w:rPr/>
      </w:pPr>
      <w:r>
        <w:rPr>
          <w:b/>
        </w:rPr>
        <w:t>Aturan inklusi:</w:t>
      </w:r>
      <w:r>
        <w:rPr/>
        <w:t xml:space="preserve"> hanya baris dengan kolom “</w:t>
      </w:r>
      <w:r>
        <w:rPr>
          <w:i/>
        </w:rPr>
        <w:t>Isi”</w:t>
      </w:r>
      <w:r>
        <w:rPr>
          <w:i w:val="false"/>
          <w:iCs w:val="false"/>
        </w:rPr>
        <w:t xml:space="preserve"> dengan nilai</w:t>
      </w:r>
      <w:r>
        <w:rPr/>
        <w:t xml:space="preserve"> tidak kosong yang dikodekan. Baris UU 8 Tahun 1999 (baris Excel 87) tidak memiliki isi, sehingga tidak dikodekan dan tidak dihitung dalam reliabilitas.</w:t>
      </w:r>
    </w:p>
    <w:p>
      <w:pPr>
        <w:pStyle w:val="Heading3"/>
        <w:ind w:hanging="0" w:left="0"/>
        <w:rPr/>
      </w:pPr>
      <w:r>
        <w:rPr/>
        <w:t>2.2 Penentuan Unit pada Dokumen</w:t>
      </w:r>
    </w:p>
    <w:tbl>
      <w:tblPr>
        <w:tblW w:w="9360" w:type="dxa"/>
        <w:jc w:val="left"/>
        <w:tblInd w:w="0" w:type="dxa"/>
        <w:tblLayout w:type="fixed"/>
        <w:tblCellMar>
          <w:top w:w="0" w:type="dxa"/>
          <w:left w:w="108" w:type="dxa"/>
          <w:bottom w:w="0" w:type="dxa"/>
          <w:right w:w="108" w:type="dxa"/>
        </w:tblCellMar>
      </w:tblPr>
      <w:tblGrid>
        <w:gridCol w:w="1345"/>
        <w:gridCol w:w="8015"/>
      </w:tblGrid>
      <w:tr>
        <w:trPr>
          <w:tblHeader w:val="true"/>
        </w:trPr>
        <w:tc>
          <w:tcPr>
            <w:tcW w:w="134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Jenis unit</w:t>
            </w:r>
          </w:p>
        </w:tc>
        <w:tc>
          <w:tcPr>
            <w:tcW w:w="801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Definisi operasional dalam penelitian ini</w:t>
            </w:r>
          </w:p>
        </w:tc>
      </w:tr>
      <w:tr>
        <w:trPr/>
        <w:tc>
          <w:tcPr>
            <w:tcW w:w="13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Unit sampling</w:t>
            </w:r>
          </w:p>
        </w:tc>
        <w:tc>
          <w:tcPr>
            <w:tcW w:w="801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Lima dokumen (empat peraturan dan satu artikel) yang dipilih setelah melalui pengumpulan data pada portal JDIHN. Pemilihan bersifat purposif berdasarkan keterkaitan dokumen dengan pelindungan data pribadi, hak konsumen dan anak, serta akses data.</w:t>
            </w:r>
          </w:p>
        </w:tc>
      </w:tr>
      <w:tr>
        <w:trPr/>
        <w:tc>
          <w:tcPr>
            <w:tcW w:w="13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Unit pencatatan (recording unit)</w:t>
            </w:r>
          </w:p>
        </w:tc>
        <w:tc>
          <w:tcPr>
            <w:tcW w:w="801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Setiap baris pada </w:t>
            </w:r>
            <w:r>
              <w:rPr>
                <w:rFonts w:eastAsia="Calibri" w:cs="Calibri"/>
                <w:i/>
                <w:iCs/>
                <w:kern w:val="0"/>
                <w:sz w:val="22"/>
              </w:rPr>
              <w:t>sheet</w:t>
            </w:r>
            <w:r>
              <w:rPr>
                <w:rFonts w:eastAsia="Calibri" w:cs="Calibri"/>
                <w:kern w:val="0"/>
                <w:sz w:val="22"/>
              </w:rPr>
              <w:t xml:space="preserve"> Lembar Coding dengan kolom “</w:t>
            </w:r>
            <w:r>
              <w:rPr>
                <w:rFonts w:eastAsia="Calibri" w:cs="Calibri"/>
                <w:i/>
                <w:kern w:val="0"/>
                <w:sz w:val="22"/>
              </w:rPr>
              <w:t>Isi”</w:t>
            </w:r>
            <w:r>
              <w:rPr>
                <w:rFonts w:eastAsia="Calibri" w:cs="Calibri"/>
                <w:kern w:val="0"/>
                <w:sz w:val="22"/>
              </w:rPr>
              <w:t xml:space="preserve"> yang tidak kosong. Pada peraturan, satu baris adalah satu Pasal beserta seluruh ayat, huruf, dan angkanya. Pada artikel majalah hukum, satu baris adalah satu kalimat. Satu unit menerima satu set kode.</w:t>
            </w:r>
          </w:p>
        </w:tc>
      </w:tr>
      <w:tr>
        <w:trPr/>
        <w:tc>
          <w:tcPr>
            <w:tcW w:w="13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Unit konteks (context unit)</w:t>
            </w:r>
          </w:p>
        </w:tc>
        <w:tc>
          <w:tcPr>
            <w:tcW w:w="801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i/>
                <w:iCs/>
                <w:sz w:val="22"/>
              </w:rPr>
              <w:t>Sheet</w:t>
            </w:r>
            <w:r>
              <w:rPr>
                <w:sz w:val="22"/>
              </w:rPr>
              <w:t xml:space="preserve"> Korpus berisi sumber rujukan pasal atau paragraf dan kalimat dengan tambahan konteks tersedia pada kolom BAB dan Bagian. </w:t>
            </w:r>
            <w:r>
              <w:rPr>
                <w:i/>
                <w:iCs/>
                <w:sz w:val="22"/>
              </w:rPr>
              <w:t>Sheet</w:t>
            </w:r>
            <w:r>
              <w:rPr>
                <w:sz w:val="22"/>
              </w:rPr>
              <w:t xml:space="preserve"> Korpus ini disembunyikan secara </w:t>
            </w:r>
            <w:r>
              <w:rPr>
                <w:i/>
                <w:iCs/>
                <w:sz w:val="22"/>
              </w:rPr>
              <w:t>default</w:t>
            </w:r>
            <w:r>
              <w:rPr>
                <w:sz w:val="22"/>
              </w:rPr>
              <w:t xml:space="preserve"> agar tidak memengaruhi pemilihan tema; buka hanya bila perlu memahami rujukan antarunit.</w:t>
            </w:r>
          </w:p>
        </w:tc>
      </w:tr>
    </w:tbl>
    <w:p>
      <w:pPr>
        <w:pStyle w:val="Normal"/>
        <w:rPr>
          <w:b/>
        </w:rPr>
      </w:pPr>
      <w:r>
        <w:rPr>
          <w:b/>
        </w:rPr>
      </w:r>
    </w:p>
    <w:p>
      <w:pPr>
        <w:pStyle w:val="Heading2"/>
        <w:bidi w:val="0"/>
        <w:ind w:hanging="283" w:left="283" w:right="0"/>
        <w:rPr/>
      </w:pPr>
      <w:r>
        <w:rPr/>
        <w:t xml:space="preserve">3. Lembar </w:t>
      </w:r>
      <w:r>
        <w:rPr>
          <w:i/>
          <w:iCs/>
        </w:rPr>
        <w:t>Coding</w:t>
      </w:r>
      <w:r>
        <w:rPr/>
        <w:t xml:space="preserve"> </w:t>
      </w:r>
    </w:p>
    <w:p>
      <w:pPr>
        <w:pStyle w:val="Normal"/>
        <w:rPr/>
      </w:pPr>
      <w:r>
        <w:rPr/>
        <w:t>Satu baris lembar coding sama dengan satu unit pencatatan (</w:t>
      </w:r>
      <w:r>
        <w:rPr>
          <w:i/>
          <w:iCs/>
        </w:rPr>
        <w:t>recording unit</w:t>
      </w:r>
      <w:r>
        <w:rPr/>
        <w:t xml:space="preserve">). Pada lembar coding Excel, kolom BAB dan Bagian disediakan sebagai rujukan tetapi tersembunyi secara default, dan kolom Rujukan memuat Pasal (peraturan) atau Paragraf dan Kalimat (artikel). </w:t>
      </w:r>
    </w:p>
    <w:p>
      <w:pPr>
        <w:pStyle w:val="Normal"/>
        <w:rPr/>
      </w:pPr>
      <w:r>
        <w:rPr/>
        <w:t>Tabel berikut ini adalah contoh kolom dan nilainya di satu baris (</w:t>
      </w:r>
      <w:r>
        <w:rPr>
          <w:i/>
          <w:iCs/>
        </w:rPr>
        <w:t>recording unit</w:t>
      </w:r>
      <w:r>
        <w:rPr/>
        <w:t xml:space="preserve">) pada </w:t>
      </w:r>
      <w:r>
        <w:rPr>
          <w:b/>
          <w:bCs/>
        </w:rPr>
        <w:t xml:space="preserve">Lembar </w:t>
      </w:r>
      <w:r>
        <w:rPr>
          <w:b/>
          <w:bCs/>
          <w:i/>
          <w:iCs/>
          <w:u w:val="none"/>
        </w:rPr>
        <w:t>Coding</w:t>
      </w:r>
      <w:r>
        <w:rPr/>
        <w:t>:</w:t>
      </w:r>
    </w:p>
    <w:tbl>
      <w:tblPr>
        <w:tblW w:w="9345" w:type="dxa"/>
        <w:jc w:val="left"/>
        <w:tblInd w:w="0" w:type="dxa"/>
        <w:tblLayout w:type="fixed"/>
        <w:tblCellMar>
          <w:top w:w="0" w:type="dxa"/>
          <w:left w:w="108" w:type="dxa"/>
          <w:bottom w:w="0" w:type="dxa"/>
          <w:right w:w="108" w:type="dxa"/>
        </w:tblCellMar>
      </w:tblPr>
      <w:tblGrid>
        <w:gridCol w:w="522"/>
        <w:gridCol w:w="533"/>
        <w:gridCol w:w="836"/>
        <w:gridCol w:w="548"/>
        <w:gridCol w:w="553"/>
        <w:gridCol w:w="631"/>
        <w:gridCol w:w="514"/>
        <w:gridCol w:w="513"/>
        <w:gridCol w:w="510"/>
        <w:gridCol w:w="630"/>
        <w:gridCol w:w="2941"/>
        <w:gridCol w:w="614"/>
      </w:tblGrid>
      <w:tr>
        <w:trPr>
          <w:tblHeader w:val="true"/>
        </w:trPr>
        <w:tc>
          <w:tcPr>
            <w:tcW w:w="522"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V1</w:t>
            </w:r>
          </w:p>
        </w:tc>
        <w:tc>
          <w:tcPr>
            <w:tcW w:w="533"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V2</w:t>
            </w:r>
          </w:p>
        </w:tc>
        <w:tc>
          <w:tcPr>
            <w:tcW w:w="836"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V3</w:t>
            </w:r>
          </w:p>
        </w:tc>
        <w:tc>
          <w:tcPr>
            <w:tcW w:w="548" w:type="dxa"/>
            <w:tcBorders>
              <w:top w:val="single" w:sz="4" w:space="0" w:color="000000"/>
              <w:left w:val="single" w:sz="4" w:space="0" w:color="000000"/>
              <w:bottom w:val="single" w:sz="4" w:space="0" w:color="000000"/>
            </w:tcBorders>
            <w:shd w:fill="F2F2F2" w:val="clear"/>
          </w:tcPr>
          <w:p>
            <w:pPr>
              <w:pStyle w:val="Normal"/>
              <w:spacing w:before="0" w:after="160"/>
              <w:rPr>
                <w:sz w:val="20"/>
                <w:szCs w:val="20"/>
              </w:rPr>
            </w:pPr>
            <w:r>
              <w:rPr>
                <w:sz w:val="20"/>
                <w:szCs w:val="20"/>
              </w:rPr>
              <w:t>V4</w:t>
            </w:r>
          </w:p>
        </w:tc>
        <w:tc>
          <w:tcPr>
            <w:tcW w:w="553"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V5</w:t>
            </w:r>
          </w:p>
        </w:tc>
        <w:tc>
          <w:tcPr>
            <w:tcW w:w="63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V6</w:t>
            </w:r>
          </w:p>
        </w:tc>
        <w:tc>
          <w:tcPr>
            <w:tcW w:w="514"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V7</w:t>
            </w:r>
          </w:p>
        </w:tc>
        <w:tc>
          <w:tcPr>
            <w:tcW w:w="513"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V8</w:t>
            </w:r>
          </w:p>
        </w:tc>
        <w:tc>
          <w:tcPr>
            <w:tcW w:w="51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V9</w:t>
            </w:r>
          </w:p>
        </w:tc>
        <w:tc>
          <w:tcPr>
            <w:tcW w:w="63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V10</w:t>
            </w:r>
          </w:p>
        </w:tc>
        <w:tc>
          <w:tcPr>
            <w:tcW w:w="294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V11 Draf_Kebutuhan</w:t>
            </w:r>
          </w:p>
        </w:tc>
        <w:tc>
          <w:tcPr>
            <w:tcW w:w="614"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0"/>
                <w:szCs w:val="20"/>
              </w:rPr>
            </w:pPr>
            <w:r>
              <w:rPr>
                <w:sz w:val="20"/>
                <w:szCs w:val="20"/>
              </w:rPr>
              <w:t>V12</w:t>
            </w:r>
          </w:p>
        </w:tc>
      </w:tr>
      <w:tr>
        <w:trPr/>
        <w:tc>
          <w:tcPr>
            <w:tcW w:w="522"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33"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836"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48" w:type="dxa"/>
            <w:tcBorders>
              <w:top w:val="single" w:sz="4" w:space="0" w:color="000000"/>
              <w:left w:val="single" w:sz="4" w:space="0" w:color="000000"/>
              <w:bottom w:val="single" w:sz="4" w:space="0" w:color="000000"/>
            </w:tcBorders>
          </w:tcPr>
          <w:p>
            <w:pPr>
              <w:pStyle w:val="Normal"/>
              <w:spacing w:before="0" w:after="160"/>
              <w:rPr>
                <w:sz w:val="22"/>
              </w:rPr>
            </w:pPr>
            <w:r>
              <w:rPr>
                <w:sz w:val="22"/>
              </w:rPr>
              <w:t>...</w:t>
            </w:r>
          </w:p>
        </w:tc>
        <w:tc>
          <w:tcPr>
            <w:tcW w:w="553"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3"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3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294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522" w:type="dxa"/>
            <w:tcBorders>
              <w:left w:val="single" w:sz="4" w:space="0" w:color="000000"/>
              <w:bottom w:val="single" w:sz="4" w:space="0" w:color="000000"/>
              <w:right w:val="single" w:sz="4" w:space="0" w:color="000000"/>
            </w:tcBorders>
          </w:tcPr>
          <w:p>
            <w:pPr>
              <w:pStyle w:val="Normal"/>
              <w:spacing w:before="0" w:after="160"/>
              <w:rPr>
                <w:sz w:val="22"/>
              </w:rPr>
            </w:pPr>
            <w:r>
              <w:rPr>
                <w:sz w:val="22"/>
              </w:rPr>
              <w:t>67</w:t>
            </w:r>
          </w:p>
        </w:tc>
        <w:tc>
          <w:tcPr>
            <w:tcW w:w="533" w:type="dxa"/>
            <w:tcBorders>
              <w:left w:val="single" w:sz="4" w:space="0" w:color="000000"/>
              <w:bottom w:val="single" w:sz="4" w:space="0" w:color="000000"/>
              <w:right w:val="single" w:sz="4" w:space="0" w:color="000000"/>
            </w:tcBorders>
          </w:tcPr>
          <w:p>
            <w:pPr>
              <w:pStyle w:val="Normal"/>
              <w:spacing w:before="0" w:after="160"/>
              <w:rPr>
                <w:sz w:val="22"/>
              </w:rPr>
            </w:pPr>
            <w:r>
              <w:rPr>
                <w:sz w:val="22"/>
              </w:rPr>
              <w:t>C1</w:t>
            </w:r>
          </w:p>
        </w:tc>
        <w:tc>
          <w:tcPr>
            <w:tcW w:w="836" w:type="dxa"/>
            <w:tcBorders>
              <w:left w:val="single" w:sz="4" w:space="0" w:color="000000"/>
              <w:bottom w:val="single" w:sz="4" w:space="0" w:color="000000"/>
              <w:right w:val="single" w:sz="4" w:space="0" w:color="000000"/>
            </w:tcBorders>
          </w:tcPr>
          <w:p>
            <w:pPr>
              <w:pStyle w:val="Normal"/>
              <w:spacing w:before="0" w:after="160"/>
              <w:rPr>
                <w:sz w:val="22"/>
              </w:rPr>
            </w:pPr>
            <w:r>
              <w:rPr>
                <w:sz w:val="22"/>
              </w:rPr>
              <w:t>UU 27 Thn 2022 (PDP)</w:t>
            </w:r>
          </w:p>
        </w:tc>
        <w:tc>
          <w:tcPr>
            <w:tcW w:w="548" w:type="dxa"/>
            <w:tcBorders>
              <w:left w:val="single" w:sz="4" w:space="0" w:color="000000"/>
              <w:bottom w:val="single" w:sz="4" w:space="0" w:color="000000"/>
            </w:tcBorders>
          </w:tcPr>
          <w:p>
            <w:pPr>
              <w:pStyle w:val="Normal"/>
              <w:spacing w:before="0" w:after="160"/>
              <w:rPr>
                <w:sz w:val="22"/>
              </w:rPr>
            </w:pPr>
            <w:r>
              <w:rPr>
                <w:sz w:val="22"/>
              </w:rPr>
              <w:t>S1</w:t>
            </w:r>
          </w:p>
        </w:tc>
        <w:tc>
          <w:tcPr>
            <w:tcW w:w="553" w:type="dxa"/>
            <w:tcBorders>
              <w:left w:val="single" w:sz="4" w:space="0" w:color="000000"/>
              <w:bottom w:val="single" w:sz="4" w:space="0" w:color="000000"/>
              <w:right w:val="single" w:sz="4" w:space="0" w:color="000000"/>
            </w:tcBorders>
          </w:tcPr>
          <w:p>
            <w:pPr>
              <w:pStyle w:val="Normal"/>
              <w:spacing w:before="0" w:after="160"/>
              <w:rPr>
                <w:sz w:val="22"/>
              </w:rPr>
            </w:pPr>
            <w:r>
              <w:rPr>
                <w:sz w:val="22"/>
              </w:rPr>
              <w:t>R2</w:t>
            </w:r>
          </w:p>
        </w:tc>
        <w:tc>
          <w:tcPr>
            <w:tcW w:w="631" w:type="dxa"/>
            <w:tcBorders>
              <w:left w:val="single" w:sz="4" w:space="0" w:color="000000"/>
              <w:bottom w:val="single" w:sz="4" w:space="0" w:color="000000"/>
              <w:right w:val="single" w:sz="4" w:space="0" w:color="000000"/>
            </w:tcBorders>
          </w:tcPr>
          <w:p>
            <w:pPr>
              <w:pStyle w:val="Normal"/>
              <w:spacing w:before="0" w:after="160"/>
              <w:rPr>
                <w:sz w:val="22"/>
              </w:rPr>
            </w:pPr>
            <w:r>
              <w:rPr>
                <w:sz w:val="22"/>
              </w:rPr>
              <w:t>T11</w:t>
            </w:r>
          </w:p>
        </w:tc>
        <w:tc>
          <w:tcPr>
            <w:tcW w:w="514" w:type="dxa"/>
            <w:tcBorders>
              <w:left w:val="single" w:sz="4" w:space="0" w:color="000000"/>
              <w:bottom w:val="single" w:sz="4" w:space="0" w:color="000000"/>
              <w:right w:val="single" w:sz="4" w:space="0" w:color="000000"/>
            </w:tcBorders>
          </w:tcPr>
          <w:p>
            <w:pPr>
              <w:pStyle w:val="Normal"/>
              <w:spacing w:before="0" w:after="160"/>
              <w:rPr>
                <w:sz w:val="22"/>
              </w:rPr>
            </w:pPr>
            <w:r>
              <w:rPr>
                <w:sz w:val="22"/>
              </w:rPr>
              <w:t>P2</w:t>
            </w:r>
          </w:p>
        </w:tc>
        <w:tc>
          <w:tcPr>
            <w:tcW w:w="513" w:type="dxa"/>
            <w:tcBorders>
              <w:left w:val="single" w:sz="4" w:space="0" w:color="000000"/>
              <w:bottom w:val="single" w:sz="4" w:space="0" w:color="000000"/>
              <w:right w:val="single" w:sz="4" w:space="0" w:color="000000"/>
            </w:tcBorders>
          </w:tcPr>
          <w:p>
            <w:pPr>
              <w:pStyle w:val="Normal"/>
              <w:spacing w:before="0" w:after="160"/>
              <w:rPr>
                <w:sz w:val="22"/>
              </w:rPr>
            </w:pPr>
            <w:r>
              <w:rPr>
                <w:sz w:val="22"/>
              </w:rPr>
              <w:t>F6</w:t>
            </w:r>
          </w:p>
        </w:tc>
        <w:tc>
          <w:tcPr>
            <w:tcW w:w="510" w:type="dxa"/>
            <w:tcBorders>
              <w:left w:val="single" w:sz="4" w:space="0" w:color="000000"/>
              <w:bottom w:val="single" w:sz="4" w:space="0" w:color="000000"/>
              <w:right w:val="single" w:sz="4" w:space="0" w:color="000000"/>
            </w:tcBorders>
          </w:tcPr>
          <w:p>
            <w:pPr>
              <w:pStyle w:val="Normal"/>
              <w:spacing w:before="0" w:after="160"/>
              <w:rPr>
                <w:sz w:val="22"/>
              </w:rPr>
            </w:pPr>
            <w:r>
              <w:rPr>
                <w:sz w:val="22"/>
              </w:rPr>
              <w:t>K3</w:t>
            </w:r>
          </w:p>
        </w:tc>
        <w:tc>
          <w:tcPr>
            <w:tcW w:w="630" w:type="dxa"/>
            <w:tcBorders>
              <w:left w:val="single" w:sz="4" w:space="0" w:color="000000"/>
              <w:bottom w:val="single" w:sz="4" w:space="0" w:color="000000"/>
              <w:right w:val="single" w:sz="4" w:space="0" w:color="000000"/>
            </w:tcBorders>
          </w:tcPr>
          <w:p>
            <w:pPr>
              <w:pStyle w:val="Normal"/>
              <w:spacing w:before="0" w:after="160"/>
              <w:rPr>
                <w:sz w:val="22"/>
              </w:rPr>
            </w:pPr>
            <w:r>
              <w:rPr>
                <w:sz w:val="22"/>
              </w:rPr>
            </w:r>
          </w:p>
        </w:tc>
        <w:tc>
          <w:tcPr>
            <w:tcW w:w="2941" w:type="dxa"/>
            <w:tcBorders>
              <w:left w:val="single" w:sz="4" w:space="0" w:color="000000"/>
              <w:bottom w:val="single" w:sz="4" w:space="0" w:color="000000"/>
              <w:right w:val="single" w:sz="4" w:space="0" w:color="000000"/>
            </w:tcBorders>
          </w:tcPr>
          <w:p>
            <w:pPr>
              <w:pStyle w:val="Normal"/>
              <w:spacing w:before="0" w:after="160"/>
              <w:jc w:val="left"/>
              <w:rPr>
                <w:sz w:val="22"/>
              </w:rPr>
            </w:pPr>
            <w:r>
              <w:rPr>
                <w:b/>
                <w:bCs/>
                <w:sz w:val="22"/>
              </w:rPr>
              <w:t>Sistem harus</w:t>
            </w:r>
            <w:r>
              <w:rPr>
                <w:sz w:val="22"/>
              </w:rPr>
              <w:t xml:space="preserve"> menghentikan pemrosesan data pribadi paling lambat 3 x 24 jam setelah penarikan persetujuan.</w:t>
            </w:r>
          </w:p>
        </w:tc>
        <w:tc>
          <w:tcPr>
            <w:tcW w:w="614" w:type="dxa"/>
            <w:tcBorders>
              <w:left w:val="single" w:sz="4" w:space="0" w:color="000000"/>
              <w:bottom w:val="single" w:sz="4" w:space="0" w:color="000000"/>
              <w:right w:val="single" w:sz="4" w:space="0" w:color="000000"/>
            </w:tcBorders>
          </w:tcPr>
          <w:p>
            <w:pPr>
              <w:pStyle w:val="Normal"/>
              <w:spacing w:before="0" w:after="160"/>
              <w:rPr>
                <w:sz w:val="22"/>
              </w:rPr>
            </w:pPr>
            <w:r>
              <w:rPr>
                <w:sz w:val="22"/>
              </w:rPr>
            </w:r>
          </w:p>
        </w:tc>
      </w:tr>
      <w:tr>
        <w:trPr/>
        <w:tc>
          <w:tcPr>
            <w:tcW w:w="522"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33"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836"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48" w:type="dxa"/>
            <w:tcBorders>
              <w:left w:val="single" w:sz="4" w:space="0" w:color="000000"/>
              <w:bottom w:val="single" w:sz="4" w:space="0" w:color="000000"/>
            </w:tcBorders>
          </w:tcPr>
          <w:p>
            <w:pPr>
              <w:pStyle w:val="Normal"/>
              <w:spacing w:before="0" w:after="160"/>
              <w:rPr>
                <w:sz w:val="22"/>
              </w:rPr>
            </w:pPr>
            <w:r>
              <w:rPr>
                <w:sz w:val="22"/>
              </w:rPr>
              <w:t>...</w:t>
            </w:r>
          </w:p>
        </w:tc>
        <w:tc>
          <w:tcPr>
            <w:tcW w:w="553"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31"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4"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3"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510"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30"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2941"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c>
          <w:tcPr>
            <w:tcW w:w="614" w:type="dxa"/>
            <w:tcBorders>
              <w:left w:val="single" w:sz="4" w:space="0" w:color="000000"/>
              <w:bottom w:val="single" w:sz="4" w:space="0" w:color="000000"/>
              <w:right w:val="single" w:sz="4" w:space="0" w:color="000000"/>
            </w:tcBorders>
          </w:tcPr>
          <w:p>
            <w:pPr>
              <w:pStyle w:val="Normal"/>
              <w:spacing w:before="0" w:after="160"/>
              <w:rPr>
                <w:sz w:val="22"/>
              </w:rPr>
            </w:pPr>
            <w:r>
              <w:rPr>
                <w:sz w:val="22"/>
              </w:rPr>
              <w:t>...</w:t>
            </w:r>
          </w:p>
        </w:tc>
      </w:tr>
    </w:tbl>
    <w:p>
      <w:pPr>
        <w:pStyle w:val="Normal"/>
        <w:bidi w:val="0"/>
        <w:rPr>
          <w:b/>
        </w:rPr>
      </w:pPr>
      <w:r>
        <w:rPr>
          <w:b/>
        </w:rPr>
      </w:r>
    </w:p>
    <w:p>
      <w:pPr>
        <w:pStyle w:val="Heading2"/>
        <w:spacing w:before="0" w:after="100"/>
        <w:ind w:hanging="283" w:left="283" w:right="0"/>
        <w:rPr/>
      </w:pPr>
      <w:r>
        <w:rPr/>
        <w:t>4. Daftar Variabel</w:t>
      </w:r>
    </w:p>
    <w:p>
      <w:pPr>
        <w:pStyle w:val="Normal"/>
        <w:rPr/>
      </w:pPr>
      <w:r>
        <w:rPr/>
        <w:t xml:space="preserve">Tabel berikut ini menjelaskan kolom dan nilai yang sah pada satu baris untuk diisikan ke lembar </w:t>
      </w:r>
      <w:r>
        <w:rPr>
          <w:i/>
          <w:iCs/>
        </w:rPr>
        <w:t>coding</w:t>
      </w:r>
      <w:r>
        <w:rPr/>
        <w:t>:</w:t>
      </w:r>
    </w:p>
    <w:tbl>
      <w:tblPr>
        <w:tblW w:w="9345" w:type="dxa"/>
        <w:jc w:val="left"/>
        <w:tblInd w:w="0" w:type="dxa"/>
        <w:tblLayout w:type="fixed"/>
        <w:tblCellMar>
          <w:top w:w="0" w:type="dxa"/>
          <w:left w:w="108" w:type="dxa"/>
          <w:bottom w:w="0" w:type="dxa"/>
          <w:right w:w="108" w:type="dxa"/>
        </w:tblCellMar>
      </w:tblPr>
      <w:tblGrid>
        <w:gridCol w:w="555"/>
        <w:gridCol w:w="914"/>
        <w:gridCol w:w="1936"/>
        <w:gridCol w:w="3510"/>
        <w:gridCol w:w="900"/>
        <w:gridCol w:w="731"/>
        <w:gridCol w:w="799"/>
      </w:tblGrid>
      <w:tr>
        <w:trPr>
          <w:tblHeader w:val="true"/>
        </w:trPr>
        <w:tc>
          <w:tcPr>
            <w:tcW w:w="55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Kolom</w:t>
            </w:r>
          </w:p>
        </w:tc>
        <w:tc>
          <w:tcPr>
            <w:tcW w:w="914"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Nama variabel</w:t>
            </w:r>
          </w:p>
        </w:tc>
        <w:tc>
          <w:tcPr>
            <w:tcW w:w="1936" w:type="dxa"/>
            <w:tcBorders>
              <w:top w:val="single" w:sz="4" w:space="0" w:color="000000"/>
              <w:left w:val="single" w:sz="4" w:space="0" w:color="000000"/>
              <w:bottom w:val="single" w:sz="4" w:space="0" w:color="000000"/>
            </w:tcBorders>
            <w:shd w:fill="F2F2F2" w:val="clear"/>
          </w:tcPr>
          <w:p>
            <w:pPr>
              <w:pStyle w:val="Normal"/>
              <w:spacing w:before="0" w:after="160"/>
              <w:rPr>
                <w:sz w:val="18"/>
                <w:szCs w:val="18"/>
              </w:rPr>
            </w:pPr>
            <w:r>
              <w:rPr>
                <w:sz w:val="18"/>
                <w:szCs w:val="18"/>
              </w:rPr>
              <w:t>Nilai yang sah</w:t>
            </w:r>
          </w:p>
        </w:tc>
        <w:tc>
          <w:tcPr>
            <w:tcW w:w="351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Keterangan</w:t>
            </w:r>
          </w:p>
        </w:tc>
        <w:tc>
          <w:tcPr>
            <w:tcW w:w="9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Tipe</w:t>
            </w:r>
          </w:p>
        </w:tc>
        <w:tc>
          <w:tcPr>
            <w:tcW w:w="73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Wajib</w:t>
            </w:r>
          </w:p>
        </w:tc>
        <w:tc>
          <w:tcPr>
            <w:tcW w:w="79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18"/>
                <w:szCs w:val="18"/>
              </w:rPr>
            </w:pPr>
            <w:r>
              <w:rPr>
                <w:sz w:val="18"/>
                <w:szCs w:val="18"/>
              </w:rPr>
              <w:t>Hitung α</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V1</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ID_Unit</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Nomor baris Excel (2 sampai 86)</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 xml:space="preserve">Nomor baris pada </w:t>
            </w:r>
            <w:r>
              <w:rPr>
                <w:i/>
                <w:iCs/>
                <w:sz w:val="18"/>
                <w:szCs w:val="18"/>
              </w:rPr>
              <w:t>sheet</w:t>
            </w:r>
            <w:r>
              <w:rPr>
                <w:sz w:val="18"/>
                <w:szCs w:val="18"/>
              </w:rPr>
              <w:t xml:space="preserve"> Korpus; terisi otomatis.</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Identitas</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V2</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Kode_Coder</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Inisial atau nomor coder</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 xml:space="preserve">Diisi sekali pada sel C4 </w:t>
            </w:r>
            <w:r>
              <w:rPr>
                <w:i/>
                <w:iCs/>
                <w:sz w:val="18"/>
                <w:szCs w:val="18"/>
              </w:rPr>
              <w:t>sheet</w:t>
            </w:r>
            <w:r>
              <w:rPr>
                <w:sz w:val="18"/>
                <w:szCs w:val="18"/>
              </w:rPr>
              <w:t xml:space="preserve"> Petunjuk; terisi otomatis.</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Identitas</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V3</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Dokumen</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Salinan kolom Dokumen</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 xml:space="preserve">Terisi otomatis dari </w:t>
            </w:r>
            <w:r>
              <w:rPr>
                <w:i/>
                <w:iCs/>
                <w:sz w:val="18"/>
                <w:szCs w:val="18"/>
              </w:rPr>
              <w:t>sheet</w:t>
            </w:r>
            <w:r>
              <w:rPr>
                <w:sz w:val="18"/>
                <w:szCs w:val="18"/>
              </w:rPr>
              <w:t xml:space="preserve"> Korpus.</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Identitas</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r>
        <w:trPr/>
        <w:tc>
          <w:tcPr>
            <w:tcW w:w="555"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V4</w:t>
            </w:r>
          </w:p>
        </w:tc>
        <w:tc>
          <w:tcPr>
            <w:tcW w:w="914"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Subjek_Norma</w:t>
            </w:r>
          </w:p>
        </w:tc>
        <w:tc>
          <w:tcPr>
            <w:tcW w:w="1936" w:type="dxa"/>
            <w:tcBorders>
              <w:left w:val="single" w:sz="4" w:space="0" w:color="000000"/>
              <w:bottom w:val="single" w:sz="4" w:space="0" w:color="000000"/>
            </w:tcBorders>
          </w:tcPr>
          <w:p>
            <w:pPr>
              <w:pStyle w:val="Normal"/>
              <w:spacing w:before="0" w:after="160"/>
              <w:rPr>
                <w:sz w:val="18"/>
                <w:szCs w:val="18"/>
              </w:rPr>
            </w:pPr>
            <w:r>
              <w:rPr>
                <w:sz w:val="18"/>
                <w:szCs w:val="18"/>
              </w:rPr>
              <w:t>S1 sampai S9</w:t>
            </w:r>
          </w:p>
        </w:tc>
        <w:tc>
          <w:tcPr>
            <w:tcW w:w="3510"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Pihak yang dituju teks. Lihat Bagian 7.1</w:t>
            </w:r>
          </w:p>
        </w:tc>
        <w:tc>
          <w:tcPr>
            <w:tcW w:w="900"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V5</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Relevansi</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R0, R1, R2</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i w:val="false"/>
                <w:iCs w:val="false"/>
                <w:sz w:val="18"/>
                <w:szCs w:val="18"/>
              </w:rPr>
              <w:t>R0 tidak relevan, R1 relevan tidak langsung, R2 relevan langsung (lihat Bagian 7.2). Tentukan dengan Uji Implikasi Bagian 6.</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Ordinal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V6</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Tema_Utama</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T01 sampai T17, T99</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Pilih satu tema dominan dari pohon keputusan Bagian 7.3. Pemilihan T99 wajib dijelaskan di V12.</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V7</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Jenis_Pernyataan</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P1 sampai P9</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Lihat Bagian 7.4</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V8</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Tahap_Scraping</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F1 sampai F8</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Tahap siklus data yang terkait dari awal hingga akhir. Lihat Bagian 7.5</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V9</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Kebutuhan_SRS</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K1 sampai K5</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Kandidat jenis kebutuhan SRS diperiksa berurutan K1 ke K5. Lihat Bagian 7.6</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Ya</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V10</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Tema_Sekunder</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T01 sampai T17 (opsional)</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Tema kedua bila unit memuat dua tema (gunakan kode dari Bagian 8). T99 tidak digunakan di sini.</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Nominal</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V11</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Draf_Kebutuhan</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Teks bebas, satu kalimat "Sistem harus …" atau “Sistem tidak boleh ...” (opsional, untuk R2)</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Hanya untuk unit R2; ditulis tanpa asumsi (Bagian 6).</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Teks bebas</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r>
        <w:trPr/>
        <w:tc>
          <w:tcPr>
            <w:tcW w:w="5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V12</w:t>
            </w:r>
          </w:p>
        </w:tc>
        <w:tc>
          <w:tcPr>
            <w:tcW w:w="91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Catatan</w:t>
            </w:r>
          </w:p>
        </w:tc>
        <w:tc>
          <w:tcPr>
            <w:tcW w:w="1936" w:type="dxa"/>
            <w:tcBorders>
              <w:top w:val="single" w:sz="4" w:space="0" w:color="000000"/>
              <w:left w:val="single" w:sz="4" w:space="0" w:color="000000"/>
              <w:bottom w:val="single" w:sz="4" w:space="0" w:color="000000"/>
            </w:tcBorders>
          </w:tcPr>
          <w:p>
            <w:pPr>
              <w:pStyle w:val="Normal"/>
              <w:spacing w:before="0" w:after="160"/>
              <w:rPr>
                <w:sz w:val="18"/>
                <w:szCs w:val="18"/>
              </w:rPr>
            </w:pPr>
            <w:r>
              <w:rPr>
                <w:sz w:val="18"/>
                <w:szCs w:val="18"/>
              </w:rPr>
              <w:t>Teks bebas</w:t>
            </w:r>
          </w:p>
        </w:tc>
        <w:tc>
          <w:tcPr>
            <w:tcW w:w="35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Digunakan untuk alasan T99, adanya keraguan, salah ketik atau teks terpotong, dan penjelasan lain bila aturan konsistensi tidak terpenuhi (Bagian 5.1 dan 9.1).</w:t>
            </w:r>
          </w:p>
        </w:tc>
        <w:tc>
          <w:tcPr>
            <w:tcW w:w="9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Teks bebas</w:t>
            </w:r>
          </w:p>
        </w:tc>
        <w:tc>
          <w:tcPr>
            <w:tcW w:w="7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c>
          <w:tcPr>
            <w:tcW w:w="79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18"/>
                <w:szCs w:val="18"/>
              </w:rPr>
            </w:pPr>
            <w:r>
              <w:rPr>
                <w:sz w:val="18"/>
                <w:szCs w:val="18"/>
              </w:rPr>
              <w:t>Tidak</w:t>
            </w:r>
          </w:p>
        </w:tc>
      </w:tr>
    </w:tbl>
    <w:p>
      <w:pPr>
        <w:pStyle w:val="Normal"/>
        <w:bidi w:val="0"/>
        <w:rPr>
          <w:b/>
        </w:rPr>
      </w:pPr>
      <w:r>
        <w:rPr>
          <w:b/>
        </w:rPr>
      </w:r>
    </w:p>
    <w:p>
      <w:pPr>
        <w:pStyle w:val="Heading2"/>
        <w:ind w:hanging="283" w:left="283" w:right="0"/>
        <w:rPr/>
      </w:pPr>
      <w:r>
        <w:rPr/>
        <w:t xml:space="preserve">5. Prosedur </w:t>
      </w:r>
      <w:r>
        <w:rPr>
          <w:i/>
          <w:iCs/>
        </w:rPr>
        <w:t>Coding</w:t>
      </w:r>
    </w:p>
    <w:p>
      <w:pPr>
        <w:pStyle w:val="Heading3"/>
        <w:ind w:hanging="0" w:left="0"/>
        <w:rPr/>
      </w:pPr>
      <w:r>
        <w:rPr/>
        <w:t xml:space="preserve">5.1 Prinsip dasar </w:t>
      </w:r>
      <w:r>
        <w:rPr>
          <w:i/>
          <w:iCs/>
        </w:rPr>
        <w:t>coding</w:t>
      </w:r>
      <w:r>
        <w:rPr>
          <w:i w:val="false"/>
          <w:iCs w:val="false"/>
        </w:rPr>
        <w:t xml:space="preserve"> </w:t>
      </w:r>
    </w:p>
    <w:p>
      <w:pPr>
        <w:pStyle w:val="Normal"/>
        <w:numPr>
          <w:ilvl w:val="0"/>
          <w:numId w:val="12"/>
        </w:numPr>
        <w:rPr/>
      </w:pPr>
      <w:r>
        <w:rPr/>
        <w:t xml:space="preserve">Kodekan </w:t>
      </w:r>
      <w:r>
        <w:rPr>
          <w:b/>
        </w:rPr>
        <w:t>isi yang tertulis</w:t>
      </w:r>
      <w:r>
        <w:rPr/>
        <w:t xml:space="preserve"> pada kolom </w:t>
      </w:r>
      <w:r>
        <w:rPr>
          <w:i/>
        </w:rPr>
        <w:t>Isi</w:t>
      </w:r>
      <w:r>
        <w:rPr/>
        <w:t>. Jangan menambahkan pengetahuan hukum dari luar korpus, termasuk pasal lain yang tidak ada pada baris tersebut.</w:t>
      </w:r>
    </w:p>
    <w:p>
      <w:pPr>
        <w:pStyle w:val="Normal"/>
        <w:numPr>
          <w:ilvl w:val="0"/>
          <w:numId w:val="6"/>
        </w:numPr>
        <w:rPr/>
      </w:pPr>
      <w:r>
        <w:rPr/>
        <w:t>Satu unit, satu kode per variabel (kecuali V10 yang opsional).</w:t>
      </w:r>
    </w:p>
    <w:p>
      <w:pPr>
        <w:pStyle w:val="Normal"/>
        <w:numPr>
          <w:ilvl w:val="0"/>
          <w:numId w:val="6"/>
        </w:numPr>
        <w:rPr/>
      </w:pPr>
      <w:r>
        <w:rPr/>
        <w:t>Jangan mengoreksi salah ketik atau teks yang terpotong (misalnya baris 44, 52, dan 73). Kodekan berdasarkan makna yang paling mungkin dan catat kendalanya di V12.</w:t>
      </w:r>
    </w:p>
    <w:p>
      <w:pPr>
        <w:pStyle w:val="Normal"/>
        <w:numPr>
          <w:ilvl w:val="0"/>
          <w:numId w:val="6"/>
        </w:numPr>
        <w:rPr/>
      </w:pPr>
      <w:r>
        <w:rPr/>
        <w:t xml:space="preserve">Kodekan setiap unit secara independen. Jangan berdiskusi dengan </w:t>
      </w:r>
      <w:r>
        <w:rPr>
          <w:i/>
          <w:iCs/>
        </w:rPr>
        <w:t>coder</w:t>
      </w:r>
      <w:r>
        <w:rPr/>
        <w:t xml:space="preserve"> lain sebelum seluruh unit selesai dikodekan.</w:t>
      </w:r>
    </w:p>
    <w:p>
      <w:pPr>
        <w:pStyle w:val="Normal"/>
        <w:numPr>
          <w:ilvl w:val="0"/>
          <w:numId w:val="6"/>
        </w:numPr>
        <w:rPr/>
      </w:pPr>
      <w:r>
        <w:rPr/>
        <w:t>Tentukan V6 dan V4 dari kolom Isi, bukan dari judul BAB atau Bagian.</w:t>
      </w:r>
    </w:p>
    <w:p>
      <w:pPr>
        <w:pStyle w:val="Heading3"/>
        <w:ind w:hanging="0" w:left="0"/>
        <w:rPr/>
      </w:pPr>
      <w:r>
        <w:rPr/>
        <w:t xml:space="preserve">5.2 Tahapan </w:t>
      </w:r>
      <w:r>
        <w:rPr>
          <w:i/>
          <w:iCs/>
        </w:rPr>
        <w:t>Coding</w:t>
      </w:r>
      <w:r>
        <w:rPr/>
        <w:t xml:space="preserve"> </w:t>
      </w:r>
    </w:p>
    <w:p>
      <w:pPr>
        <w:pStyle w:val="Normal"/>
        <w:rPr>
          <w:i w:val="false"/>
          <w:iCs w:val="false"/>
        </w:rPr>
      </w:pPr>
      <w:r>
        <w:rPr>
          <w:i w:val="false"/>
          <w:iCs w:val="false"/>
        </w:rPr>
        <w:t xml:space="preserve">Berikut ini adalah tahapan yang harus dilakukan </w:t>
      </w:r>
      <w:r>
        <w:rPr>
          <w:i/>
          <w:iCs/>
        </w:rPr>
        <w:t>coder</w:t>
      </w:r>
      <w:r>
        <w:rPr>
          <w:i w:val="false"/>
          <w:iCs w:val="false"/>
        </w:rPr>
        <w:t xml:space="preserve"> untuk melakukan </w:t>
      </w:r>
      <w:r>
        <w:rPr>
          <w:i/>
          <w:iCs/>
        </w:rPr>
        <w:t>coding</w:t>
      </w:r>
      <w:r>
        <w:rPr>
          <w:i w:val="false"/>
          <w:iCs w:val="false"/>
        </w:rPr>
        <w:t>.</w:t>
      </w:r>
    </w:p>
    <w:p>
      <w:pPr>
        <w:pStyle w:val="Normal"/>
        <w:numPr>
          <w:ilvl w:val="0"/>
          <w:numId w:val="13"/>
        </w:numPr>
        <w:rPr/>
      </w:pPr>
      <w:r>
        <w:rPr/>
        <w:t>Buka lembar coding lalu isi kode coder satu kali pada sel C4 sheet Petunjuk; V2 terisi otomatis.</w:t>
      </w:r>
    </w:p>
    <w:p>
      <w:pPr>
        <w:pStyle w:val="Normal"/>
        <w:numPr>
          <w:ilvl w:val="0"/>
          <w:numId w:val="6"/>
        </w:numPr>
        <w:rPr/>
      </w:pPr>
      <w:r>
        <w:rPr/>
        <w:t xml:space="preserve">Baca kolom </w:t>
      </w:r>
      <w:r>
        <w:rPr>
          <w:i/>
        </w:rPr>
        <w:t>Isi</w:t>
      </w:r>
      <w:r>
        <w:rPr/>
        <w:t xml:space="preserve"> secara utuh, lalu baca kolom Rujukan (Pasal, atau Paragraf dan Kalimat). Konteks dari kolom Rujukan tersedia pada kolom BAB dan Bagian yang tersembunyi di </w:t>
      </w:r>
      <w:r>
        <w:rPr>
          <w:i/>
          <w:iCs/>
        </w:rPr>
        <w:t>sheet</w:t>
      </w:r>
      <w:r>
        <w:rPr/>
        <w:t xml:space="preserve"> Korpus; buka hanya bila perlu memahami rujukan antarunit.</w:t>
      </w:r>
    </w:p>
    <w:p>
      <w:pPr>
        <w:pStyle w:val="Normal"/>
        <w:numPr>
          <w:ilvl w:val="0"/>
          <w:numId w:val="6"/>
        </w:numPr>
        <w:rPr/>
      </w:pPr>
      <w:r>
        <w:rPr/>
        <w:t xml:space="preserve">Tentukan </w:t>
      </w:r>
      <w:r>
        <w:rPr>
          <w:b/>
        </w:rPr>
        <w:t>V4 Subjek Norma</w:t>
      </w:r>
      <w:r>
        <w:rPr/>
        <w:t xml:space="preserve"> (Bagian 7.1) terlebih dahulu, kemudian </w:t>
      </w:r>
      <w:r>
        <w:rPr>
          <w:b/>
          <w:bCs/>
        </w:rPr>
        <w:t>V5 Relevansi</w:t>
      </w:r>
      <w:r>
        <w:rPr>
          <w:b w:val="false"/>
          <w:bCs w:val="false"/>
        </w:rPr>
        <w:t xml:space="preserve"> (Bagian 7.2)</w:t>
      </w:r>
      <w:r>
        <w:rPr/>
        <w:t xml:space="preserve"> dengan Uji Implikasi (Bagian 6).</w:t>
      </w:r>
    </w:p>
    <w:p>
      <w:pPr>
        <w:pStyle w:val="Normal"/>
        <w:numPr>
          <w:ilvl w:val="0"/>
          <w:numId w:val="6"/>
        </w:numPr>
        <w:rPr/>
      </w:pPr>
      <w:r>
        <w:rPr/>
        <w:t xml:space="preserve">Tentukan </w:t>
      </w:r>
      <w:r>
        <w:rPr>
          <w:b/>
        </w:rPr>
        <w:t>V6 Tema Utama</w:t>
      </w:r>
      <w:r>
        <w:rPr/>
        <w:t xml:space="preserve"> dengan pohon keputusan (Bagian 7.3).</w:t>
      </w:r>
    </w:p>
    <w:p>
      <w:pPr>
        <w:pStyle w:val="Normal"/>
        <w:numPr>
          <w:ilvl w:val="0"/>
          <w:numId w:val="6"/>
        </w:numPr>
        <w:rPr/>
      </w:pPr>
      <w:r>
        <w:rPr/>
        <w:t xml:space="preserve">Tentukan </w:t>
      </w:r>
      <w:r>
        <w:rPr>
          <w:b/>
        </w:rPr>
        <w:t>V7 Jenis Pernyataan</w:t>
      </w:r>
      <w:r>
        <w:rPr>
          <w:b w:val="false"/>
          <w:bCs w:val="false"/>
        </w:rPr>
        <w:t xml:space="preserve"> (Bagian 7.4) </w:t>
      </w:r>
      <w:r>
        <w:rPr/>
        <w:t xml:space="preserve">dan </w:t>
      </w:r>
      <w:r>
        <w:rPr>
          <w:b/>
        </w:rPr>
        <w:t>V8 Tahap Siklus Scraping</w:t>
      </w:r>
      <w:r>
        <w:rPr/>
        <w:t xml:space="preserve"> (Bagian 7.5).</w:t>
      </w:r>
    </w:p>
    <w:p>
      <w:pPr>
        <w:pStyle w:val="Normal"/>
        <w:numPr>
          <w:ilvl w:val="0"/>
          <w:numId w:val="6"/>
        </w:numPr>
        <w:rPr/>
      </w:pPr>
      <w:r>
        <w:rPr/>
        <w:t xml:space="preserve">Tentukan </w:t>
      </w:r>
      <w:r>
        <w:rPr>
          <w:b/>
        </w:rPr>
        <w:t>V9 Kandidat Kebutuhan SRS</w:t>
      </w:r>
      <w:r>
        <w:rPr/>
        <w:t xml:space="preserve"> (Bagian 7.6), lalu periksa konsistensi antarvariabel (Bagian 9).</w:t>
      </w:r>
    </w:p>
    <w:p>
      <w:pPr>
        <w:pStyle w:val="Normal"/>
        <w:numPr>
          <w:ilvl w:val="0"/>
          <w:numId w:val="6"/>
        </w:numPr>
        <w:rPr/>
      </w:pPr>
      <w:r>
        <w:rPr/>
        <w:t xml:space="preserve">Untuk unit R2, tulis </w:t>
      </w:r>
      <w:r>
        <w:rPr>
          <w:b/>
        </w:rPr>
        <w:t>V11 Draf Kebutuhan</w:t>
      </w:r>
      <w:r>
        <w:rPr/>
        <w:t xml:space="preserve"> dalam satu kalimat (opsional).</w:t>
      </w:r>
    </w:p>
    <w:p>
      <w:pPr>
        <w:pStyle w:val="Normal"/>
        <w:numPr>
          <w:ilvl w:val="0"/>
          <w:numId w:val="6"/>
        </w:numPr>
        <w:rPr/>
      </w:pPr>
      <w:r>
        <w:rPr/>
        <w:t xml:space="preserve">Catat keraguan di </w:t>
      </w:r>
      <w:r>
        <w:rPr>
          <w:b/>
        </w:rPr>
        <w:t>V12 Catatan</w:t>
      </w:r>
      <w:r>
        <w:rPr/>
        <w:t>. Jangan mengosongkan variabel wajib. Gunakan kode residual “T99” pada V6 bila tidak ada tema yang cocok.</w:t>
      </w:r>
    </w:p>
    <w:p>
      <w:pPr>
        <w:pStyle w:val="Heading2"/>
        <w:bidi w:val="0"/>
        <w:ind w:hanging="283" w:left="283" w:right="0"/>
        <w:rPr/>
      </w:pPr>
      <w:r>
        <w:rPr/>
        <w:t>6. Kerangka Penalaran: Menghubungkan Teks Hukum dengan Web Scraping</w:t>
      </w:r>
    </w:p>
    <w:p>
      <w:pPr>
        <w:pStyle w:val="Normal"/>
        <w:rPr/>
      </w:pPr>
      <w:r>
        <w:rPr/>
        <w:t xml:space="preserve">Korpus tidak memuat istilah </w:t>
      </w:r>
      <w:r>
        <w:rPr>
          <w:i/>
        </w:rPr>
        <w:t>web scraping</w:t>
      </w:r>
      <w:r>
        <w:rPr/>
        <w:t xml:space="preserve">, </w:t>
      </w:r>
      <w:r>
        <w:rPr>
          <w:i/>
        </w:rPr>
        <w:t>crawling</w:t>
      </w:r>
      <w:r>
        <w:rPr/>
        <w:t xml:space="preserve">, atau </w:t>
      </w:r>
      <w:r>
        <w:rPr>
          <w:i/>
        </w:rPr>
        <w:t>scraper</w:t>
      </w:r>
      <w:r>
        <w:rPr/>
        <w:t xml:space="preserve">. Hubungan antara teks dan sistem </w:t>
      </w:r>
      <w:r>
        <w:rPr>
          <w:i/>
          <w:iCs/>
        </w:rPr>
        <w:t>scraping</w:t>
      </w:r>
      <w:r>
        <w:rPr/>
        <w:t xml:space="preserve"> harus dibuat secara seragam oleh semua coder melalui </w:t>
      </w:r>
      <w:r>
        <w:rPr>
          <w:b/>
        </w:rPr>
        <w:t>Uji Implikasi</w:t>
      </w:r>
      <w:r>
        <w:rPr/>
        <w:t xml:space="preserve"> berikut.</w:t>
      </w:r>
    </w:p>
    <w:p>
      <w:pPr>
        <w:pStyle w:val="Normal"/>
        <w:rPr/>
      </w:pPr>
      <w:r>
        <w:rPr>
          <w:b/>
        </w:rPr>
        <w:t>Uji Implikasi:</w:t>
      </w:r>
      <w:r>
        <w:rPr/>
        <w:t xml:space="preserve"> Sebuah sistem </w:t>
      </w:r>
      <w:r>
        <w:rPr>
          <w:i/>
          <w:iCs/>
        </w:rPr>
        <w:t>web scraping</w:t>
      </w:r>
      <w:r>
        <w:rPr/>
        <w:t xml:space="preserve"> melakukan rangkaian aktivitas pada siklus datanya (menentukan target web, mengumpulkan, mengolah, menyimpan, menyebarkan, atau menghapus data). Jalankan pertanyaan berikut secara berurutan dan berhenti pada jawaban pertama yang menentukan variabel V5 Relevansi:</w:t>
      </w:r>
    </w:p>
    <w:p>
      <w:pPr>
        <w:pStyle w:val="Normal"/>
        <w:numPr>
          <w:ilvl w:val="0"/>
          <w:numId w:val="3"/>
        </w:numPr>
        <w:rPr/>
      </w:pPr>
      <w:r>
        <w:rPr>
          <w:b/>
        </w:rPr>
        <w:t>Pertanyaan a.</w:t>
      </w:r>
      <w:r>
        <w:rPr/>
        <w:t xml:space="preserve"> Apakah unit memuat norma (kewajiban, larangan, hak, kewenangan, syarat, atau pengecualian) yang menyangkut siklus data tersebut? Jika “Ya” lanjut ke pertanyaan b, jika tidak maka lanjut ke pertanyaan c.</w:t>
      </w:r>
    </w:p>
    <w:p>
      <w:pPr>
        <w:pStyle w:val="Normal"/>
        <w:numPr>
          <w:ilvl w:val="0"/>
          <w:numId w:val="3"/>
        </w:numPr>
        <w:rPr/>
      </w:pPr>
      <w:r>
        <w:rPr>
          <w:b/>
        </w:rPr>
        <w:t>Pertanyaan b.</w:t>
      </w:r>
      <w:r>
        <w:rPr/>
        <w:t xml:space="preserve"> </w:t>
      </w:r>
      <w:r>
        <w:rPr>
          <w:b w:val="false"/>
          <w:bCs w:val="false"/>
        </w:rPr>
        <w:t xml:space="preserve">Apakah norma itu ditujukan kepada S1 sampai S5 atau tanpa subjek eksplisit (S9) (Bagian 7.1), dan dapat ditulis menjadi satu kalimat “Sistem harus/tidak boleh …” </w:t>
      </w:r>
      <w:r>
        <w:rPr/>
        <w:t>tanpa menambah asumsi (definisi asumsi di bawah)?</w:t>
      </w:r>
      <w:r>
        <w:rPr>
          <w:b w:val="false"/>
          <w:bCs w:val="false"/>
        </w:rPr>
        <w:t xml:space="preserve"> Jika keduanya terpenuhi maka </w:t>
      </w:r>
      <w:r>
        <w:rPr>
          <w:b/>
          <w:bCs/>
        </w:rPr>
        <w:t>R2</w:t>
      </w:r>
      <w:r>
        <w:rPr>
          <w:b w:val="false"/>
          <w:bCs w:val="false"/>
        </w:rPr>
        <w:t>,</w:t>
      </w:r>
      <w:r>
        <w:rPr>
          <w:color w:val="auto"/>
        </w:rPr>
        <w:t xml:space="preserve"> jika salah satu atau keduanya tidak terpenuhi </w:t>
      </w:r>
      <w:r>
        <w:rPr>
          <w:b w:val="false"/>
          <w:bCs w:val="false"/>
        </w:rPr>
        <w:t xml:space="preserve">maka </w:t>
      </w:r>
      <w:r>
        <w:rPr>
          <w:b/>
          <w:bCs/>
        </w:rPr>
        <w:t>R1</w:t>
      </w:r>
      <w:r>
        <w:rPr>
          <w:b w:val="false"/>
          <w:bCs w:val="false"/>
        </w:rPr>
        <w:t>.</w:t>
      </w:r>
    </w:p>
    <w:p>
      <w:pPr>
        <w:pStyle w:val="Normal"/>
        <w:numPr>
          <w:ilvl w:val="0"/>
          <w:numId w:val="3"/>
        </w:numPr>
        <w:rPr/>
      </w:pPr>
      <w:r>
        <w:rPr>
          <w:b/>
        </w:rPr>
        <w:t>Pertanyaan c.</w:t>
      </w:r>
      <w:r>
        <w:rPr/>
        <w:t xml:space="preserve"> Apakah teks mendefinisikan istilah, menyatakan asas, atau menyampaikan konsep, urgensi, atau rekomendasi umum pelindungan data? Jika “Ya” maka </w:t>
      </w:r>
      <w:r>
        <w:rPr>
          <w:b/>
          <w:bCs/>
        </w:rPr>
        <w:t>R1</w:t>
      </w:r>
      <w:r>
        <w:rPr/>
        <w:t xml:space="preserve"> dan jika “Tidak” maka </w:t>
      </w:r>
      <w:r>
        <w:rPr>
          <w:b/>
          <w:bCs/>
        </w:rPr>
        <w:t>R0</w:t>
      </w:r>
      <w:r>
        <w:rPr/>
        <w:t>.</w:t>
      </w:r>
    </w:p>
    <w:p>
      <w:pPr>
        <w:pStyle w:val="Normal"/>
        <w:rPr/>
      </w:pPr>
      <w:r>
        <w:rPr>
          <w:b/>
        </w:rPr>
        <w:t>Definisi asumsi.</w:t>
      </w:r>
      <w:r>
        <w:rPr/>
        <w:t xml:space="preserve"> Asumsi adalah informasi yang tidak tertulis pada unit pencatatan maupun unit konteksnya (Bagian 2.2) dan tidak dapat disimpulkan dari definisi istilah dalam Pasal 1 dokumen yang sama (bila ada). Definisi ini berlaku di seluruh codebook.</w:t>
      </w:r>
    </w:p>
    <w:p>
      <w:pPr>
        <w:pStyle w:val="Heading2"/>
        <w:spacing w:before="0" w:after="100"/>
        <w:ind w:hanging="283" w:left="283" w:right="0"/>
        <w:rPr/>
      </w:pPr>
      <w:r>
        <w:rPr/>
        <w:t>7. Definisi Kategori</w:t>
      </w:r>
    </w:p>
    <w:p>
      <w:pPr>
        <w:pStyle w:val="Heading3"/>
        <w:spacing w:before="0" w:after="80"/>
        <w:ind w:hanging="0" w:left="0"/>
        <w:rPr/>
      </w:pPr>
      <w:r>
        <w:rPr/>
        <w:t>7.1 V4: Subjek Norma</w:t>
      </w:r>
    </w:p>
    <w:p>
      <w:pPr>
        <w:pStyle w:val="Normal"/>
        <w:rPr/>
      </w:pPr>
      <w:r>
        <w:rPr/>
        <w:t>Kodekan pihak yang secara eksplisit menjadi subjek tata bahasa norma utama pada kolom “</w:t>
      </w:r>
      <w:r>
        <w:rPr>
          <w:i/>
        </w:rPr>
        <w:t>Isi”</w:t>
      </w:r>
      <w:r>
        <w:rPr/>
        <w:t>. Jangan menyimpulkan subjek dari judul BAB.</w:t>
      </w:r>
    </w:p>
    <w:tbl>
      <w:tblPr>
        <w:tblW w:w="9360" w:type="dxa"/>
        <w:jc w:val="left"/>
        <w:tblInd w:w="0" w:type="dxa"/>
        <w:tblLayout w:type="fixed"/>
        <w:tblCellMar>
          <w:top w:w="0" w:type="dxa"/>
          <w:left w:w="108" w:type="dxa"/>
          <w:bottom w:w="0" w:type="dxa"/>
          <w:right w:w="108" w:type="dxa"/>
        </w:tblCellMar>
      </w:tblPr>
      <w:tblGrid>
        <w:gridCol w:w="775"/>
        <w:gridCol w:w="2954"/>
        <w:gridCol w:w="5631"/>
      </w:tblGrid>
      <w:tr>
        <w:trPr>
          <w:tblHeader w:val="true"/>
        </w:trPr>
        <w:tc>
          <w:tcPr>
            <w:tcW w:w="77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2954"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Subjek</w:t>
            </w:r>
          </w:p>
        </w:tc>
        <w:tc>
          <w:tcPr>
            <w:tcW w:w="5631"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Catatan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S1</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Pengendali Data Pribadi</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 xml:space="preserve">Disebut sebagai subjek norma. Operator </w:t>
            </w:r>
            <w:r>
              <w:rPr>
                <w:i/>
                <w:iCs/>
                <w:sz w:val="22"/>
              </w:rPr>
              <w:t>scraper</w:t>
            </w:r>
            <w:r>
              <w:rPr>
                <w:sz w:val="22"/>
              </w:rPr>
              <w:t xml:space="preserve"> yang menentukan tujuan dan cara pemrosesan dipetakan ke S1 saat penurunan SRS.</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S2</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Prosesor Data Pribadi</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Disebut sebagai subjek norma.</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S3</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Pengendali dan Prosesor</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Keduanya disebut bersamaan.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S4</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Subjek Data Pribadi</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Pemilik data sebagai pemegang hak.</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S5</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Setiap Orang atau pihak umum</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"Setiap Orang", "Setiap orang", atau pihak umum lain, termasuk Badan Publik dan Organisasi Internasional bila disebut bersama.</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S6</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Instansi atau Badan Publik</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Instansi Pusat, Instansi Daerah, atau Badan Publik sebagai satu-satunya subjek.</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S7</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Lembaga atau Pemerintah (otoritas)</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Lembaga pelaksana, Pemerintah sebagai pembuat kebijakan.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S8</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Penyelenggara sektor atau pihak lain</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Misalnya penyelenggara jasa keuangan pada kutipan artikel.</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S9</w:t>
            </w:r>
          </w:p>
        </w:tc>
        <w:tc>
          <w:tcPr>
            <w:tcW w:w="2954"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Tidak ada subjek eksplisit</w:t>
            </w:r>
          </w:p>
        </w:tc>
        <w:tc>
          <w:tcPr>
            <w:tcW w:w="563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Definisi, asas, kalimat pasif tanpa pelaku, dan opini umum.</w:t>
            </w:r>
          </w:p>
        </w:tc>
      </w:tr>
    </w:tbl>
    <w:p>
      <w:pPr>
        <w:pStyle w:val="Normal"/>
        <w:rPr/>
      </w:pPr>
      <w:r>
        <w:rPr/>
      </w:r>
    </w:p>
    <w:p>
      <w:pPr>
        <w:pStyle w:val="Heading3"/>
        <w:ind w:hanging="0" w:left="0"/>
        <w:rPr>
          <w:b/>
          <w:bCs/>
          <w:i w:val="false"/>
          <w:iCs w:val="false"/>
        </w:rPr>
      </w:pPr>
      <w:r>
        <w:rPr/>
        <w:t xml:space="preserve">7.2 V5: Relevansi terhadap </w:t>
      </w:r>
      <w:r>
        <w:rPr>
          <w:i/>
          <w:iCs/>
        </w:rPr>
        <w:t>Web Scraping</w:t>
      </w:r>
    </w:p>
    <w:tbl>
      <w:tblPr>
        <w:tblW w:w="9350" w:type="dxa"/>
        <w:jc w:val="left"/>
        <w:tblInd w:w="0" w:type="dxa"/>
        <w:tblLayout w:type="fixed"/>
        <w:tblCellMar>
          <w:top w:w="0" w:type="dxa"/>
          <w:left w:w="108" w:type="dxa"/>
          <w:bottom w:w="0" w:type="dxa"/>
          <w:right w:w="108" w:type="dxa"/>
        </w:tblCellMar>
      </w:tblPr>
      <w:tblGrid>
        <w:gridCol w:w="776"/>
        <w:gridCol w:w="1159"/>
        <w:gridCol w:w="3285"/>
        <w:gridCol w:w="4130"/>
      </w:tblGrid>
      <w:tr>
        <w:trPr>
          <w:tblHeader w:val="true"/>
        </w:trPr>
        <w:tc>
          <w:tcPr>
            <w:tcW w:w="776"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1159"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Label</w:t>
            </w:r>
          </w:p>
        </w:tc>
        <w:tc>
          <w:tcPr>
            <w:tcW w:w="328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Definisi</w:t>
            </w:r>
          </w:p>
        </w:tc>
        <w:tc>
          <w:tcPr>
            <w:tcW w:w="413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Contoh</w:t>
            </w:r>
          </w:p>
        </w:tc>
      </w:tr>
      <w:tr>
        <w:trPr/>
        <w:tc>
          <w:tcPr>
            <w:tcW w:w="776"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w:t>
            </w:r>
          </w:p>
        </w:tc>
        <w:tc>
          <w:tcPr>
            <w:tcW w:w="11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Relevan langsung</w:t>
            </w:r>
          </w:p>
        </w:tc>
        <w:tc>
          <w:tcPr>
            <w:tcW w:w="32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Norma yang lolos pertanyaan b Uji Implikasi: ditujukan kepada S1 sampai S5 atau tanpa subjek eksplisit (S9), dan dapat langsung ditulis sebagai “Sistem harus/tidak boleh …”.</w:t>
            </w:r>
          </w:p>
        </w:tc>
        <w:tc>
          <w:tcPr>
            <w:tcW w:w="413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Baris 83, Pasal 65 UU 27/2022 (larangan memperoleh dan mengumpulkan data pribadi secara melawan hukum). Baris 32 dan 67.</w:t>
            </w:r>
          </w:p>
        </w:tc>
      </w:tr>
      <w:tr>
        <w:trPr/>
        <w:tc>
          <w:tcPr>
            <w:tcW w:w="776"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R1</w:t>
            </w:r>
          </w:p>
        </w:tc>
        <w:tc>
          <w:tcPr>
            <w:tcW w:w="11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Relevan tidak langsung</w:t>
            </w:r>
          </w:p>
        </w:tc>
        <w:tc>
          <w:tcPr>
            <w:tcW w:w="32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 xml:space="preserve">Salah satu dari: (a) definisi istilah yang dipakai norma; (b) asas atau prinsip; (c) konsep, urgensi, atau rekomendasi umum pelindungan data; (d) norma yang hanya menyasar S6, S7, atau S8; (e) norma untuk S1 sampai S5 atau S9 yang masih membutuhkan asumsi tambahan (definisi asumsi pada Bagian </w:t>
            </w:r>
            <w:r>
              <w:rPr>
                <w:sz w:val="22"/>
              </w:rPr>
              <w:t>6</w:t>
            </w:r>
            <w:r>
              <w:rPr>
                <w:sz w:val="22"/>
              </w:rPr>
              <w:t>) sebelum menjadi kebutuhan sistem.</w:t>
            </w:r>
          </w:p>
        </w:tc>
        <w:tc>
          <w:tcPr>
            <w:tcW w:w="413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 Definisi: baris 28, Pasal 1 UU 27/2022. Mendefinisikan Data Pribadi, Pengendali, dan Prosesor, tetapi tidak memerintahkan apa pun kepada sistem.</w:t>
            </w:r>
          </w:p>
          <w:p>
            <w:pPr>
              <w:pStyle w:val="Normal"/>
              <w:spacing w:before="0" w:after="160"/>
              <w:rPr>
                <w:sz w:val="22"/>
              </w:rPr>
            </w:pPr>
            <w:r>
              <w:rPr>
                <w:sz w:val="22"/>
              </w:rPr>
              <w:t>(b) Asas: baris 30, Pasal 3 UU 27/2022. Daftar asas pelindungan data yang tidak dapat langsung diuji.</w:t>
            </w:r>
          </w:p>
          <w:p>
            <w:pPr>
              <w:pStyle w:val="Normal"/>
              <w:spacing w:before="0" w:after="160"/>
              <w:rPr>
                <w:sz w:val="22"/>
              </w:rPr>
            </w:pPr>
            <w:r>
              <w:rPr>
                <w:sz w:val="22"/>
              </w:rPr>
              <w:t>(c) Konsep atau urgensi: baris 2, artikel MHN. Opini bahwa pelindungan data pribadi sangat penting, tetapi tanpa norma.</w:t>
            </w:r>
          </w:p>
          <w:p>
            <w:pPr>
              <w:pStyle w:val="Normal"/>
              <w:spacing w:before="0" w:after="160"/>
              <w:rPr>
                <w:sz w:val="22"/>
              </w:rPr>
            </w:pPr>
            <w:r>
              <w:rPr>
                <w:sz w:val="22"/>
              </w:rPr>
              <w:t>(d) Norma untuk S6, S7, atau S8: baris 86, Pasal 39 Perpres 39/2019 (akses data tanpa biaya hanya ditujukan kepada instansi, S6). Baris 22, kutipan Pasal 30 ayat (1) dalam artikel MHN (kewajiban kerahasiaan, hanya untuk Penyelenggara jasa keuangan, S8).</w:t>
            </w:r>
          </w:p>
          <w:p>
            <w:pPr>
              <w:pStyle w:val="Normal"/>
              <w:spacing w:before="0" w:after="160"/>
              <w:rPr>
                <w:sz w:val="22"/>
              </w:rPr>
            </w:pPr>
            <w:r>
              <w:rPr>
                <w:sz w:val="22"/>
              </w:rPr>
              <w:t>(e) Norma untuk S1 sampai S5 atau S9 yang butuh asumsi tambahan: Pasal 27 UU 23/2002 (identitas anak; lihat Bagian 10). Pertanyaan a dijawab Ya, tetapi pertanyaan b tidak terpenuhi karena pasal ini tidak mengatur pemrosesan data secara langsung.</w:t>
            </w:r>
          </w:p>
        </w:tc>
      </w:tr>
      <w:tr>
        <w:trPr/>
        <w:tc>
          <w:tcPr>
            <w:tcW w:w="776"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R0</w:t>
            </w:r>
          </w:p>
        </w:tc>
        <w:tc>
          <w:tcPr>
            <w:tcW w:w="11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Tidak relevan</w:t>
            </w:r>
          </w:p>
        </w:tc>
        <w:tc>
          <w:tcPr>
            <w:tcW w:w="32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Salah satu dari: (a) rujukan atau daftar judul peraturan tanpa isi norma (T17/P9); (b) kasus, kalimat pengantar, atau peralihan; (c) fragmen kalimat tanpa makna utuh; (d) tidak terkait siklus data.</w:t>
            </w:r>
          </w:p>
        </w:tc>
        <w:tc>
          <w:tcPr>
            <w:tcW w:w="413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Baris 15, daftar UU ITE pada artikel MHN.</w:t>
            </w:r>
          </w:p>
        </w:tc>
      </w:tr>
    </w:tbl>
    <w:p>
      <w:pPr>
        <w:pStyle w:val="Normal"/>
        <w:rPr>
          <w:b/>
        </w:rPr>
      </w:pPr>
      <w:r>
        <w:rPr>
          <w:b/>
        </w:rPr>
      </w:r>
    </w:p>
    <w:p>
      <w:pPr>
        <w:pStyle w:val="Normal"/>
        <w:rPr>
          <w:b/>
        </w:rPr>
      </w:pPr>
      <w:r>
        <w:rPr>
          <w:b/>
        </w:rPr>
        <w:t>Aturan penentu:</w:t>
      </w:r>
      <w:r>
        <w:rPr>
          <w:b w:val="false"/>
          <w:bCs w:val="false"/>
        </w:rPr>
        <w:t xml:space="preserve"> </w:t>
      </w:r>
      <w:r>
        <w:rPr/>
        <w:t>bila ragu, terapkan aturan berikut untuk menentukan R2, R1, atau R0.</w:t>
      </w:r>
    </w:p>
    <w:p>
      <w:pPr>
        <w:pStyle w:val="Normal"/>
        <w:numPr>
          <w:ilvl w:val="0"/>
          <w:numId w:val="4"/>
        </w:numPr>
        <w:rPr/>
      </w:pPr>
      <w:r>
        <w:rPr/>
        <w:t xml:space="preserve">Pilih </w:t>
      </w:r>
      <w:r>
        <w:rPr>
          <w:b/>
          <w:bCs/>
        </w:rPr>
        <w:t>R2</w:t>
      </w:r>
      <w:r>
        <w:rPr/>
        <w:t xml:space="preserve"> jika norma ditujukan kepada S1 sampai S5 atau S9, dan Anda dapat menulis kalimat “Sistem harus/tidak boleh …” langsung dari teks tanpa menambah asumsi (definisi asumsi pada Bagian </w:t>
      </w:r>
      <w:r>
        <w:rPr/>
        <w:t>6</w:t>
      </w:r>
      <w:r>
        <w:rPr/>
        <w:t xml:space="preserve">). Jika salah satu atau kedua syarat tersebut tidak terpenuhi, maka pilih </w:t>
      </w:r>
      <w:r>
        <w:rPr>
          <w:b/>
          <w:bCs/>
        </w:rPr>
        <w:t>R1</w:t>
      </w:r>
      <w:r>
        <w:rPr/>
        <w:t>.</w:t>
      </w:r>
    </w:p>
    <w:p>
      <w:pPr>
        <w:pStyle w:val="Normal"/>
        <w:numPr>
          <w:ilvl w:val="0"/>
          <w:numId w:val="4"/>
        </w:numPr>
        <w:rPr/>
      </w:pPr>
      <w:r>
        <w:rPr/>
        <w:t xml:space="preserve">Pilih </w:t>
      </w:r>
      <w:r>
        <w:rPr>
          <w:b/>
          <w:bCs/>
        </w:rPr>
        <w:t>R1</w:t>
      </w:r>
      <w:r>
        <w:rPr/>
        <w:t xml:space="preserve"> jika norma, sejelas apa pun, ditujukan kepada S6, S7, atau S8. Norma seperti ini tidak dapat menjadi R2.</w:t>
      </w:r>
    </w:p>
    <w:p>
      <w:pPr>
        <w:pStyle w:val="Normal"/>
        <w:numPr>
          <w:ilvl w:val="0"/>
          <w:numId w:val="4"/>
        </w:numPr>
        <w:rPr/>
      </w:pPr>
      <w:r>
        <w:rPr/>
        <w:t xml:space="preserve">Pilih </w:t>
      </w:r>
      <w:r>
        <w:rPr>
          <w:b/>
          <w:bCs/>
        </w:rPr>
        <w:t>R0</w:t>
      </w:r>
      <w:r>
        <w:rPr/>
        <w:t xml:space="preserve"> jika teks hanya berupa rujukan atau daftar judul peraturan, kasus, kalimat pengantar, peralihan, atau fragmen kalimat tanpa makna utuh. Ketiadaan subjek eksplisit (S9) tidak dengan sendirinya berarti R0.</w:t>
      </w:r>
    </w:p>
    <w:p>
      <w:pPr>
        <w:pStyle w:val="Heading3"/>
        <w:ind w:hanging="0" w:left="0"/>
        <w:rPr/>
      </w:pPr>
      <w:r>
        <w:rPr/>
        <w:t>7.3 V6: Tema Utama</w:t>
      </w:r>
    </w:p>
    <w:p>
      <w:pPr>
        <w:pStyle w:val="Normal"/>
        <w:rPr/>
      </w:pPr>
      <w:r>
        <w:rPr/>
        <w:t xml:space="preserve">Pilih </w:t>
      </w:r>
      <w:r>
        <w:rPr>
          <w:b/>
        </w:rPr>
        <w:t>satu</w:t>
      </w:r>
      <w:r>
        <w:rPr/>
        <w:t xml:space="preserve"> tema yang paling dominan menggunakan pohon keputusan berupa pertanyaan yang dijalankan berurutan dan berhenti pada jawaban "ya" pertama.</w:t>
      </w:r>
    </w:p>
    <w:p>
      <w:pPr>
        <w:pStyle w:val="Normal"/>
        <w:numPr>
          <w:ilvl w:val="0"/>
          <w:numId w:val="14"/>
        </w:numPr>
        <w:rPr/>
      </w:pPr>
      <w:r>
        <w:rPr/>
        <w:t xml:space="preserve">Apakah teks mendefinisikan istilah, menentukan keberlakuan, atau mengelompokkan jenis pihak? Ya: </w:t>
      </w:r>
      <w:r>
        <w:rPr>
          <w:b/>
        </w:rPr>
        <w:t>T01</w:t>
      </w:r>
      <w:r>
        <w:rPr/>
        <w:t xml:space="preserve"> (Definisi, Istilah, dan Ruang Lingkup).</w:t>
      </w:r>
    </w:p>
    <w:p>
      <w:pPr>
        <w:pStyle w:val="Normal"/>
        <w:numPr>
          <w:ilvl w:val="0"/>
          <w:numId w:val="6"/>
        </w:numPr>
        <w:rPr/>
      </w:pPr>
      <w:r>
        <w:rPr/>
        <w:t xml:space="preserve">Apakah teks hanya menyebut atau mendaftar judul peraturan lain? Ya: </w:t>
      </w:r>
      <w:r>
        <w:rPr>
          <w:b/>
        </w:rPr>
        <w:t>T17</w:t>
      </w:r>
      <w:r>
        <w:rPr/>
        <w:t xml:space="preserve"> (Rujukan Regulasi Lain).</w:t>
      </w:r>
    </w:p>
    <w:p>
      <w:pPr>
        <w:pStyle w:val="Normal"/>
        <w:numPr>
          <w:ilvl w:val="0"/>
          <w:numId w:val="6"/>
        </w:numPr>
        <w:rPr/>
      </w:pPr>
      <w:r>
        <w:rPr/>
        <w:t xml:space="preserve">Apakah teks berupa penjelasan konsep, latar kasus, urgensi, kesimpulan, atau rekomendasi pengaturan? Ya: </w:t>
      </w:r>
      <w:r>
        <w:rPr>
          <w:b/>
        </w:rPr>
        <w:t>T16</w:t>
      </w:r>
      <w:r>
        <w:rPr/>
        <w:t xml:space="preserve"> (Urgensi, Konsep, dan Landasan Pelindungan Data).</w:t>
      </w:r>
    </w:p>
    <w:p>
      <w:pPr>
        <w:pStyle w:val="Normal"/>
        <w:numPr>
          <w:ilvl w:val="0"/>
          <w:numId w:val="6"/>
        </w:numPr>
        <w:rPr/>
      </w:pPr>
      <w:r>
        <w:rPr/>
        <w:t xml:space="preserve">Apakah teks berisi larangan yang ditujukan kepada "setiap orang"? Ya: </w:t>
      </w:r>
      <w:r>
        <w:rPr>
          <w:b/>
        </w:rPr>
        <w:t>T14</w:t>
      </w:r>
      <w:r>
        <w:rPr/>
        <w:t xml:space="preserve"> (Larangan dan Perbuatan Melawan Hukum).</w:t>
      </w:r>
    </w:p>
    <w:p>
      <w:pPr>
        <w:pStyle w:val="Normal"/>
        <w:numPr>
          <w:ilvl w:val="0"/>
          <w:numId w:val="6"/>
        </w:numPr>
        <w:rPr/>
      </w:pPr>
      <w:r>
        <w:rPr/>
        <w:t xml:space="preserve">Apakah fungsi utamanya mengecualikan atau menolak hak atau kewajiban? Ya: </w:t>
      </w:r>
      <w:r>
        <w:rPr>
          <w:b/>
        </w:rPr>
        <w:t>T12</w:t>
      </w:r>
      <w:r>
        <w:rPr/>
        <w:t xml:space="preserve"> (Pengecualian dan Pembatasan).</w:t>
      </w:r>
    </w:p>
    <w:p>
      <w:pPr>
        <w:pStyle w:val="Normal"/>
        <w:numPr>
          <w:ilvl w:val="0"/>
          <w:numId w:val="6"/>
        </w:numPr>
        <w:rPr/>
      </w:pPr>
      <w:r>
        <w:rPr/>
        <w:t xml:space="preserve">Apakah teks membagi jenis data pribadi? Ya: </w:t>
      </w:r>
      <w:r>
        <w:rPr>
          <w:b/>
        </w:rPr>
        <w:t>T03</w:t>
      </w:r>
      <w:r>
        <w:rPr/>
        <w:t xml:space="preserve"> (Jenis dan Klasifikasi Data Pribadi).</w:t>
      </w:r>
    </w:p>
    <w:p>
      <w:pPr>
        <w:pStyle w:val="Normal"/>
        <w:numPr>
          <w:ilvl w:val="0"/>
          <w:numId w:val="6"/>
        </w:numPr>
        <w:rPr/>
      </w:pPr>
      <w:r>
        <w:rPr/>
        <w:t xml:space="preserve">Apakah teks tentang anak atau penyandang disabilitas? Ya: </w:t>
      </w:r>
      <w:r>
        <w:rPr>
          <w:b/>
        </w:rPr>
        <w:t>T07</w:t>
      </w:r>
      <w:r>
        <w:rPr/>
        <w:t xml:space="preserve"> (Data Pribadi Anak dan Kelompok Rentan).</w:t>
      </w:r>
    </w:p>
    <w:p>
      <w:pPr>
        <w:pStyle w:val="Normal"/>
        <w:numPr>
          <w:ilvl w:val="0"/>
          <w:numId w:val="6"/>
        </w:numPr>
        <w:rPr/>
      </w:pPr>
      <w:r>
        <w:rPr/>
        <w:t xml:space="preserve">Apakah teks tentang hak Subjek Data Pribadi atau cara mengajukannya? Ya: </w:t>
      </w:r>
      <w:r>
        <w:rPr>
          <w:b/>
        </w:rPr>
        <w:t>T04</w:t>
      </w:r>
      <w:r>
        <w:rPr/>
        <w:t xml:space="preserve"> (Hak Subjek Data Pribadi).</w:t>
      </w:r>
    </w:p>
    <w:p>
      <w:pPr>
        <w:pStyle w:val="Normal"/>
        <w:numPr>
          <w:ilvl w:val="0"/>
          <w:numId w:val="6"/>
        </w:numPr>
        <w:rPr/>
      </w:pPr>
      <w:r>
        <w:rPr/>
        <w:t xml:space="preserve">Apakah teks tentang penundaan, pembatasan, penghentian, penghapusan, pemusnahan, atau retensi? Ya: </w:t>
      </w:r>
      <w:r>
        <w:rPr>
          <w:b/>
        </w:rPr>
        <w:t>T11</w:t>
      </w:r>
      <w:r>
        <w:rPr/>
        <w:t xml:space="preserve"> (Retensi, Penghentian, Penghapusan, dan Pemusnahan).</w:t>
      </w:r>
    </w:p>
    <w:p>
      <w:pPr>
        <w:pStyle w:val="Normal"/>
        <w:numPr>
          <w:ilvl w:val="0"/>
          <w:numId w:val="6"/>
        </w:numPr>
        <w:rPr/>
      </w:pPr>
      <w:r>
        <w:rPr/>
        <w:t xml:space="preserve">Apakah teks tentang persetujuan atau dasar sahnya pemrosesan? Ya: </w:t>
      </w:r>
      <w:r>
        <w:rPr>
          <w:b/>
        </w:rPr>
        <w:t>T05</w:t>
      </w:r>
      <w:r>
        <w:rPr/>
        <w:t xml:space="preserve"> (Dasar Pemrosesan dan Persetujuan).</w:t>
      </w:r>
    </w:p>
    <w:p>
      <w:pPr>
        <w:pStyle w:val="Normal"/>
        <w:numPr>
          <w:ilvl w:val="0"/>
          <w:numId w:val="6"/>
        </w:numPr>
        <w:rPr/>
      </w:pPr>
      <w:r>
        <w:rPr/>
        <w:t xml:space="preserve">Apakah teks tentang transfer atau pengalihan data? Ya: </w:t>
      </w:r>
      <w:r>
        <w:rPr>
          <w:b/>
        </w:rPr>
        <w:t>T13</w:t>
      </w:r>
      <w:r>
        <w:rPr/>
        <w:t xml:space="preserve"> (Transfer dan Pengalihan Data).</w:t>
      </w:r>
    </w:p>
    <w:p>
      <w:pPr>
        <w:pStyle w:val="Normal"/>
        <w:numPr>
          <w:ilvl w:val="0"/>
          <w:numId w:val="6"/>
        </w:numPr>
        <w:rPr/>
      </w:pPr>
      <w:r>
        <w:rPr/>
        <w:t xml:space="preserve">Apakah teks tentang keamanan, kerahasiaan, akses tidak sah, atau kegagalan pelindungan? Ya: </w:t>
      </w:r>
      <w:r>
        <w:rPr>
          <w:b/>
        </w:rPr>
        <w:t>T10</w:t>
      </w:r>
      <w:r>
        <w:rPr/>
        <w:t xml:space="preserve"> (Keamanan, Kerahasiaan, dan Penanganan Insiden).</w:t>
      </w:r>
    </w:p>
    <w:p>
      <w:pPr>
        <w:pStyle w:val="Normal"/>
        <w:numPr>
          <w:ilvl w:val="0"/>
          <w:numId w:val="6"/>
        </w:numPr>
        <w:rPr/>
      </w:pPr>
      <w:r>
        <w:rPr/>
        <w:t xml:space="preserve">Apakah teks tentang akurasi atau pembaruan data? Ya: </w:t>
      </w:r>
      <w:r>
        <w:rPr>
          <w:b/>
        </w:rPr>
        <w:t>T08</w:t>
      </w:r>
      <w:r>
        <w:rPr/>
        <w:t xml:space="preserve"> (Kualitas, Akurasi, dan Pembaruan Data).</w:t>
      </w:r>
    </w:p>
    <w:p>
      <w:pPr>
        <w:pStyle w:val="Normal"/>
        <w:numPr>
          <w:ilvl w:val="0"/>
          <w:numId w:val="6"/>
        </w:numPr>
        <w:rPr/>
      </w:pPr>
      <w:r>
        <w:rPr/>
        <w:t xml:space="preserve">Apakah teks tentang pencatatan, DPIA, pengawasan, pertanggungjawaban, prosesor, atau pejabat pelindungan data? Ya: </w:t>
      </w:r>
      <w:r>
        <w:rPr>
          <w:b/>
        </w:rPr>
        <w:t>T09</w:t>
      </w:r>
      <w:r>
        <w:rPr/>
        <w:t xml:space="preserve"> (Akuntabilitas, Pencatatan, dan Tata Kelola Kepatuhan).</w:t>
      </w:r>
    </w:p>
    <w:p>
      <w:pPr>
        <w:pStyle w:val="Normal"/>
        <w:numPr>
          <w:ilvl w:val="0"/>
          <w:numId w:val="6"/>
        </w:numPr>
        <w:rPr/>
      </w:pPr>
      <w:r>
        <w:rPr/>
        <w:t xml:space="preserve">Apakah teks tentang akses atau pemanfaatan data pada portal pemerintah? Ya: </w:t>
      </w:r>
      <w:r>
        <w:rPr>
          <w:b/>
        </w:rPr>
        <w:t>T15</w:t>
      </w:r>
      <w:r>
        <w:rPr/>
        <w:t xml:space="preserve"> (Akses dan Pemanfaatan Data Pemerintah).</w:t>
      </w:r>
    </w:p>
    <w:p>
      <w:pPr>
        <w:pStyle w:val="Normal"/>
        <w:numPr>
          <w:ilvl w:val="0"/>
          <w:numId w:val="6"/>
        </w:numPr>
        <w:rPr/>
      </w:pPr>
      <w:r>
        <w:rPr/>
        <w:t xml:space="preserve">Apakah teks tentang asas atau prinsip umum pemrosesan? Ya: </w:t>
      </w:r>
      <w:r>
        <w:rPr>
          <w:b/>
        </w:rPr>
        <w:t>T02</w:t>
      </w:r>
      <w:r>
        <w:rPr/>
        <w:t xml:space="preserve"> (Asas dan Prinsip Pemrosesan).</w:t>
      </w:r>
    </w:p>
    <w:p>
      <w:pPr>
        <w:pStyle w:val="Normal"/>
        <w:numPr>
          <w:ilvl w:val="0"/>
          <w:numId w:val="6"/>
        </w:numPr>
        <w:rPr/>
      </w:pPr>
      <w:r>
        <w:rPr/>
        <w:t xml:space="preserve">Apakah teks tentang kegiatan pemrosesan atau pengumpulan data? Ya: </w:t>
      </w:r>
      <w:r>
        <w:rPr>
          <w:b/>
        </w:rPr>
        <w:t>T06</w:t>
      </w:r>
      <w:r>
        <w:rPr/>
        <w:t xml:space="preserve"> (Aktivitas Pemrosesan dan Pengumpulan).</w:t>
      </w:r>
    </w:p>
    <w:p>
      <w:pPr>
        <w:pStyle w:val="Normal"/>
        <w:numPr>
          <w:ilvl w:val="0"/>
          <w:numId w:val="6"/>
        </w:numPr>
        <w:rPr/>
      </w:pPr>
      <w:r>
        <w:rPr/>
        <w:t xml:space="preserve">Bila tidak ada yang cocok: </w:t>
      </w:r>
      <w:r>
        <w:rPr>
          <w:b/>
        </w:rPr>
        <w:t>T99</w:t>
      </w:r>
      <w:r>
        <w:rPr/>
        <w:t xml:space="preserve"> (Lainnya) dan jelaskan di V12.</w:t>
      </w:r>
    </w:p>
    <w:p>
      <w:pPr>
        <w:pStyle w:val="Normal"/>
        <w:rPr/>
      </w:pPr>
      <w:r>
        <w:rPr/>
        <w:t>Apabila teks memuat beberapa tema, lihat Bagian 8 (aturan unit majemuk).</w:t>
      </w:r>
    </w:p>
    <w:tbl>
      <w:tblPr>
        <w:tblW w:w="9345" w:type="dxa"/>
        <w:jc w:val="left"/>
        <w:tblInd w:w="0" w:type="dxa"/>
        <w:tblLayout w:type="fixed"/>
        <w:tblCellMar>
          <w:top w:w="0" w:type="dxa"/>
          <w:left w:w="108" w:type="dxa"/>
          <w:bottom w:w="0" w:type="dxa"/>
          <w:right w:w="108" w:type="dxa"/>
        </w:tblCellMar>
      </w:tblPr>
      <w:tblGrid>
        <w:gridCol w:w="780"/>
        <w:gridCol w:w="2400"/>
        <w:gridCol w:w="4860"/>
        <w:gridCol w:w="1305"/>
      </w:tblGrid>
      <w:tr>
        <w:trPr>
          <w:tblHeader w:val="true"/>
        </w:trPr>
        <w:tc>
          <w:tcPr>
            <w:tcW w:w="78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240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Tema</w:t>
            </w:r>
          </w:p>
        </w:tc>
        <w:tc>
          <w:tcPr>
            <w:tcW w:w="486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Definisi dan indikator</w:t>
            </w:r>
          </w:p>
        </w:tc>
        <w:tc>
          <w:tcPr>
            <w:tcW w:w="130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Contoh baris (pelatihan)</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T01</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Definisi, Istilah, dan Ruang Lingkup</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Teks yang mendefinisikan istilah ("yang dimaksud dengan"), menentukan siapa dan di mana aturan berlaku, atau mengelompokkan jenis pihak (Pengendali, Prosesor). Setiap Pasal definisi selalu T01.</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28</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T02</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Asas dan Prinsip Pemrosesan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Asas pelindungan data atau prinsip umum pemrosesan: sah secara hukum, transparan, terbatas dan spesifik, sesuai tujuan, kehati-hatian, kerahasiaan sebagai asas.</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30</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T03</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Jenis dan Klasifikasi Data Pribadi</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Pembagian data pribadi bersifat spesifik dan umum beserta daftar contohnya.</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T04</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Hak Subjek Data Pribadi</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Hak untuk mendapat informasi, mengakses, memperbaiki, menghapus, menarik persetujuan, keberatan, membatasi, menggugat, portabilitas; tata cara pelaksanaannya; kewajiban pengendali memberi informasi, akses, atau salinan kepada Subjek Data Pribadi.</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32</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T05</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Dasar Pemrosesan dan Persetujuan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Syarat sahnya pemrosesan: persetujuan eksplisit, bentuk dan bukti persetujuan, tindakan meminta persetujuan, informasi yang wajib disampaikan, perjanjian atau dasar hukum lain, klausul batal demi hukum.</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49</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T06</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Aktivitas Pemrosesan dan Pengumpulan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Jenis kegiatan pemrosesan (perolehan, pengumpulan, pengolahan, penyimpanan, dst.), ketentuan alat pemroses data visual, dan pemrosesan oleh beberapa pengendali.</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T07</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Data Pribadi Anak dan Kelompok Rentan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Ketentuan khusus untuk anak, penyandang disabilitas, dan identitas anak.</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T08</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Kualitas, Akurasi, dan Pembaruan Data</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Kewajiban memastikan akurasi, kelengkapan, konsistensi, serta memperbarui atau memperbaiki data.</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T09</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Akuntabilitas, Pencatatan, dan Tata Kelola Kepatuhan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Perekaman kegiatan pemrosesan, penilaian dampak (DPIA), pengawasan pihak terlibat, pertanggungjawaban, kepatuhan terhadap lembaga, peran prosesor, pejabat atau petugas pelindungan data.</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T10</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Keamanan, Kerahasiaan, dan Penanganan Insiden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Langkah teknis dan operasional pengamanan, pencegahan akses tidak sah, kerahasiaan, pelindungan dari pemrosesan tidak sah, notifikasi kegagalan pelindungan.</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22, 62</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T11</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Retensi, Penghentian, Penghapusan, dan Pemusnahan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Kewajiban menghentikan, menunda, mengakhiri, menghapus, atau memusnahkan data; masa retensi; pemberitahuan penghapusan.</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67</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T12</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Pengecualian dan Pembatasan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Teks yang fungsi utamanya mengecualikan atau membatasi hak atau kewajiban (kepentingan pertahanan, proses hukum, atau alasan menolak akses).</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T13</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Transfer dan Pengalihan Data</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Pemindahan data antarpengendali di dalam atau luar wilayah Indonesia, dan pengalihan data akibat aksi korporasi.</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T14</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Larangan dan Perbuatan Melawan Hukum</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Larangan eksplisit yang ditujukan kepada "setiap orang": memperoleh, mengumpulkan, mengungkapkan, menggunakan, atau memalsukan data pribadi secara melawan hukum.</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83</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T15</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Akses dan Pemanfaatan Data Pemerintah</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Ketentuan akses atau pemanfaatan data pada portal atau sistem data pemerintah.</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86</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T16</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Urgensi, Konsep, dan Landasan Pelindungan Data</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Penjelasan konsep privasi dan pelindungan data, landasan konstitusional, latar kasus penyalahgunaan data, urgensi, kesimpulan, dan rekomendasi pengaturan (khas artikel).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T17</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Rujukan Regulasi Lain</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Penyebutan atau daftar peraturan lain tanpa mengutip isi normanya.</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15</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T99</w:t>
            </w:r>
          </w:p>
        </w:tc>
        <w:tc>
          <w:tcPr>
            <w:tcW w:w="240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Lainnya</w:t>
            </w:r>
          </w:p>
        </w:tc>
        <w:tc>
          <w:tcPr>
            <w:tcW w:w="486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Tidak cocok dengan T01 sampai T17 setelah pohon keputusan dijalankan. Wajib mengisi V12 dengan alasan teks tidak cocok dengan T01 sampai T17.</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(jarang)</w:t>
            </w:r>
          </w:p>
        </w:tc>
      </w:tr>
    </w:tbl>
    <w:p>
      <w:pPr>
        <w:pStyle w:val="Normal"/>
        <w:rPr/>
      </w:pPr>
      <w:r>
        <w:rPr/>
      </w:r>
    </w:p>
    <w:p>
      <w:pPr>
        <w:pStyle w:val="Normal"/>
        <w:rPr/>
      </w:pPr>
      <w:r>
        <w:rPr/>
        <w:t>Pembeda tema yang sering tertukar:</w:t>
      </w:r>
    </w:p>
    <w:p>
      <w:pPr>
        <w:pStyle w:val="Normal"/>
        <w:numPr>
          <w:ilvl w:val="0"/>
          <w:numId w:val="1"/>
        </w:numPr>
        <w:rPr/>
      </w:pPr>
      <w:r>
        <w:rPr>
          <w:b/>
        </w:rPr>
        <w:t>T10 vs T17:</w:t>
      </w:r>
      <w:r>
        <w:rPr/>
        <w:t xml:space="preserve"> bila teks hanya menyebut bahwa suatu peraturan memuat pelindungan atau kerahasiaan, kodekan T17. Bila teks mengutip norma kerahasiaannya (contoh: baris 22), kodekan T10.</w:t>
      </w:r>
    </w:p>
    <w:p>
      <w:pPr>
        <w:pStyle w:val="Normal"/>
        <w:numPr>
          <w:ilvl w:val="0"/>
          <w:numId w:val="1"/>
        </w:numPr>
        <w:rPr/>
      </w:pPr>
      <w:r>
        <w:rPr>
          <w:b/>
        </w:rPr>
        <w:t>T04 vs T12:</w:t>
      </w:r>
      <w:r>
        <w:rPr/>
        <w:t xml:space="preserve"> pasal yang memberi atau menjalankan hak adalah T04. Pasal yang fungsi utamanya menyatakan hak atau kewajiban </w:t>
      </w:r>
      <w:r>
        <w:rPr>
          <w:i/>
        </w:rPr>
        <w:t>tidak berlaku</w:t>
      </w:r>
      <w:r>
        <w:rPr/>
        <w:t xml:space="preserve"> atau </w:t>
      </w:r>
      <w:r>
        <w:rPr>
          <w:i/>
        </w:rPr>
        <w:t>wajib ditolak</w:t>
      </w:r>
      <w:r>
        <w:rPr/>
        <w:t xml:space="preserve"> adalah T12.</w:t>
      </w:r>
    </w:p>
    <w:p>
      <w:pPr>
        <w:pStyle w:val="Normal"/>
        <w:numPr>
          <w:ilvl w:val="0"/>
          <w:numId w:val="1"/>
        </w:numPr>
        <w:rPr/>
      </w:pPr>
      <w:r>
        <w:rPr>
          <w:b/>
        </w:rPr>
        <w:t>T04 atau T05 vs T11:</w:t>
      </w:r>
      <w:r>
        <w:rPr/>
        <w:t xml:space="preserve"> bila teks menyatakan </w:t>
      </w:r>
      <w:r>
        <w:rPr>
          <w:i/>
        </w:rPr>
        <w:t>hak</w:t>
      </w:r>
      <w:r>
        <w:rPr/>
        <w:t xml:space="preserve"> Subjek Data Pribadi, kodekan T04, walau isinya penghapusan atau penghentian. Bila teks menyatakan </w:t>
      </w:r>
      <w:r>
        <w:rPr>
          <w:i/>
        </w:rPr>
        <w:t>kewajiban Pengendali</w:t>
      </w:r>
      <w:r>
        <w:rPr/>
        <w:t xml:space="preserve"> menghentikan, menunda, mengakhiri, menghapus, atau memusnahkan data, kodekan T11, walau dipicu penarikan persetujuan atau pelaksanaan hak. Pasal yang menyebut persetujuan hanya sebagai pemicu penghentian pemrosesan tetap T11.</w:t>
      </w:r>
    </w:p>
    <w:p>
      <w:pPr>
        <w:pStyle w:val="Normal"/>
        <w:numPr>
          <w:ilvl w:val="0"/>
          <w:numId w:val="1"/>
        </w:numPr>
        <w:rPr/>
      </w:pPr>
      <w:r>
        <w:rPr>
          <w:b/>
        </w:rPr>
        <w:t>T02 vs T06:</w:t>
      </w:r>
      <w:r>
        <w:rPr/>
        <w:t xml:space="preserve"> prinsip "sesuai tujuan", "sah", dan "transparan" adalah T02. Daftar kegiatan pemrosesan konkret adalah T06.</w:t>
      </w:r>
    </w:p>
    <w:p>
      <w:pPr>
        <w:pStyle w:val="Normal"/>
        <w:numPr>
          <w:ilvl w:val="0"/>
          <w:numId w:val="1"/>
        </w:numPr>
        <w:rPr/>
      </w:pPr>
      <w:r>
        <w:rPr>
          <w:b/>
        </w:rPr>
        <w:t>T01 vs T06:</w:t>
      </w:r>
      <w:r>
        <w:rPr/>
        <w:t xml:space="preserve"> definisi istilah kegiatan pemrosesan (misalnya “Pemrosesan Data Pribadi”) tetap T01. T06 hanya untuk teks yang menyebutkan atau mengatur jenis kegiatan pemrosesannya.</w:t>
      </w:r>
    </w:p>
    <w:p>
      <w:pPr>
        <w:pStyle w:val="Normal"/>
        <w:numPr>
          <w:ilvl w:val="0"/>
          <w:numId w:val="1"/>
        </w:numPr>
        <w:rPr/>
      </w:pPr>
      <w:r>
        <w:rPr>
          <w:b/>
        </w:rPr>
        <w:t>T05 vs T06:</w:t>
      </w:r>
      <w:r>
        <w:rPr/>
        <w:t xml:space="preserve"> teks yang fokusnya persetujuan (syarat sah, bentuk, bukti, atau tindakan memintanya) selalu T05. T06 hanya bila fokus teks adalah jenis kegiatan pemrosesan itu sendiri.</w:t>
      </w:r>
    </w:p>
    <w:p>
      <w:pPr>
        <w:pStyle w:val="Heading3"/>
        <w:ind w:hanging="0" w:left="0"/>
        <w:rPr/>
      </w:pPr>
      <w:r>
        <w:rPr/>
        <w:t>7.4 V7: Jenis Pernyataan</w:t>
      </w:r>
    </w:p>
    <w:tbl>
      <w:tblPr>
        <w:tblW w:w="9360" w:type="dxa"/>
        <w:jc w:val="left"/>
        <w:tblInd w:w="0" w:type="dxa"/>
        <w:tblLayout w:type="fixed"/>
        <w:tblCellMar>
          <w:top w:w="0" w:type="dxa"/>
          <w:left w:w="108" w:type="dxa"/>
          <w:bottom w:w="0" w:type="dxa"/>
          <w:right w:w="108" w:type="dxa"/>
        </w:tblCellMar>
      </w:tblPr>
      <w:tblGrid>
        <w:gridCol w:w="775"/>
        <w:gridCol w:w="2340"/>
        <w:gridCol w:w="6245"/>
      </w:tblGrid>
      <w:tr>
        <w:trPr>
          <w:tblHeader w:val="true"/>
        </w:trPr>
        <w:tc>
          <w:tcPr>
            <w:tcW w:w="77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234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Label</w:t>
            </w:r>
          </w:p>
        </w:tc>
        <w:tc>
          <w:tcPr>
            <w:tcW w:w="624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Definisi dan indikator</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P1</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Larangan</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Menyatakan sesuatu yang tidak boleh dilakukan. Penanda: </w:t>
            </w:r>
            <w:r>
              <w:rPr>
                <w:rFonts w:eastAsia="Calibri" w:cs="Calibri"/>
                <w:i/>
                <w:kern w:val="0"/>
                <w:sz w:val="22"/>
              </w:rPr>
              <w:t>dilarang, tidak boleh</w:t>
            </w:r>
            <w:r>
              <w:rPr>
                <w:rFonts w:eastAsia="Calibri" w:cs="Calibri"/>
                <w:kern w:val="0"/>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P2</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Kewajiban</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 xml:space="preserve">Menyatakan sesuatu yang harus dilakukan. Penanda: </w:t>
            </w:r>
            <w:r>
              <w:rPr>
                <w:i/>
                <w:sz w:val="22"/>
              </w:rPr>
              <w:t>wajib, harus, berkewajiban, wajib melakukan</w:t>
            </w:r>
            <w:r>
              <w:rPr>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P3</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Hak</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Menyatakan hak atau entitlement pihak tertentu. Penanda: </w:t>
            </w:r>
            <w:r>
              <w:rPr>
                <w:rFonts w:eastAsia="Calibri" w:cs="Calibri"/>
                <w:i/>
                <w:kern w:val="0"/>
                <w:sz w:val="22"/>
              </w:rPr>
              <w:t>berhak, hak</w:t>
            </w:r>
            <w:r>
              <w:rPr>
                <w:rFonts w:eastAsia="Calibri" w:cs="Calibri"/>
                <w:kern w:val="0"/>
                <w:sz w:val="22"/>
              </w:rPr>
              <w:t>.</w:t>
            </w:r>
          </w:p>
        </w:tc>
      </w:tr>
      <w:tr>
        <w:trPr/>
        <w:tc>
          <w:tcPr>
            <w:tcW w:w="775" w:type="dxa"/>
            <w:tcBorders>
              <w:left w:val="single" w:sz="4" w:space="0" w:color="000000"/>
              <w:bottom w:val="single" w:sz="4" w:space="0" w:color="000000"/>
              <w:right w:val="single" w:sz="4" w:space="0" w:color="000000"/>
            </w:tcBorders>
          </w:tcPr>
          <w:p>
            <w:pPr>
              <w:pStyle w:val="Normal"/>
              <w:spacing w:before="0" w:after="160"/>
              <w:rPr>
                <w:sz w:val="22"/>
              </w:rPr>
            </w:pPr>
            <w:r>
              <w:rPr>
                <w:sz w:val="22"/>
              </w:rPr>
              <w:t>P4</w:t>
            </w:r>
          </w:p>
        </w:tc>
        <w:tc>
          <w:tcPr>
            <w:tcW w:w="2340" w:type="dxa"/>
            <w:tcBorders>
              <w:left w:val="single" w:sz="4" w:space="0" w:color="000000"/>
              <w:bottom w:val="single" w:sz="4" w:space="0" w:color="000000"/>
              <w:right w:val="single" w:sz="4" w:space="0" w:color="000000"/>
            </w:tcBorders>
          </w:tcPr>
          <w:p>
            <w:pPr>
              <w:pStyle w:val="Normal"/>
              <w:spacing w:before="0" w:after="160"/>
              <w:rPr>
                <w:sz w:val="22"/>
              </w:rPr>
            </w:pPr>
            <w:r>
              <w:rPr>
                <w:sz w:val="22"/>
              </w:rPr>
              <w:t>Pengecualian atau pembatasan</w:t>
            </w:r>
          </w:p>
        </w:tc>
        <w:tc>
          <w:tcPr>
            <w:tcW w:w="6245" w:type="dxa"/>
            <w:tcBorders>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Fungsi utamanya mengecualikan atau membatasi norma lain. Penanda: </w:t>
            </w:r>
            <w:r>
              <w:rPr>
                <w:rFonts w:eastAsia="Calibri" w:cs="Calibri"/>
                <w:i/>
                <w:kern w:val="0"/>
                <w:sz w:val="22"/>
              </w:rPr>
              <w:t>dikecualikan, tidak berlaku, dalam hal ... wajib menolak</w:t>
            </w:r>
            <w:r>
              <w:rPr>
                <w:rFonts w:eastAsia="Calibri" w:cs="Calibri"/>
                <w:kern w:val="0"/>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P5</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Kebolehan atau kewenangan</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Menyatakan sesuatu yang diizinkan atau menjadi kewenangan. Penanda: </w:t>
            </w:r>
            <w:r>
              <w:rPr>
                <w:rFonts w:eastAsia="Calibri" w:cs="Calibri"/>
                <w:i/>
                <w:kern w:val="0"/>
                <w:sz w:val="22"/>
              </w:rPr>
              <w:t>dapat, boleh, berwenang</w:t>
            </w:r>
            <w:r>
              <w:rPr>
                <w:rFonts w:eastAsia="Calibri" w:cs="Calibri"/>
                <w:kern w:val="0"/>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P6</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Definisi, klasifikasi, atau ruang lingkup</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Menjelaskan arti istilah, membagi jenis, atau menyatakan siapa dan di mana aturan berlaku. Penanda: </w:t>
            </w:r>
            <w:r>
              <w:rPr>
                <w:rFonts w:eastAsia="Calibri" w:cs="Calibri"/>
                <w:i/>
                <w:kern w:val="0"/>
                <w:sz w:val="22"/>
              </w:rPr>
              <w:t>yang dimaksud dengan, meliputi, berlaku untuk</w:t>
            </w:r>
            <w:r>
              <w:rPr>
                <w:rFonts w:eastAsia="Calibri" w:cs="Calibri"/>
                <w:kern w:val="0"/>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P7</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Asas, prinsip, atau tujuan umum</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Rumusan asas atau tujuan yang tidak langsung dapat dijalankan.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P8</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Deskriptif, argumentatif, atau rekomendasi</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rFonts w:eastAsia="Calibri" w:cs="Calibri"/>
                <w:kern w:val="0"/>
                <w:sz w:val="22"/>
              </w:rPr>
              <w:t xml:space="preserve">Fakta, opini, penjelasan, kesimpulan, atau saran penulis (khas artikel). Penanda: </w:t>
            </w:r>
            <w:r>
              <w:rPr>
                <w:rFonts w:eastAsia="Calibri" w:cs="Calibri"/>
                <w:i/>
                <w:kern w:val="0"/>
                <w:sz w:val="22"/>
              </w:rPr>
              <w:t>perlu, sangat penting, menunjukkan</w:t>
            </w:r>
            <w:r>
              <w:rPr>
                <w:rFonts w:eastAsia="Calibri" w:cs="Calibri"/>
                <w:kern w:val="0"/>
                <w:sz w:val="22"/>
              </w:rPr>
              <w:t>.</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P9</w:t>
            </w:r>
          </w:p>
        </w:tc>
        <w:tc>
          <w:tcPr>
            <w:tcW w:w="234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Rujukan atau daftar</w:t>
            </w:r>
          </w:p>
        </w:tc>
        <w:tc>
          <w:tcPr>
            <w:tcW w:w="624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Penyebutan judul atau nomor peraturan atau daftar tanpa isi norma.</w:t>
            </w:r>
          </w:p>
        </w:tc>
      </w:tr>
    </w:tbl>
    <w:p>
      <w:pPr>
        <w:pStyle w:val="Normal"/>
        <w:rPr/>
      </w:pPr>
      <w:r>
        <w:rPr/>
      </w:r>
    </w:p>
    <w:p>
      <w:pPr>
        <w:pStyle w:val="Heading3"/>
        <w:spacing w:before="0" w:after="80"/>
        <w:ind w:hanging="0" w:left="0"/>
        <w:rPr>
          <w:shd w:fill="auto" w:val="clear"/>
        </w:rPr>
      </w:pPr>
      <w:r>
        <w:rPr>
          <w:color w:val="000000"/>
          <w:shd w:fill="auto" w:val="clear"/>
        </w:rPr>
        <w:t>7.5</w:t>
      </w:r>
      <w:r>
        <w:rPr>
          <w:shd w:fill="auto" w:val="clear"/>
        </w:rPr>
        <w:t xml:space="preserve"> V8: Tahap Siklus </w:t>
      </w:r>
      <w:r>
        <w:rPr>
          <w:i/>
          <w:iCs/>
          <w:shd w:fill="auto" w:val="clear"/>
        </w:rPr>
        <w:t>Scraping</w:t>
      </w:r>
      <w:r>
        <w:rPr>
          <w:i w:val="false"/>
          <w:iCs w:val="false"/>
          <w:shd w:fill="auto" w:val="clear"/>
        </w:rPr>
        <w:t xml:space="preserve"> Terhadap Data</w:t>
      </w:r>
    </w:p>
    <w:tbl>
      <w:tblPr>
        <w:tblW w:w="9360" w:type="dxa"/>
        <w:jc w:val="left"/>
        <w:tblInd w:w="0" w:type="dxa"/>
        <w:tblLayout w:type="fixed"/>
        <w:tblCellMar>
          <w:top w:w="0" w:type="dxa"/>
          <w:left w:w="108" w:type="dxa"/>
          <w:bottom w:w="0" w:type="dxa"/>
          <w:right w:w="108" w:type="dxa"/>
        </w:tblCellMar>
      </w:tblPr>
      <w:tblGrid>
        <w:gridCol w:w="775"/>
        <w:gridCol w:w="2910"/>
        <w:gridCol w:w="5675"/>
      </w:tblGrid>
      <w:tr>
        <w:trPr/>
        <w:tc>
          <w:tcPr>
            <w:tcW w:w="77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291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Tahap</w:t>
            </w:r>
          </w:p>
        </w:tc>
        <w:tc>
          <w:tcPr>
            <w:tcW w:w="567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Cakupan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F1</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Perencanaan dan dasar pemrosesan</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Menentukan tujuan, dasar pemrosesan, meminta persetujuan, informasi awal, penilaian dampak.</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F2</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Pengumpulan atau akuisisi</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Memperoleh, mengumpulkan, atau mengakses data dari sumber.</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F3</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Pengolahan dan analisis</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Mengolah, menganalisis, memperbaiki, memperbarui, memastikan akurasi.</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F4</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Penyimpanan dan pengamanan</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Menyimpan data dan melindunginya dari akses tidak sah.</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F5</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Penyebarluasan dan transfer</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Mengungkapkan, mengumumkan, membagikan, mentransfer, atau mengalihkan data.</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F6</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Retensi dan penghapusan</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Masa retensi, penghentian, penghapusan, pemusnahan.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F7</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Tata kelola dan hak subjek</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Akuntabilitas, pencatatan, audit, pelaksanaan hak, penanganan insiden.</w:t>
            </w:r>
          </w:p>
        </w:tc>
      </w:tr>
      <w:tr>
        <w:trPr/>
        <w:tc>
          <w:tcPr>
            <w:tcW w:w="7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F8</w:t>
            </w:r>
          </w:p>
        </w:tc>
        <w:tc>
          <w:tcPr>
            <w:tcW w:w="291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Lintas tahap atau tidak spesifik</w:t>
            </w:r>
          </w:p>
        </w:tc>
        <w:tc>
          <w:tcPr>
            <w:tcW w:w="56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Tidak terikat satu tahap, atau mencakup seluruh siklus (misalnya "sejak diperoleh hingga dimusnahkan").</w:t>
            </w:r>
          </w:p>
        </w:tc>
      </w:tr>
    </w:tbl>
    <w:p>
      <w:pPr>
        <w:pStyle w:val="Normal"/>
        <w:rPr/>
      </w:pPr>
      <w:r>
        <w:rPr/>
      </w:r>
    </w:p>
    <w:p>
      <w:pPr>
        <w:pStyle w:val="Heading3"/>
        <w:spacing w:before="0" w:after="80"/>
        <w:ind w:hanging="0" w:left="0"/>
        <w:rPr/>
      </w:pPr>
      <w:r>
        <w:rPr/>
        <w:t>7.6 V9: Kandidat Kebutuhan SRS</w:t>
      </w:r>
    </w:p>
    <w:p>
      <w:pPr>
        <w:pStyle w:val="Normal"/>
        <w:rPr/>
      </w:pPr>
      <w:r>
        <w:rPr/>
        <w:t>Pembagian mengikuti pemisahan umum dalam rekayasa kebutuhan: kebutuhan fungsional, non-fungsional, dan batasan (misalnya pada ISO/IEC/IEEE 29148). Nilai V9 dari isi teks pada ayat dominan, bukan dari V5. Gunakan urutan pemeriksaan: K1, lalu K2, lalu K3, lalu K4, lalu K5. Berhenti pada kode pertama yang cocok. Urutan ini menempatkan atribut non-fungsional (K1 dan K2) sebelum fungsi (K3) karena tuntutan tertentu seperti “mengenkripsi data” tetap dapat ditulis “Sistem harus …” tetapi intinya pelindungan.</w:t>
      </w:r>
    </w:p>
    <w:tbl>
      <w:tblPr>
        <w:tblW w:w="9358" w:type="dxa"/>
        <w:jc w:val="left"/>
        <w:tblInd w:w="0" w:type="dxa"/>
        <w:tblLayout w:type="fixed"/>
        <w:tblCellMar>
          <w:top w:w="0" w:type="dxa"/>
          <w:left w:w="108" w:type="dxa"/>
          <w:bottom w:w="0" w:type="dxa"/>
          <w:right w:w="108" w:type="dxa"/>
        </w:tblCellMar>
      </w:tblPr>
      <w:tblGrid>
        <w:gridCol w:w="780"/>
        <w:gridCol w:w="1605"/>
        <w:gridCol w:w="4755"/>
        <w:gridCol w:w="2218"/>
      </w:tblGrid>
      <w:tr>
        <w:trPr>
          <w:tblHeader w:val="true"/>
        </w:trPr>
        <w:tc>
          <w:tcPr>
            <w:tcW w:w="78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Kode</w:t>
            </w:r>
          </w:p>
        </w:tc>
        <w:tc>
          <w:tcPr>
            <w:tcW w:w="160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Jenis</w:t>
            </w:r>
          </w:p>
        </w:tc>
        <w:tc>
          <w:tcPr>
            <w:tcW w:w="475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Definisi</w:t>
            </w:r>
          </w:p>
        </w:tc>
        <w:tc>
          <w:tcPr>
            <w:tcW w:w="2218"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Pertanyaan uji</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K1</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Non-fungsional: keamanan dan kerahasiaan</w:t>
            </w:r>
          </w:p>
        </w:tc>
        <w:tc>
          <w:tcPr>
            <w:tcW w:w="47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Inti teks melindungi kerahasiaan, keutuhan, atau ketersediaan data dari akses, pemrosesan, atau gangguan yang tidak sah. Larangan atas suatu perbuatan (misalnya memperoleh atau mengumpulkan data secara melawan hukum) bukan K1 melainkan K4.</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Apakah inti teks melindungi data dari akses atau gangguan tidak sah?</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K2</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Non-fungsional: mutu data, kepatuhan, dan akuntabilitas</w:t>
            </w:r>
          </w:p>
        </w:tc>
        <w:tc>
          <w:tcPr>
            <w:tcW w:w="47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Tuntutan yang berlaku lintas kegiatan sistem: akurasi, kelengkapan, dan pembaruan data; jejak atau log untuk audit; pencatatan seluruh kegiatan; dokumentasi; transparansi proses.</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Apakah ini mutu atau bukti yang berlaku untuk seluruh sistem, bukan hanya satu operasi?</w:t>
            </w:r>
          </w:p>
        </w:tc>
      </w:tr>
      <w:tr>
        <w:trPr/>
        <w:tc>
          <w:tcPr>
            <w:tcW w:w="780" w:type="dxa"/>
            <w:tcBorders>
              <w:left w:val="single" w:sz="4" w:space="0" w:color="000000"/>
              <w:bottom w:val="single" w:sz="4" w:space="0" w:color="000000"/>
              <w:right w:val="single" w:sz="4" w:space="0" w:color="000000"/>
            </w:tcBorders>
          </w:tcPr>
          <w:p>
            <w:pPr>
              <w:pStyle w:val="Normal"/>
              <w:spacing w:before="0" w:after="160"/>
              <w:rPr>
                <w:sz w:val="22"/>
              </w:rPr>
            </w:pPr>
            <w:r>
              <w:rPr>
                <w:sz w:val="22"/>
              </w:rPr>
              <w:t>K3</w:t>
            </w:r>
          </w:p>
        </w:tc>
        <w:tc>
          <w:tcPr>
            <w:tcW w:w="1605" w:type="dxa"/>
            <w:tcBorders>
              <w:left w:val="single" w:sz="4" w:space="0" w:color="000000"/>
              <w:bottom w:val="single" w:sz="4" w:space="0" w:color="000000"/>
              <w:right w:val="single" w:sz="4" w:space="0" w:color="000000"/>
            </w:tcBorders>
          </w:tcPr>
          <w:p>
            <w:pPr>
              <w:pStyle w:val="Normal"/>
              <w:spacing w:before="0" w:after="160"/>
              <w:rPr>
                <w:sz w:val="22"/>
              </w:rPr>
            </w:pPr>
            <w:r>
              <w:rPr>
                <w:sz w:val="22"/>
              </w:rPr>
              <w:t>Fungsional</w:t>
            </w:r>
          </w:p>
        </w:tc>
        <w:tc>
          <w:tcPr>
            <w:tcW w:w="4755" w:type="dxa"/>
            <w:tcBorders>
              <w:left w:val="single" w:sz="4" w:space="0" w:color="000000"/>
              <w:bottom w:val="single" w:sz="4" w:space="0" w:color="000000"/>
              <w:right w:val="single" w:sz="4" w:space="0" w:color="000000"/>
            </w:tcBorders>
          </w:tcPr>
          <w:p>
            <w:pPr>
              <w:pStyle w:val="Normal"/>
              <w:spacing w:before="0" w:after="160"/>
              <w:rPr>
                <w:sz w:val="22"/>
              </w:rPr>
            </w:pPr>
            <w:r>
              <w:rPr>
                <w:sz w:val="22"/>
              </w:rPr>
              <w:t>Tuntutan atas satu aksi spesifik yang dipicu peristiwa atau permintaan dan dapat diuji lulus atau gagal (misalnya: meminta atau mencatat persetujuan, menghapus, menghentikan pemrosesan, menyediakan akses, atau menampilkan informasi).</w:t>
            </w:r>
          </w:p>
        </w:tc>
        <w:tc>
          <w:tcPr>
            <w:tcW w:w="2218" w:type="dxa"/>
            <w:tcBorders>
              <w:left w:val="single" w:sz="4" w:space="0" w:color="000000"/>
              <w:bottom w:val="single" w:sz="4" w:space="0" w:color="000000"/>
              <w:right w:val="single" w:sz="4" w:space="0" w:color="000000"/>
            </w:tcBorders>
          </w:tcPr>
          <w:p>
            <w:pPr>
              <w:pStyle w:val="Normal"/>
              <w:spacing w:before="0" w:after="160"/>
              <w:rPr>
                <w:sz w:val="22"/>
              </w:rPr>
            </w:pPr>
            <w:r>
              <w:rPr>
                <w:sz w:val="22"/>
              </w:rPr>
              <w:t>Dapatkah ditulis "Sistem harus [melakukan X]" dengan hasil hanya lulus atau gagal?</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K4</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Batasan atau aturan bisnis hukum</w:t>
            </w:r>
          </w:p>
        </w:tc>
        <w:tc>
          <w:tcPr>
            <w:tcW w:w="47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Larangan, syarat, cakupan, atau pengecualian yang membatasi perilaku atau desain sistem tanpa menuntut fitur baru. Termasuk definisi yang menentukan data atau pihak yang tercakup (misalnya data pribadi, Pengendali, Prosesor, persetujuan).</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Apakah teks membatasi apa yang boleh dilakukan sistem, atau apa dan siapa yang tercakup?</w:t>
            </w:r>
          </w:p>
        </w:tc>
      </w:tr>
      <w:tr>
        <w:trPr/>
        <w:tc>
          <w:tcPr>
            <w:tcW w:w="78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K5</w:t>
            </w:r>
          </w:p>
        </w:tc>
        <w:tc>
          <w:tcPr>
            <w:tcW w:w="160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Tidak menghasilkan kebutuhan</w:t>
            </w:r>
          </w:p>
        </w:tc>
        <w:tc>
          <w:tcPr>
            <w:tcW w:w="475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 xml:space="preserve">Tidak ada kalimat “Sistem harus/tidak boleh …” yang dapat ditulis tanpa asumsi (definisi asumsi pada Bagian </w:t>
            </w:r>
            <w:r>
              <w:rPr>
                <w:sz w:val="22"/>
              </w:rPr>
              <w:t>6</w:t>
            </w:r>
            <w:r>
              <w:rPr>
                <w:sz w:val="22"/>
              </w:rPr>
              <w:t>). Biasanya berupa asas, latar belakang, rujukan, opini, atau definisi institusional (misalnya Menteri, Lembaga, Korporasi).</w:t>
            </w:r>
          </w:p>
        </w:tc>
        <w:tc>
          <w:tcPr>
            <w:tcW w:w="22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Apakah teks benar-benar tidak dapat diterjemahkan menjadi kalimat "Sistem harus/tidak boleh …"?</w:t>
            </w:r>
          </w:p>
        </w:tc>
      </w:tr>
    </w:tbl>
    <w:p>
      <w:pPr>
        <w:pStyle w:val="Normal"/>
        <w:rPr/>
      </w:pPr>
      <w:r>
        <w:rPr/>
      </w:r>
    </w:p>
    <w:p>
      <w:pPr>
        <w:pStyle w:val="Heading2"/>
        <w:spacing w:before="0" w:after="100"/>
        <w:ind w:hanging="283" w:left="283" w:right="0"/>
        <w:rPr/>
      </w:pPr>
      <w:r>
        <w:rPr/>
        <w:t>8. Aturan Unit Majemuk</w:t>
      </w:r>
    </w:p>
    <w:p>
      <w:pPr>
        <w:pStyle w:val="Normal"/>
        <w:rPr/>
      </w:pPr>
      <w:r>
        <w:rPr/>
        <w:t>Banyak Pasal memuat beberapa ayat dengan isi berbeda. Satu baris tetap satu unit dan tidak dipecah.</w:t>
      </w:r>
    </w:p>
    <w:p>
      <w:pPr>
        <w:pStyle w:val="Normal"/>
        <w:numPr>
          <w:ilvl w:val="0"/>
          <w:numId w:val="15"/>
        </w:numPr>
        <w:rPr>
          <w:b/>
        </w:rPr>
      </w:pPr>
      <w:r>
        <w:rPr>
          <w:b/>
        </w:rPr>
        <w:t>Relevansi (V5):</w:t>
      </w:r>
      <w:r>
        <w:rPr>
          <w:b w:val="false"/>
          <w:bCs w:val="false"/>
        </w:rPr>
        <w:t xml:space="preserve"> nilai dari ayat dominan, yaitu ayat yang menentukan V7. Bila ayat dominan tidak dapat ditentukan, gunakan ayat (1).</w:t>
      </w:r>
    </w:p>
    <w:p>
      <w:pPr>
        <w:pStyle w:val="Normal"/>
        <w:numPr>
          <w:ilvl w:val="0"/>
          <w:numId w:val="6"/>
        </w:numPr>
        <w:rPr/>
      </w:pPr>
      <w:r>
        <w:rPr>
          <w:b/>
        </w:rPr>
        <w:t>Tema (V6):</w:t>
      </w:r>
      <w:r>
        <w:rPr/>
        <w:t xml:space="preserve"> tentukan tema tiap ayat, lalu pilih tema yang menempati ayat terbanyak. Bila seri, pilih tema ayat (1) atau kalimat pembuka. Tema kedua dicatat di V10.</w:t>
      </w:r>
    </w:p>
    <w:p>
      <w:pPr>
        <w:pStyle w:val="Normal"/>
        <w:numPr>
          <w:ilvl w:val="0"/>
          <w:numId w:val="6"/>
        </w:numPr>
        <w:rPr/>
      </w:pPr>
      <w:r>
        <w:rPr>
          <w:b/>
        </w:rPr>
        <w:t>Jenis pernyataan (V7):</w:t>
      </w:r>
      <w:r>
        <w:rPr/>
        <w:t xml:space="preserve"> pilih jenis yang paling banyak muncul antar ayat. Bila seri, gunakan prioritas </w:t>
      </w:r>
      <w:r>
        <w:rPr>
          <w:b/>
        </w:rPr>
        <w:t>P1 &gt; P2 &gt; P3 &gt; P4 &gt; P5 &gt; P6 &gt; P7 &gt; P8 &gt; P9</w:t>
      </w:r>
      <w:r>
        <w:rPr/>
        <w:t>. Urutan ini mengutamakan pernyataan yang paling operasional untuk SRS (P1 larangan dan P2 kewajiban), disusul P3 karena menyangkut hak Subjek Data Pribadi. P4 diletakkan sebelum P5 karena pengecualian membatasi norma lain sehingga lebih menentukan daripada kebolehan, sedangkan P6 sampai P9 terakhir karena tidak langsung dapat dijalankan oleh sistem. Bila tidak ada jenis yang cocok, pilih jenis terdekat dan catat alasannya di V12.</w:t>
      </w:r>
    </w:p>
    <w:p>
      <w:pPr>
        <w:pStyle w:val="Normal"/>
        <w:numPr>
          <w:ilvl w:val="0"/>
          <w:numId w:val="6"/>
        </w:numPr>
        <w:rPr/>
      </w:pPr>
      <w:r>
        <w:rPr>
          <w:b/>
        </w:rPr>
        <w:t>Subjek (V4):</w:t>
      </w:r>
      <w:r>
        <w:rPr/>
        <w:t xml:space="preserve"> subjek norma pertama. Bila Pengendali dan Prosesor disebut sama-sama, pilih S3.</w:t>
      </w:r>
    </w:p>
    <w:p>
      <w:pPr>
        <w:pStyle w:val="Normal"/>
        <w:numPr>
          <w:ilvl w:val="0"/>
          <w:numId w:val="6"/>
        </w:numPr>
        <w:rPr/>
      </w:pPr>
      <w:r>
        <w:rPr>
          <w:b/>
        </w:rPr>
        <w:t>Tahap (V8):</w:t>
      </w:r>
      <w:r>
        <w:rPr/>
        <w:t xml:space="preserve"> bila memuat beberapa tahap pada F1 sampai F6, pilih tahap </w:t>
      </w:r>
      <w:r>
        <w:rPr>
          <w:b/>
        </w:rPr>
        <w:t>paling awal</w:t>
      </w:r>
      <w:r>
        <w:rPr/>
        <w:t xml:space="preserve"> dalam siklus. Pilih F7 hanya jika fokus teks adalah tata kelola atau hak. Pilih F8 bila teks menyebut seluruh siklus.</w:t>
      </w:r>
    </w:p>
    <w:p>
      <w:pPr>
        <w:pStyle w:val="Normal"/>
        <w:numPr>
          <w:ilvl w:val="0"/>
          <w:numId w:val="6"/>
        </w:numPr>
        <w:rPr/>
      </w:pPr>
      <w:r>
        <w:rPr>
          <w:b/>
        </w:rPr>
        <w:t>Kutipan norma dalam artikel:</w:t>
      </w:r>
      <w:r>
        <w:rPr/>
        <w:t xml:space="preserve"> kodekan V6 sampai V9 menurut isi norma yang dikutip. Bila norma itu berlaku untuk sektor tertentu saja (misalnya jasa keuangan), batasi V5 pada </w:t>
      </w:r>
      <w:r>
        <w:rPr>
          <w:b/>
        </w:rPr>
        <w:t>R1</w:t>
      </w:r>
      <w:r>
        <w:rPr/>
        <w:t>.</w:t>
      </w:r>
    </w:p>
    <w:p>
      <w:pPr>
        <w:pStyle w:val="Normal"/>
        <w:numPr>
          <w:ilvl w:val="0"/>
          <w:numId w:val="6"/>
        </w:numPr>
        <w:rPr/>
      </w:pPr>
      <w:r>
        <w:rPr>
          <w:b/>
        </w:rPr>
        <w:t>Kalimat artikel yang memakai kata rujuk</w:t>
      </w:r>
      <w:r>
        <w:rPr/>
        <w:t xml:space="preserve"> ("hal tersebut", "selain itu"): baca baris sebelum dan sesudahnya sebagai unit konteks.</w:t>
      </w:r>
    </w:p>
    <w:p>
      <w:pPr>
        <w:pStyle w:val="Normal"/>
        <w:numPr>
          <w:ilvl w:val="0"/>
          <w:numId w:val="6"/>
        </w:numPr>
        <w:rPr/>
      </w:pPr>
      <w:r>
        <w:rPr>
          <w:b/>
        </w:rPr>
        <w:t>Fragmen kalimat</w:t>
      </w:r>
      <w:r>
        <w:rPr/>
        <w:t xml:space="preserve"> tanpa makna normatif yang utuh (misalnya kalimat artikel yang hanya berupa potongan frasa): V5 = R0, V6 = T16 atau T99, V7 = P8, catat di V12.</w:t>
      </w:r>
    </w:p>
    <w:p>
      <w:pPr>
        <w:pStyle w:val="Heading2"/>
        <w:spacing w:before="0" w:after="100"/>
        <w:ind w:hanging="283" w:left="283" w:right="0"/>
        <w:rPr/>
      </w:pPr>
      <w:r>
        <w:rPr/>
        <w:t>9. Aturan Konsistensi</w:t>
      </w:r>
    </w:p>
    <w:p>
      <w:pPr>
        <w:pStyle w:val="Heading3"/>
        <w:spacing w:before="0" w:after="80"/>
        <w:ind w:hanging="0" w:left="0"/>
        <w:rPr/>
      </w:pPr>
      <w:r>
        <w:rPr/>
        <w:t>9.1 Hubungan Antarvariabel</w:t>
      </w:r>
    </w:p>
    <w:p>
      <w:pPr>
        <w:pStyle w:val="Normal"/>
        <w:rPr/>
      </w:pPr>
      <w:r>
        <w:rPr/>
        <w:t>Periksa tiap baris setelah selesai. Kombinasi di bawah ini wajib dipenuhi. Bila tidak, ulangi coding atau beri penjelasan singkat di V12.</w:t>
      </w:r>
    </w:p>
    <w:tbl>
      <w:tblPr>
        <w:tblW w:w="9360" w:type="dxa"/>
        <w:jc w:val="left"/>
        <w:tblInd w:w="0" w:type="dxa"/>
        <w:tblLayout w:type="fixed"/>
        <w:tblCellMar>
          <w:top w:w="0" w:type="dxa"/>
          <w:left w:w="108" w:type="dxa"/>
          <w:bottom w:w="0" w:type="dxa"/>
          <w:right w:w="108" w:type="dxa"/>
        </w:tblCellMar>
      </w:tblPr>
      <w:tblGrid>
        <w:gridCol w:w="3975"/>
        <w:gridCol w:w="5385"/>
      </w:tblGrid>
      <w:tr>
        <w:trPr>
          <w:tblHeader w:val="true"/>
        </w:trPr>
        <w:tc>
          <w:tcPr>
            <w:tcW w:w="397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Aturan</w:t>
            </w:r>
          </w:p>
        </w:tc>
        <w:tc>
          <w:tcPr>
            <w:tcW w:w="538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Keterangan</w:t>
            </w:r>
          </w:p>
        </w:tc>
      </w:tr>
      <w:tr>
        <w:trPr>
          <w:trHeight w:val="507" w:hRule="atLeast"/>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R0 harus berpasangan dengan K5</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Teks tidak relevan tidak menghasilkan kebutuhan.</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R1 tidak berpasangan dengan K3</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Teks tidak langsung (R1) tidak menuntut aksi sistem yang dapat langsung diuji. R1 boleh berpasangan dengan K1, K2, K4, atau K5.</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 hanya berpasangan dengan K1, K2, K3, atau K4</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Teks langsung harus dapat diturunkan menjadi kebutuhan.</w:t>
            </w:r>
          </w:p>
        </w:tc>
      </w:tr>
      <w:tr>
        <w:trPr/>
        <w:tc>
          <w:tcPr>
            <w:tcW w:w="3975" w:type="dxa"/>
            <w:tcBorders>
              <w:left w:val="single" w:sz="4" w:space="0" w:color="000000"/>
              <w:bottom w:val="single" w:sz="4" w:space="0" w:color="000000"/>
              <w:right w:val="single" w:sz="4" w:space="0" w:color="000000"/>
            </w:tcBorders>
          </w:tcPr>
          <w:p>
            <w:pPr>
              <w:pStyle w:val="Normal"/>
              <w:spacing w:before="0" w:after="160"/>
              <w:rPr>
                <w:sz w:val="22"/>
              </w:rPr>
            </w:pPr>
            <w:r>
              <w:rPr>
                <w:sz w:val="22"/>
              </w:rPr>
              <w:t>R2 tidak berpasangan dengan S6, S7, atau S8</w:t>
            </w:r>
          </w:p>
        </w:tc>
        <w:tc>
          <w:tcPr>
            <w:tcW w:w="5385" w:type="dxa"/>
            <w:tcBorders>
              <w:left w:val="single" w:sz="4" w:space="0" w:color="000000"/>
              <w:bottom w:val="single" w:sz="4" w:space="0" w:color="000000"/>
              <w:right w:val="single" w:sz="4" w:space="0" w:color="000000"/>
            </w:tcBorders>
          </w:tcPr>
          <w:p>
            <w:pPr>
              <w:pStyle w:val="Normal"/>
              <w:spacing w:before="0" w:after="160"/>
              <w:rPr>
                <w:sz w:val="22"/>
              </w:rPr>
            </w:pPr>
            <w:r>
              <w:rPr>
                <w:sz w:val="22"/>
              </w:rPr>
              <w:t>Norma yang hanya menyasar instansi, otoritas, atau sektor tertentu adalah R1 (Bagian 6.2).</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P9 hanya berpasangan dengan T17</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Rujukan tanpa isi norma adalah T17.</w:t>
            </w:r>
          </w:p>
        </w:tc>
      </w:tr>
      <w:tr>
        <w:trPr/>
        <w:tc>
          <w:tcPr>
            <w:tcW w:w="3975" w:type="dxa"/>
            <w:tcBorders>
              <w:left w:val="single" w:sz="4" w:space="0" w:color="000000"/>
              <w:bottom w:val="single" w:sz="4" w:space="0" w:color="000000"/>
              <w:right w:val="single" w:sz="4" w:space="0" w:color="000000"/>
            </w:tcBorders>
          </w:tcPr>
          <w:p>
            <w:pPr>
              <w:pStyle w:val="Normal"/>
              <w:spacing w:before="0" w:after="160"/>
              <w:rPr>
                <w:sz w:val="22"/>
              </w:rPr>
            </w:pPr>
            <w:r>
              <w:rPr>
                <w:sz w:val="22"/>
              </w:rPr>
              <w:t>T17 atau P9 harus berpasangan dengan R0</w:t>
            </w:r>
          </w:p>
        </w:tc>
        <w:tc>
          <w:tcPr>
            <w:tcW w:w="5385" w:type="dxa"/>
            <w:tcBorders>
              <w:left w:val="single" w:sz="4" w:space="0" w:color="000000"/>
              <w:bottom w:val="single" w:sz="4" w:space="0" w:color="000000"/>
              <w:right w:val="single" w:sz="4" w:space="0" w:color="000000"/>
            </w:tcBorders>
          </w:tcPr>
          <w:p>
            <w:pPr>
              <w:pStyle w:val="Normal"/>
              <w:spacing w:before="0" w:after="160"/>
              <w:rPr>
                <w:sz w:val="22"/>
              </w:rPr>
            </w:pPr>
            <w:r>
              <w:rPr>
                <w:sz w:val="22"/>
              </w:rPr>
              <w:t>Rujukan tanpa isi norma tidak relevan terhadap perilaku sistem.</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T01 biasanya berpasangan dengan P6</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Bila tidak, jelaskan di V12.</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P1 biasanya berpasangan dengan K4</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Larangan menjadi batasan. Bila tidak, jelaskan di V12.</w:t>
            </w:r>
          </w:p>
        </w:tc>
      </w:tr>
      <w:tr>
        <w:trPr/>
        <w:tc>
          <w:tcPr>
            <w:tcW w:w="397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Tanpa subjek eksplisit, V4 = S9</w:t>
            </w:r>
          </w:p>
        </w:tc>
        <w:tc>
          <w:tcPr>
            <w:tcW w:w="53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Jangan menebak subjek.</w:t>
            </w:r>
          </w:p>
        </w:tc>
      </w:tr>
    </w:tbl>
    <w:p>
      <w:pPr>
        <w:pStyle w:val="Normal"/>
        <w:rPr/>
      </w:pPr>
      <w:r>
        <w:rPr/>
      </w:r>
    </w:p>
    <w:p>
      <w:pPr>
        <w:pStyle w:val="Heading3"/>
        <w:spacing w:before="0" w:after="80"/>
        <w:ind w:hanging="0" w:left="0"/>
        <w:rPr/>
      </w:pPr>
      <w:r>
        <w:rPr/>
        <w:t>9.2 Catatan Khusus per Dokumen</w:t>
      </w:r>
    </w:p>
    <w:p>
      <w:pPr>
        <w:pStyle w:val="Normal"/>
        <w:numPr>
          <w:ilvl w:val="0"/>
          <w:numId w:val="1"/>
        </w:numPr>
        <w:rPr/>
      </w:pPr>
      <w:r>
        <w:rPr>
          <w:b/>
        </w:rPr>
        <w:t>UU 27 Tahun 2022 (PDP):</w:t>
      </w:r>
      <w:r>
        <w:rPr/>
        <w:t xml:space="preserve"> satu baris adalah satu Pasal. Korpus tidak memuat semua Pasal (misalnya Pasal 54 dan Pasal 57 sampai 64 tidak ada). Jangan melengkapinya dari pengetahuan sendiri. Baris 44 (Pasal 17), 52 (Pasal 25), dan 73 (Pasal 46) masih memuat kalimat yang kehilangan kata; kodekan berdasarkan makna yang paling mungkin dari teks yang ada dan catat di V12.</w:t>
      </w:r>
    </w:p>
    <w:p>
      <w:pPr>
        <w:pStyle w:val="Normal"/>
        <w:numPr>
          <w:ilvl w:val="0"/>
          <w:numId w:val="1"/>
        </w:numPr>
        <w:rPr/>
      </w:pPr>
      <w:r>
        <w:rPr>
          <w:b/>
        </w:rPr>
        <w:t>Perpres 39 Tahun 2019 (Satu Data):</w:t>
      </w:r>
      <w:r>
        <w:rPr/>
        <w:t xml:space="preserve"> hanya Pasal 1 dan Pasal 39 yang berisi. Norma Pasal 39 ditujukan kepada Instansi Pusat dan Daerah, bukan publik umum, sehingga V5 maksimal R1. Definisi pada Pasal 1 menyangkut data pemerintah secara umum: V5 = R1 dan V9 = K5 karena istilahnya institusional, kecuali ada istilah inti yang menentukan cakupan data atau pihak yang tercakup (aturan K4 vs K5 pada Bagian 7.3).</w:t>
      </w:r>
    </w:p>
    <w:p>
      <w:pPr>
        <w:pStyle w:val="Normal"/>
        <w:numPr>
          <w:ilvl w:val="0"/>
          <w:numId w:val="1"/>
        </w:numPr>
        <w:rPr/>
      </w:pPr>
      <w:r>
        <w:rPr>
          <w:b/>
        </w:rPr>
        <w:t>UU 23 Tahun 2002 (Perlindungan Anak):</w:t>
      </w:r>
      <w:r>
        <w:rPr/>
        <w:t xml:space="preserve"> hanya Pasal 27 (identitas anak dan akta kelahiran). Kodekan sebagai T07. Pada Uji Implikasi, pertanyaan a dijawab Ya karena pasal ini menyangkut data identitas anak, tetapi pertanyaan b tidak terpenuhi karena pasal ini tidak mengatur pemrosesan data secara langsung sehingga masih membutuhkan asumsi tambahan (definisi asumsi pada Bagian 6). Dengan demikian V5 = R1 (kriteria e pada Bagian 7.2).</w:t>
      </w:r>
    </w:p>
    <w:p>
      <w:pPr>
        <w:pStyle w:val="Normal"/>
        <w:numPr>
          <w:ilvl w:val="0"/>
          <w:numId w:val="1"/>
        </w:numPr>
        <w:rPr/>
      </w:pPr>
      <w:r>
        <w:rPr>
          <w:b/>
        </w:rPr>
        <w:t>UU 8 Tahun 1999 (Perlindungan Konsumen):</w:t>
      </w:r>
      <w:r>
        <w:rPr/>
        <w:t xml:space="preserve"> kolom Isi kosong, sehingga tidak dikodekan. Bila Isi diisi kemudian, kategori T01 sampai T17 perlu ditinjau ulang dan codebook direvisi menjadi versi 1.1.</w:t>
      </w:r>
    </w:p>
    <w:p>
      <w:pPr>
        <w:pStyle w:val="Normal"/>
        <w:numPr>
          <w:ilvl w:val="0"/>
          <w:numId w:val="1"/>
        </w:numPr>
        <w:rPr/>
      </w:pPr>
      <w:r>
        <w:rPr>
          <w:b/>
        </w:rPr>
        <w:t>Artikel 2019MHN201:</w:t>
      </w:r>
      <w:r>
        <w:rPr/>
        <w:t xml:space="preserve"> satu baris adalah satu kalimat. Nomor kalimat tidak selalu berurutan (misalnya Kalimat 3 langsung ke Kalimat 13) karena hanya kalimat terpilih yang tersedia. Baca konteks hanya dari baris yang ada.</w:t>
      </w:r>
    </w:p>
    <w:p>
      <w:pPr>
        <w:pStyle w:val="Heading2"/>
        <w:spacing w:before="0" w:after="100"/>
        <w:ind w:hanging="283" w:left="283" w:right="0"/>
        <w:rPr/>
      </w:pPr>
      <w:r>
        <w:rPr/>
        <w:t xml:space="preserve">10. Contoh </w:t>
      </w:r>
      <w:r>
        <w:rPr>
          <w:i/>
          <w:iCs/>
        </w:rPr>
        <w:t>Coding</w:t>
      </w:r>
      <w:r>
        <w:rPr/>
        <w:t xml:space="preserve"> dan Alasannya</w:t>
      </w:r>
    </w:p>
    <w:p>
      <w:pPr>
        <w:pStyle w:val="Normal"/>
        <w:rPr/>
      </w:pPr>
      <w:r>
        <w:rPr/>
        <w:t xml:space="preserve">Tabel berikut memberi contoh </w:t>
      </w:r>
      <w:r>
        <w:rPr>
          <w:i/>
          <w:iCs/>
        </w:rPr>
        <w:t>coding</w:t>
      </w:r>
      <w:r>
        <w:rPr/>
        <w:t xml:space="preserve"> beserta alasannya. Kolom “Kode” berisi nilai V5 / V6 / V7 / V4 / V8 / V9 pada lembar </w:t>
      </w:r>
      <w:r>
        <w:rPr>
          <w:i/>
          <w:iCs/>
        </w:rPr>
        <w:t>coding</w:t>
      </w:r>
      <w:r>
        <w:rPr/>
        <w:t>.</w:t>
      </w:r>
    </w:p>
    <w:tbl>
      <w:tblPr>
        <w:tblW w:w="9360" w:type="dxa"/>
        <w:jc w:val="left"/>
        <w:tblInd w:w="0" w:type="dxa"/>
        <w:tblLayout w:type="fixed"/>
        <w:tblCellMar>
          <w:top w:w="0" w:type="dxa"/>
          <w:left w:w="108" w:type="dxa"/>
          <w:bottom w:w="0" w:type="dxa"/>
          <w:right w:w="108" w:type="dxa"/>
        </w:tblCellMar>
      </w:tblPr>
      <w:tblGrid>
        <w:gridCol w:w="4485"/>
        <w:gridCol w:w="1525"/>
        <w:gridCol w:w="3350"/>
      </w:tblGrid>
      <w:tr>
        <w:trPr>
          <w:tblHeader w:val="true"/>
        </w:trPr>
        <w:tc>
          <w:tcPr>
            <w:tcW w:w="448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Baris dan isi (ringkas)</w:t>
            </w:r>
          </w:p>
        </w:tc>
        <w:tc>
          <w:tcPr>
            <w:tcW w:w="1525"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Contoh Kode</w:t>
            </w:r>
          </w:p>
        </w:tc>
        <w:tc>
          <w:tcPr>
            <w:tcW w:w="3350" w:type="dxa"/>
            <w:tcBorders>
              <w:top w:val="single" w:sz="4" w:space="0" w:color="000000"/>
              <w:left w:val="single" w:sz="4" w:space="0" w:color="000000"/>
              <w:bottom w:val="single" w:sz="4" w:space="0" w:color="000000"/>
              <w:right w:val="single" w:sz="4" w:space="0" w:color="000000"/>
            </w:tcBorders>
            <w:shd w:fill="F2F2F2" w:val="clear"/>
          </w:tcPr>
          <w:p>
            <w:pPr>
              <w:pStyle w:val="Normal"/>
              <w:spacing w:before="0" w:after="160"/>
              <w:rPr>
                <w:sz w:val="22"/>
              </w:rPr>
            </w:pPr>
            <w:r>
              <w:rPr>
                <w:sz w:val="22"/>
              </w:rPr>
              <w:t>Contoh Alasan</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2. Artikel MHN: sangat penting memberikan perlindungan data pribadi.</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R1 / T16 / P8 / S9 / F8 / K5</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Opini penulis tentang urgensi, tidak menghasilkan kebutuhan.</w:t>
            </w:r>
          </w:p>
        </w:tc>
      </w:tr>
      <w:tr>
        <w:trPr/>
        <w:tc>
          <w:tcPr>
            <w:tcW w:w="4485" w:type="dxa"/>
            <w:tcBorders>
              <w:left w:val="single" w:sz="4" w:space="0" w:color="000000"/>
              <w:bottom w:val="single" w:sz="4" w:space="0" w:color="000000"/>
              <w:right w:val="single" w:sz="4" w:space="0" w:color="000000"/>
            </w:tcBorders>
          </w:tcPr>
          <w:p>
            <w:pPr>
              <w:pStyle w:val="Normal"/>
              <w:spacing w:before="0" w:after="160"/>
              <w:rPr>
                <w:sz w:val="22"/>
              </w:rPr>
            </w:pPr>
            <w:r>
              <w:rPr>
                <w:sz w:val="22"/>
              </w:rPr>
              <w:t>15. Artikel MHN: daftar judul UU No. 19 Tahun 2016 tentang Perubahan UU ITE.</w:t>
            </w:r>
          </w:p>
        </w:tc>
        <w:tc>
          <w:tcPr>
            <w:tcW w:w="1525" w:type="dxa"/>
            <w:tcBorders>
              <w:left w:val="single" w:sz="4" w:space="0" w:color="000000"/>
              <w:bottom w:val="single" w:sz="4" w:space="0" w:color="000000"/>
              <w:right w:val="single" w:sz="4" w:space="0" w:color="000000"/>
            </w:tcBorders>
          </w:tcPr>
          <w:p>
            <w:pPr>
              <w:pStyle w:val="Normal"/>
              <w:spacing w:before="0" w:after="160"/>
              <w:rPr>
                <w:sz w:val="22"/>
              </w:rPr>
            </w:pPr>
            <w:r>
              <w:rPr>
                <w:sz w:val="22"/>
              </w:rPr>
              <w:t>R0 / T17 / P9 / S9 / F8 / K5</w:t>
            </w:r>
          </w:p>
        </w:tc>
        <w:tc>
          <w:tcPr>
            <w:tcW w:w="3350" w:type="dxa"/>
            <w:tcBorders>
              <w:left w:val="single" w:sz="4" w:space="0" w:color="000000"/>
              <w:bottom w:val="single" w:sz="4" w:space="0" w:color="000000"/>
              <w:right w:val="single" w:sz="4" w:space="0" w:color="000000"/>
            </w:tcBorders>
          </w:tcPr>
          <w:p>
            <w:pPr>
              <w:pStyle w:val="Normal"/>
              <w:spacing w:before="0" w:after="160"/>
              <w:rPr>
                <w:sz w:val="22"/>
              </w:rPr>
            </w:pPr>
            <w:r>
              <w:rPr>
                <w:sz w:val="22"/>
              </w:rPr>
              <w:t>Hanya judul peraturan.</w:t>
            </w:r>
          </w:p>
        </w:tc>
      </w:tr>
      <w:tr>
        <w:trPr/>
        <w:tc>
          <w:tcPr>
            <w:tcW w:w="4485" w:type="dxa"/>
            <w:tcBorders>
              <w:left w:val="single" w:sz="4" w:space="0" w:color="000000"/>
              <w:bottom w:val="single" w:sz="4" w:space="0" w:color="000000"/>
              <w:right w:val="single" w:sz="4" w:space="0" w:color="000000"/>
            </w:tcBorders>
          </w:tcPr>
          <w:p>
            <w:pPr>
              <w:pStyle w:val="Normal"/>
              <w:spacing w:before="0" w:after="160"/>
              <w:rPr>
                <w:sz w:val="22"/>
              </w:rPr>
            </w:pPr>
            <w:r>
              <w:rPr>
                <w:sz w:val="22"/>
              </w:rPr>
              <w:t>22. Artikel MHN: Pasal 30 ayat (1) Penyelenggara wajib menjaga kerahasiaan data sejak diperoleh hingga dimusnahkan.</w:t>
            </w:r>
          </w:p>
        </w:tc>
        <w:tc>
          <w:tcPr>
            <w:tcW w:w="1525" w:type="dxa"/>
            <w:tcBorders>
              <w:left w:val="single" w:sz="4" w:space="0" w:color="000000"/>
              <w:bottom w:val="single" w:sz="4" w:space="0" w:color="000000"/>
              <w:right w:val="single" w:sz="4" w:space="0" w:color="000000"/>
            </w:tcBorders>
          </w:tcPr>
          <w:p>
            <w:pPr>
              <w:pStyle w:val="Normal"/>
              <w:spacing w:before="0" w:after="160"/>
              <w:rPr>
                <w:sz w:val="22"/>
              </w:rPr>
            </w:pPr>
            <w:r>
              <w:rPr>
                <w:sz w:val="22"/>
              </w:rPr>
              <w:t>R1 / T10 / P2 / S8 / F8 / K1</w:t>
            </w:r>
          </w:p>
        </w:tc>
        <w:tc>
          <w:tcPr>
            <w:tcW w:w="3350" w:type="dxa"/>
            <w:tcBorders>
              <w:left w:val="single" w:sz="4" w:space="0" w:color="000000"/>
              <w:bottom w:val="single" w:sz="4" w:space="0" w:color="000000"/>
              <w:right w:val="single" w:sz="4" w:space="0" w:color="000000"/>
            </w:tcBorders>
          </w:tcPr>
          <w:p>
            <w:pPr>
              <w:pStyle w:val="Normal"/>
              <w:spacing w:before="0" w:after="160"/>
              <w:rPr>
                <w:sz w:val="22"/>
              </w:rPr>
            </w:pPr>
            <w:r>
              <w:rPr>
                <w:sz w:val="22"/>
              </w:rPr>
              <w:t>Kutipan norma sektor jasa keuangan. Siklus penuh menghasilkan F8. Isi norma adalah kewajiban kerahasiaan, sehingga nilainya K1.</w:t>
            </w:r>
          </w:p>
        </w:tc>
      </w:tr>
      <w:tr>
        <w:trPr/>
        <w:tc>
          <w:tcPr>
            <w:tcW w:w="4485" w:type="dxa"/>
            <w:tcBorders>
              <w:left w:val="single" w:sz="4" w:space="0" w:color="000000"/>
              <w:bottom w:val="single" w:sz="4" w:space="0" w:color="000000"/>
              <w:right w:val="single" w:sz="4" w:space="0" w:color="000000"/>
            </w:tcBorders>
          </w:tcPr>
          <w:p>
            <w:pPr>
              <w:pStyle w:val="Normal"/>
              <w:spacing w:before="0" w:after="160"/>
              <w:rPr>
                <w:sz w:val="22"/>
              </w:rPr>
            </w:pPr>
            <w:r>
              <w:rPr>
                <w:sz w:val="22"/>
              </w:rPr>
              <w:t>28. Pasal 1 UU 27/2022: definisi Data Pribadi, Pengendali, Prosesor, dan seterusnya.</w:t>
            </w:r>
          </w:p>
        </w:tc>
        <w:tc>
          <w:tcPr>
            <w:tcW w:w="1525" w:type="dxa"/>
            <w:tcBorders>
              <w:left w:val="single" w:sz="4" w:space="0" w:color="000000"/>
              <w:bottom w:val="single" w:sz="4" w:space="0" w:color="000000"/>
              <w:right w:val="single" w:sz="4" w:space="0" w:color="000000"/>
            </w:tcBorders>
          </w:tcPr>
          <w:p>
            <w:pPr>
              <w:pStyle w:val="Normal"/>
              <w:spacing w:before="0" w:after="160"/>
              <w:rPr>
                <w:sz w:val="22"/>
              </w:rPr>
            </w:pPr>
            <w:r>
              <w:rPr>
                <w:sz w:val="22"/>
              </w:rPr>
              <w:t>R1 / T01 / P6 / S9 / F8 / K4</w:t>
            </w:r>
          </w:p>
        </w:tc>
        <w:tc>
          <w:tcPr>
            <w:tcW w:w="3350" w:type="dxa"/>
            <w:tcBorders>
              <w:left w:val="single" w:sz="4" w:space="0" w:color="000000"/>
              <w:bottom w:val="single" w:sz="4" w:space="0" w:color="000000"/>
              <w:right w:val="single" w:sz="4" w:space="0" w:color="000000"/>
            </w:tcBorders>
          </w:tcPr>
          <w:p>
            <w:pPr>
              <w:pStyle w:val="Normal"/>
              <w:spacing w:before="0" w:after="160"/>
              <w:rPr>
                <w:sz w:val="22"/>
              </w:rPr>
            </w:pPr>
            <w:r>
              <w:rPr>
                <w:sz w:val="22"/>
              </w:rPr>
              <w:t>Definisi memuat istilah inti (Data Pribadi, Pengendali, Prosesor) yang menentukan cakupan data dan pihak, sehingga nilainya K4.</w:t>
            </w:r>
          </w:p>
        </w:tc>
      </w:tr>
      <w:tr>
        <w:trPr/>
        <w:tc>
          <w:tcPr>
            <w:tcW w:w="4485" w:type="dxa"/>
            <w:tcBorders>
              <w:left w:val="single" w:sz="4" w:space="0" w:color="000000"/>
              <w:bottom w:val="single" w:sz="4" w:space="0" w:color="000000"/>
              <w:right w:val="single" w:sz="4" w:space="0" w:color="000000"/>
            </w:tcBorders>
          </w:tcPr>
          <w:p>
            <w:pPr>
              <w:pStyle w:val="Normal"/>
              <w:spacing w:before="0" w:after="160"/>
              <w:rPr>
                <w:sz w:val="22"/>
              </w:rPr>
            </w:pPr>
            <w:r>
              <w:rPr>
                <w:sz w:val="22"/>
              </w:rPr>
              <w:t>30. Pasal 3: daftar asas (pelindungan, kepastian hukum, dst.).</w:t>
            </w:r>
          </w:p>
        </w:tc>
        <w:tc>
          <w:tcPr>
            <w:tcW w:w="1525" w:type="dxa"/>
            <w:tcBorders>
              <w:left w:val="single" w:sz="4" w:space="0" w:color="000000"/>
              <w:bottom w:val="single" w:sz="4" w:space="0" w:color="000000"/>
              <w:right w:val="single" w:sz="4" w:space="0" w:color="000000"/>
            </w:tcBorders>
          </w:tcPr>
          <w:p>
            <w:pPr>
              <w:pStyle w:val="Normal"/>
              <w:spacing w:before="0" w:after="160"/>
              <w:rPr>
                <w:sz w:val="22"/>
              </w:rPr>
            </w:pPr>
            <w:r>
              <w:rPr>
                <w:sz w:val="22"/>
              </w:rPr>
              <w:t>R1 / T02 / P7 / S9 / F8 / K5</w:t>
            </w:r>
          </w:p>
        </w:tc>
        <w:tc>
          <w:tcPr>
            <w:tcW w:w="3350" w:type="dxa"/>
            <w:tcBorders>
              <w:left w:val="single" w:sz="4" w:space="0" w:color="000000"/>
              <w:bottom w:val="single" w:sz="4" w:space="0" w:color="000000"/>
              <w:right w:val="single" w:sz="4" w:space="0" w:color="000000"/>
            </w:tcBorders>
          </w:tcPr>
          <w:p>
            <w:pPr>
              <w:pStyle w:val="Normal"/>
              <w:spacing w:before="0" w:after="160"/>
              <w:rPr>
                <w:sz w:val="22"/>
              </w:rPr>
            </w:pPr>
            <w:r>
              <w:rPr>
                <w:sz w:val="22"/>
              </w:rPr>
              <w:t>Asas tidak operasional dan tidak dapat diuji.</w:t>
            </w:r>
          </w:p>
        </w:tc>
      </w:tr>
      <w:tr>
        <w:trPr/>
        <w:tc>
          <w:tcPr>
            <w:tcW w:w="4485" w:type="dxa"/>
            <w:tcBorders>
              <w:left w:val="single" w:sz="4" w:space="0" w:color="000000"/>
              <w:bottom w:val="single" w:sz="4" w:space="0" w:color="000000"/>
              <w:right w:val="single" w:sz="4" w:space="0" w:color="000000"/>
            </w:tcBorders>
          </w:tcPr>
          <w:p>
            <w:pPr>
              <w:pStyle w:val="Normal"/>
              <w:spacing w:before="0" w:after="160"/>
              <w:rPr>
                <w:sz w:val="22"/>
              </w:rPr>
            </w:pPr>
            <w:r>
              <w:rPr>
                <w:sz w:val="22"/>
              </w:rPr>
              <w:t>32. Pasal 5: Subjek Data Pribadi berhak mendapat informasi tentang identitas, dasar hukum, tujuan, dan penggunaan data.</w:t>
            </w:r>
          </w:p>
        </w:tc>
        <w:tc>
          <w:tcPr>
            <w:tcW w:w="1525" w:type="dxa"/>
            <w:tcBorders>
              <w:left w:val="single" w:sz="4" w:space="0" w:color="000000"/>
              <w:bottom w:val="single" w:sz="4" w:space="0" w:color="000000"/>
              <w:right w:val="single" w:sz="4" w:space="0" w:color="000000"/>
            </w:tcBorders>
          </w:tcPr>
          <w:p>
            <w:pPr>
              <w:pStyle w:val="Normal"/>
              <w:spacing w:before="0" w:after="160"/>
              <w:rPr>
                <w:sz w:val="22"/>
              </w:rPr>
            </w:pPr>
            <w:r>
              <w:rPr>
                <w:sz w:val="22"/>
              </w:rPr>
              <w:t>R2 / T04 / P3 / S4 / F7 / K3</w:t>
            </w:r>
          </w:p>
        </w:tc>
        <w:tc>
          <w:tcPr>
            <w:tcW w:w="3350" w:type="dxa"/>
            <w:tcBorders>
              <w:left w:val="single" w:sz="4" w:space="0" w:color="000000"/>
              <w:bottom w:val="single" w:sz="4" w:space="0" w:color="000000"/>
              <w:right w:val="single" w:sz="4" w:space="0" w:color="000000"/>
            </w:tcBorders>
          </w:tcPr>
          <w:p>
            <w:pPr>
              <w:pStyle w:val="Normal"/>
              <w:spacing w:before="0" w:after="160"/>
              <w:rPr>
                <w:sz w:val="22"/>
              </w:rPr>
            </w:pPr>
            <w:r>
              <w:rPr>
                <w:sz w:val="22"/>
              </w:rPr>
              <w:t>Hak subjek diwujudkan lewat fitur penyampaian informasi.</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49. Pasal 22: persetujuan dilakukan melalui persetujuan tertulis atau terekam, elektronik atau nonelektronik.</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 / T05 / P2 / S9 / F1 / K3</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Ayat (1) dominan. Tidak ada subjek eksplisit. Sistem harus mencatat bentuk persetujuan.</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62. Pasal 35: wajib melindungi dan memastikan keamanan data dengan langkah teknis operasional dan penentuan tingkat keamanan.</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 / T10 / P2 / S1 / F4 / K1</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Inti teks adalah pengamanan data.</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67. Pasal 40: wajib menghentikan pemrosesan setelah persetujuan ditarik, paling lambat 3 x 24 jam.</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 / T11 / P2 / S1 / F6 / K3</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Kewajiban dengan batas waktu yang dapat diuji.</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83. Pasal 65 UU 27/2022: dilarang secara melawan hukum memperoleh atau mengumpulkan, mengungkapkan, dan menggunakan data pribadi yang bukan milik sendiri.</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R2 / T14 / P1 / S5 / F2 / K4</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Tiga ayat semuanya larangan. Tahap paling awal adalah memperoleh dan mengumpulkan (F2). Larangan menjadi batasan desain.</w:t>
            </w:r>
          </w:p>
        </w:tc>
      </w:tr>
      <w:tr>
        <w:trPr/>
        <w:tc>
          <w:tcPr>
            <w:tcW w:w="448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86. Pasal 39 Perpres 39/2019: akses data di Portal Satu Data Indonesia tidak dipungut biaya dan tidak memerlukan nota kesepahaman.</w:t>
            </w:r>
          </w:p>
        </w:tc>
        <w:tc>
          <w:tcPr>
            <w:tcW w:w="1525"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R1 / T15 / P5 / S6 / F2 / K4</w:t>
            </w:r>
          </w:p>
        </w:tc>
        <w:tc>
          <w:tcPr>
            <w:tcW w:w="3350"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2"/>
              </w:rPr>
            </w:pPr>
            <w:r>
              <w:rPr>
                <w:sz w:val="22"/>
              </w:rPr>
              <w:t>Norma hanya ditujukan kepada Instansi, bukan publik umum. K4 dipilih karena syarat akses yang mengharuskan tanpa biaya. P5 dipilih karena norma memberi izin akses tanpa biaya dan tanpa nota kesepahaman kepada Instansi, bukan kewajiban atau larangan. Penanda eksplisit seperti “dapat” tidak ada, sehingga yang dikodekan adalah maknanya.</w:t>
            </w:r>
          </w:p>
        </w:tc>
      </w:tr>
    </w:tbl>
    <w:p>
      <w:pPr>
        <w:pStyle w:val="Normal"/>
        <w:rPr/>
      </w:pPr>
      <w:r>
        <w:rPr/>
      </w:r>
    </w:p>
    <w:p>
      <w:pPr>
        <w:pStyle w:val="Heading2"/>
        <w:ind w:hanging="283" w:left="283" w:right="0"/>
        <w:rPr/>
      </w:pPr>
      <w:r>
        <w:rPr/>
        <w:t xml:space="preserve">11. Daftar Periksa untuk </w:t>
      </w:r>
      <w:r>
        <w:rPr>
          <w:i/>
          <w:iCs/>
        </w:rPr>
        <w:t>Coder</w:t>
      </w:r>
    </w:p>
    <w:p>
      <w:pPr>
        <w:pStyle w:val="Normal"/>
        <w:rPr>
          <w:i w:val="false"/>
          <w:iCs w:val="false"/>
        </w:rPr>
      </w:pPr>
      <w:r>
        <w:rPr>
          <w:i w:val="false"/>
          <w:iCs w:val="false"/>
        </w:rPr>
        <w:t>Ganti [_] dengan [</w:t>
      </w:r>
      <w:r>
        <w:rPr>
          <w:rFonts w:eastAsia="FiraCode Nerd Font" w:cs="FiraCode Nerd Font"/>
          <w:i w:val="false"/>
          <w:iCs w:val="false"/>
        </w:rPr>
        <w:t>✓] setelah setiap butir terpenuhi.</w:t>
      </w:r>
    </w:p>
    <w:p>
      <w:pPr>
        <w:pStyle w:val="Normal"/>
        <w:numPr>
          <w:ilvl w:val="0"/>
          <w:numId w:val="1"/>
        </w:numPr>
        <w:rPr/>
      </w:pPr>
      <w:r>
        <w:rPr>
          <w:rFonts w:eastAsia="FiraCode Nerd Font" w:cs="FiraCode Nerd Font"/>
        </w:rPr>
        <w:t>[_</w:t>
      </w:r>
      <w:r>
        <w:rPr>
          <w:rFonts w:eastAsia="Calibri" w:cs="Calibri"/>
        </w:rPr>
        <w:t>]</w:t>
      </w:r>
      <w:r>
        <w:rPr/>
        <w:t xml:space="preserve"> Saya mengisi seluruh variabel wajib V1 sampai V9 untuk setiap baris.</w:t>
      </w:r>
    </w:p>
    <w:p>
      <w:pPr>
        <w:pStyle w:val="Normal"/>
        <w:numPr>
          <w:ilvl w:val="0"/>
          <w:numId w:val="1"/>
        </w:numPr>
        <w:rPr/>
      </w:pPr>
      <w:r>
        <w:rPr>
          <w:rFonts w:eastAsia="FiraCode Nerd Font" w:cs="FiraCode Nerd Font"/>
        </w:rPr>
        <w:t>[_</w:t>
      </w:r>
      <w:r>
        <w:rPr>
          <w:rFonts w:eastAsia="Calibri" w:cs="Calibri"/>
        </w:rPr>
        <w:t>]</w:t>
      </w:r>
      <w:r>
        <w:rPr/>
        <w:t xml:space="preserve"> Saya hanya mengodekan baris dengan kolom “Isi” yang terisi.</w:t>
      </w:r>
    </w:p>
    <w:p>
      <w:pPr>
        <w:pStyle w:val="Normal"/>
        <w:numPr>
          <w:ilvl w:val="0"/>
          <w:numId w:val="1"/>
        </w:numPr>
        <w:rPr/>
      </w:pPr>
      <w:r>
        <w:rPr>
          <w:rFonts w:eastAsia="FiraCode Nerd Font" w:cs="FiraCode Nerd Font"/>
        </w:rPr>
        <w:t>[_</w:t>
      </w:r>
      <w:r>
        <w:rPr>
          <w:rFonts w:eastAsia="Calibri" w:cs="Calibri"/>
        </w:rPr>
        <w:t>]</w:t>
      </w:r>
      <w:r>
        <w:rPr/>
        <w:t xml:space="preserve"> Saya menjalankan “Uji Implikasi” sebelum menentukan V5.</w:t>
      </w:r>
    </w:p>
    <w:p>
      <w:pPr>
        <w:pStyle w:val="Normal"/>
        <w:numPr>
          <w:ilvl w:val="0"/>
          <w:numId w:val="1"/>
        </w:numPr>
        <w:rPr/>
      </w:pPr>
      <w:r>
        <w:rPr>
          <w:rFonts w:eastAsia="FiraCode Nerd Font" w:cs="FiraCode Nerd Font"/>
        </w:rPr>
        <w:t>[_</w:t>
      </w:r>
      <w:r>
        <w:rPr>
          <w:rFonts w:eastAsia="Calibri" w:cs="Calibri"/>
        </w:rPr>
        <w:t xml:space="preserve">] </w:t>
      </w:r>
      <w:r>
        <w:rPr/>
        <w:t>Saya tidak menambahkan pengetahuan dari luar teks pada baris tersebut.</w:t>
      </w:r>
    </w:p>
    <w:p>
      <w:pPr>
        <w:pStyle w:val="Normal"/>
        <w:numPr>
          <w:ilvl w:val="0"/>
          <w:numId w:val="1"/>
        </w:numPr>
        <w:rPr/>
      </w:pPr>
      <w:r>
        <w:rPr>
          <w:rFonts w:eastAsia="FiraCode Nerd Font" w:cs="FiraCode Nerd Font"/>
        </w:rPr>
        <w:t>[_</w:t>
      </w:r>
      <w:r>
        <w:rPr>
          <w:rFonts w:eastAsia="Calibri" w:cs="Calibri"/>
        </w:rPr>
        <w:t>]</w:t>
      </w:r>
      <w:r>
        <w:rPr/>
        <w:t xml:space="preserve"> Saya memakai aturan unit majemuk untuk Pasal berayat banyak.</w:t>
      </w:r>
    </w:p>
    <w:p>
      <w:pPr>
        <w:pStyle w:val="Normal"/>
        <w:numPr>
          <w:ilvl w:val="0"/>
          <w:numId w:val="1"/>
        </w:numPr>
        <w:rPr/>
      </w:pPr>
      <w:r>
        <w:rPr>
          <w:rFonts w:eastAsia="FiraCode Nerd Font" w:cs="FiraCode Nerd Font"/>
        </w:rPr>
        <w:t>[_</w:t>
      </w:r>
      <w:r>
        <w:rPr>
          <w:rFonts w:eastAsia="Calibri" w:cs="Calibri"/>
        </w:rPr>
        <w:t xml:space="preserve">] </w:t>
      </w:r>
      <w:r>
        <w:rPr/>
        <w:t>Saya sudah memeriksa aturan konsistensi (Bagian 9).</w:t>
      </w:r>
    </w:p>
    <w:p>
      <w:pPr>
        <w:pStyle w:val="Normal"/>
        <w:numPr>
          <w:ilvl w:val="0"/>
          <w:numId w:val="1"/>
        </w:numPr>
        <w:rPr/>
      </w:pPr>
      <w:r>
        <w:rPr>
          <w:rFonts w:eastAsia="FiraCode Nerd Font" w:cs="FiraCode Nerd Font"/>
        </w:rPr>
        <w:t>[_</w:t>
      </w:r>
      <w:r>
        <w:rPr>
          <w:rFonts w:eastAsia="Calibri" w:cs="Calibri"/>
        </w:rPr>
        <w:t>]</w:t>
      </w:r>
      <w:r>
        <w:rPr/>
        <w:t xml:space="preserve"> Saya mencatat setiap keraguan, salah ketik, atau teks terpotong di V12.</w:t>
      </w:r>
    </w:p>
    <w:p>
      <w:pPr>
        <w:pStyle w:val="Normal"/>
        <w:numPr>
          <w:ilvl w:val="0"/>
          <w:numId w:val="1"/>
        </w:numPr>
        <w:rPr/>
      </w:pPr>
      <w:r>
        <w:rPr>
          <w:rFonts w:eastAsia="FiraCode Nerd Font" w:cs="FiraCode Nerd Font"/>
        </w:rPr>
        <w:t>[_</w:t>
      </w:r>
      <w:r>
        <w:rPr>
          <w:rFonts w:eastAsia="Calibri" w:cs="Calibri"/>
        </w:rPr>
        <w:t>]</w:t>
      </w:r>
      <w:r>
        <w:rPr/>
        <w:t xml:space="preserve"> Saya tidak berdiskusi dengan </w:t>
      </w:r>
      <w:r>
        <w:rPr>
          <w:i/>
          <w:iCs/>
        </w:rPr>
        <w:t>coder</w:t>
      </w:r>
      <w:r>
        <w:rPr/>
        <w:t xml:space="preserve"> lain sebelum </w:t>
      </w:r>
      <w:r>
        <w:rPr>
          <w:i/>
          <w:iCs/>
        </w:rPr>
        <w:t>coding</w:t>
      </w:r>
      <w:r>
        <w:rPr/>
        <w:t xml:space="preserve"> mandiri selesai.</w:t>
      </w:r>
    </w:p>
    <w:p>
      <w:pPr>
        <w:pStyle w:val="Heading2"/>
        <w:ind w:hanging="283" w:left="283" w:right="0"/>
        <w:rPr/>
      </w:pPr>
      <w:r>
        <w:rPr/>
        <w:t>12. Catatan untuk Peneliti</w:t>
      </w:r>
    </w:p>
    <w:p>
      <w:pPr>
        <w:pStyle w:val="Heading3"/>
        <w:ind w:hanging="0" w:left="0"/>
        <w:rPr/>
      </w:pPr>
      <w:r>
        <w:rPr/>
        <w:t>12.1 Prosedur Reliabilitas (Krippendorff's Alpha)</w:t>
      </w:r>
    </w:p>
    <w:p>
      <w:pPr>
        <w:pStyle w:val="Normal"/>
        <w:numPr>
          <w:ilvl w:val="0"/>
          <w:numId w:val="16"/>
        </w:numPr>
        <w:rPr/>
      </w:pPr>
      <w:r>
        <w:rPr>
          <w:b/>
        </w:rPr>
        <w:t>Coder:</w:t>
      </w:r>
      <w:r>
        <w:rPr/>
        <w:t xml:space="preserve"> minimal dua coder independen yang tidak berdiskusi selama </w:t>
      </w:r>
      <w:r>
        <w:rPr>
          <w:i/>
          <w:iCs/>
        </w:rPr>
        <w:t>coding</w:t>
      </w:r>
      <w:r>
        <w:rPr/>
        <w:t>. Peneliti utama berperan sebagai adjudikator.</w:t>
      </w:r>
    </w:p>
    <w:p>
      <w:pPr>
        <w:pStyle w:val="Normal"/>
        <w:numPr>
          <w:ilvl w:val="0"/>
          <w:numId w:val="6"/>
        </w:numPr>
        <w:rPr/>
      </w:pPr>
      <w:r>
        <w:rPr>
          <w:b/>
        </w:rPr>
        <w:t>Pelatihan:</w:t>
      </w:r>
      <w:r>
        <w:rPr/>
        <w:t xml:space="preserve"> </w:t>
      </w:r>
      <w:r>
        <w:rPr>
          <w:i/>
          <w:iCs/>
        </w:rPr>
        <w:t>coder</w:t>
      </w:r>
      <w:r>
        <w:rPr/>
        <w:t xml:space="preserve"> membaca seluruh </w:t>
      </w:r>
      <w:r>
        <w:rPr>
          <w:i/>
          <w:iCs/>
        </w:rPr>
        <w:t>codebook</w:t>
      </w:r>
      <w:r>
        <w:rPr/>
        <w:t xml:space="preserve"> dan mengodekan bersama contoh pada Bagian 10.</w:t>
      </w:r>
    </w:p>
    <w:p>
      <w:pPr>
        <w:pStyle w:val="Normal"/>
        <w:numPr>
          <w:ilvl w:val="0"/>
          <w:numId w:val="6"/>
        </w:numPr>
        <w:rPr/>
      </w:pPr>
      <w:r>
        <w:rPr>
          <w:b/>
        </w:rPr>
        <w:t>Uji coba (pilot):</w:t>
      </w:r>
      <w:r>
        <w:rPr/>
        <w:t xml:space="preserve"> setiap </w:t>
      </w:r>
      <w:r>
        <w:rPr>
          <w:i/>
          <w:iCs/>
        </w:rPr>
        <w:t>coder</w:t>
      </w:r>
      <w:r>
        <w:rPr/>
        <w:t xml:space="preserve"> mengodekan secara terpisah sekitar 12 unit yang beragam dan tidak termasuk contoh pada Bagian 10 (dipilih secara acak saat ini baris 13, 21, 25, 35, 42, 44, 52, 54, 56, 70, 79, 81; unit ini bertanda “Ya” pada lembar coding). Hitung α awal untuk uji coba (pilot) hanya sebagai diagnostik perbedaan kode, bukan sebagai bukti reliabilitas, karena sampelnya kecil. Diskusikan perbedaan lalu jika diperlukan maka revisi </w:t>
      </w:r>
      <w:r>
        <w:rPr>
          <w:i/>
          <w:iCs/>
        </w:rPr>
        <w:t>codebook</w:t>
      </w:r>
      <w:r>
        <w:rPr/>
        <w:t xml:space="preserve"> dan catat perubahannya. Pilot dan coding utama memakai susunan lembar coding yang sama (kolom BAB dan Bagian tetap tersembunyi di </w:t>
      </w:r>
      <w:r>
        <w:rPr>
          <w:i/>
          <w:iCs/>
        </w:rPr>
        <w:t>sheet</w:t>
      </w:r>
      <w:r>
        <w:rPr/>
        <w:t xml:space="preserve"> Korpus).</w:t>
      </w:r>
    </w:p>
    <w:p>
      <w:pPr>
        <w:pStyle w:val="Normal"/>
        <w:numPr>
          <w:ilvl w:val="0"/>
          <w:numId w:val="6"/>
        </w:numPr>
        <w:rPr/>
      </w:pPr>
      <w:r>
        <w:rPr>
          <w:b/>
          <w:i/>
          <w:iCs/>
        </w:rPr>
        <w:t>Coding</w:t>
      </w:r>
      <w:r>
        <w:rPr>
          <w:b/>
        </w:rPr>
        <w:t xml:space="preserve"> utama:</w:t>
      </w:r>
      <w:r>
        <w:rPr/>
        <w:t xml:space="preserve"> karena korpus kecil, masing-masing </w:t>
      </w:r>
      <w:r>
        <w:rPr>
          <w:i/>
          <w:iCs/>
        </w:rPr>
        <w:t>coder</w:t>
      </w:r>
      <w:r>
        <w:rPr/>
        <w:t xml:space="preserve"> mengodekan </w:t>
      </w:r>
      <w:r>
        <w:rPr>
          <w:b/>
        </w:rPr>
        <w:t>seluruh 85 unit</w:t>
      </w:r>
      <w:r>
        <w:rPr/>
        <w:t>. Unit pilot ikut dikodekan ulang dengan codebook yang sudah dibekukan, dan kode pilot sebelum revisi tidak dipakai untuk α akhir.</w:t>
      </w:r>
    </w:p>
    <w:p>
      <w:pPr>
        <w:pStyle w:val="Normal"/>
        <w:numPr>
          <w:ilvl w:val="0"/>
          <w:numId w:val="6"/>
        </w:numPr>
        <w:rPr/>
      </w:pPr>
      <w:r>
        <w:rPr>
          <w:b/>
        </w:rPr>
        <w:t>Perhitungan α sebelum rekonsiliasi:</w:t>
      </w:r>
      <w:r>
        <w:rPr/>
        <w:t xml:space="preserve"> hitung α per variabel (V4 nominal, V5 ordinal, V6 sampai V9 nominal). Alat yang dapat dipakai: paket </w:t>
      </w:r>
      <w:r>
        <w:rPr>
          <w:i/>
        </w:rPr>
        <w:t>krippendorff</w:t>
      </w:r>
      <w:r>
        <w:rPr/>
        <w:t xml:space="preserve"> (Python) atau fungsi </w:t>
      </w:r>
      <w:r>
        <w:rPr>
          <w:i/>
        </w:rPr>
        <w:t>kripp.alpha</w:t>
      </w:r>
      <w:r>
        <w:rPr/>
        <w:t xml:space="preserve"> pada paket </w:t>
      </w:r>
      <w:r>
        <w:rPr>
          <w:i/>
        </w:rPr>
        <w:t>irr</w:t>
      </w:r>
      <w:r>
        <w:rPr/>
        <w:t xml:space="preserve"> (R).</w:t>
      </w:r>
    </w:p>
    <w:p>
      <w:pPr>
        <w:pStyle w:val="Normal"/>
        <w:numPr>
          <w:ilvl w:val="0"/>
          <w:numId w:val="6"/>
        </w:numPr>
        <w:rPr/>
      </w:pPr>
      <w:r>
        <w:rPr>
          <w:b/>
        </w:rPr>
        <w:t>Kriteria:</w:t>
      </w:r>
      <w:r>
        <w:rPr/>
        <w:t xml:space="preserve"> α ≥ 0,800 dapat diterima. 0,667 ≤ α &lt; 0,800 hanya untuk kesimpulan tentatif. α &lt; 0,667: variabel direvisi (perjelas definisi, gabungkan kategori yang sering tertukar) dan dikodekan ulang.</w:t>
      </w:r>
    </w:p>
    <w:p>
      <w:pPr>
        <w:pStyle w:val="Normal"/>
        <w:numPr>
          <w:ilvl w:val="0"/>
          <w:numId w:val="6"/>
        </w:numPr>
        <w:rPr/>
      </w:pPr>
      <w:r>
        <w:rPr>
          <w:b/>
        </w:rPr>
        <w:t>Rekonsiliasi:</w:t>
      </w:r>
      <w:r>
        <w:rPr/>
        <w:t xml:space="preserve"> setelah α dilaporkan, perbedaan diselesaikan melalui diskusi dan adjudikasi. Data akhir adalah hasil rekonsiliasi, sedangkan α yang dilaporkan dihitung dari data sebelum rekonsiliasi.</w:t>
      </w:r>
    </w:p>
    <w:p>
      <w:pPr>
        <w:pStyle w:val="Normal"/>
        <w:numPr>
          <w:ilvl w:val="0"/>
          <w:numId w:val="6"/>
        </w:numPr>
        <w:rPr/>
      </w:pPr>
      <w:r>
        <w:rPr>
          <w:b/>
        </w:rPr>
        <w:t>Dokumentasi:</w:t>
      </w:r>
      <w:r>
        <w:rPr/>
        <w:t xml:space="preserve"> simpan lembar coding setiap </w:t>
      </w:r>
      <w:r>
        <w:rPr>
          <w:i/>
          <w:iCs/>
        </w:rPr>
        <w:t>coder</w:t>
      </w:r>
      <w:r>
        <w:rPr/>
        <w:t xml:space="preserve">, daftar perbedaan, keputusan adjudikasi, dan riwayat revisi </w:t>
      </w:r>
      <w:r>
        <w:rPr>
          <w:i/>
          <w:iCs/>
        </w:rPr>
        <w:t>codebook</w:t>
      </w:r>
      <w:r>
        <w:rPr/>
        <w:t>.</w:t>
      </w:r>
    </w:p>
    <w:p>
      <w:pPr>
        <w:pStyle w:val="Heading3"/>
        <w:ind w:hanging="0" w:left="0"/>
        <w:rPr/>
      </w:pPr>
      <w:r>
        <w:rPr/>
        <w:t>12.2 Pengembangan Codebook</w:t>
      </w:r>
    </w:p>
    <w:p>
      <w:pPr>
        <w:pStyle w:val="Normal"/>
        <w:bidi w:val="0"/>
        <w:spacing w:before="0" w:after="160"/>
        <w:rPr/>
      </w:pPr>
      <w:r>
        <w:rPr/>
        <w:t>Kategori pada versi 1.0 sebagian besar disusun dari struktur UU 27 Tahun 2022 dan isi korpus yang tersedia, lalu disesuaikan dengan kebutuhan penurunan SRS. Kategori ini perlu diuji melalui pilot dan dapat direvisi sebelum coding utama. Setiap revisi dicatat sebagai versi baru. Kolom BAB dan Bagian pada lembar coding disembunyikan secara default untuk mengurangi pengaruh judul terhadap pemilihan tema. Keputusan ini dicatat sebagai pembatasan informasi konteks. Pemetaan baris ke tema hanya disimpan pada file kunci adjudikasi yang tidak dibagikan kepada coder, agar tidak memengaruhi coding independen.</w:t>
      </w:r>
    </w:p>
    <w:p>
      <w:pPr>
        <w:pStyle w:val="Normal"/>
        <w:spacing w:before="0" w:after="160"/>
        <w:rPr/>
      </w:pPr>
      <w:r>
        <w:rPr>
          <w:b/>
        </w:rPr>
        <w:t>Dasar penyusunan pohon keputusan V6 (Bagian 7.3).</w:t>
      </w:r>
      <w:r>
        <w:rPr/>
        <w:t xml:space="preserve"> Pohon ini dibuat agar kategori saling lepas (</w:t>
      </w:r>
      <w:r>
        <w:rPr>
          <w:i/>
        </w:rPr>
        <w:t>mutually exclusive</w:t>
      </w:r>
      <w:r>
        <w:rPr/>
        <w:t>) sehingga setiap unit hanya menerima satu kode tema, sesuai syarat kategori dalam analisis isi Krippendorff. Dasar penyusunannya:</w:t>
      </w:r>
    </w:p>
    <w:p>
      <w:pPr>
        <w:pStyle w:val="Normal"/>
        <w:numPr>
          <w:ilvl w:val="0"/>
          <w:numId w:val="2"/>
        </w:numPr>
        <w:rPr/>
      </w:pPr>
      <w:r>
        <w:rPr/>
        <w:t>Definisi tema T16 dan T17 diturunkan dari isi artikel majalah hukum (2019MHN201).</w:t>
      </w:r>
    </w:p>
    <w:p>
      <w:pPr>
        <w:pStyle w:val="Normal"/>
        <w:numPr>
          <w:ilvl w:val="0"/>
          <w:numId w:val="2"/>
        </w:numPr>
        <w:rPr/>
      </w:pPr>
      <w:r>
        <w:rPr/>
        <w:t>Tema lainnya mengikuti struktur BAB UU PDP, Perpres, dan UU Perlindungan Anak.</w:t>
      </w:r>
    </w:p>
    <w:p>
      <w:pPr>
        <w:pStyle w:val="Normal"/>
        <w:numPr>
          <w:ilvl w:val="0"/>
          <w:numId w:val="2"/>
        </w:numPr>
        <w:rPr/>
      </w:pPr>
      <w:r>
        <w:rPr/>
        <w:t>Urutan pertanyaan berjalan dari yang paling mudah dikenali ke yang paling umum:</w:t>
      </w:r>
    </w:p>
    <w:p>
      <w:pPr>
        <w:pStyle w:val="Normal"/>
        <w:numPr>
          <w:ilvl w:val="1"/>
          <w:numId w:val="2"/>
        </w:numPr>
        <w:rPr/>
      </w:pPr>
      <w:r>
        <w:rPr/>
        <w:t>Pertanyaan 1 sampai 3 (T01, T17, T16) memeriksa jenis teks dari bentuknya: definisi, daftar judul, atau opini.</w:t>
      </w:r>
    </w:p>
    <w:p>
      <w:pPr>
        <w:pStyle w:val="Normal"/>
        <w:numPr>
          <w:ilvl w:val="1"/>
          <w:numId w:val="2"/>
        </w:numPr>
        <w:rPr/>
      </w:pPr>
      <w:r>
        <w:rPr/>
        <w:t>Pertanyaan 4 dan 5 (T14, T12) memeriksa larangan untuk “setiap orang” dan pengecualiannya.</w:t>
      </w:r>
    </w:p>
    <w:p>
      <w:pPr>
        <w:pStyle w:val="Normal"/>
        <w:numPr>
          <w:ilvl w:val="1"/>
          <w:numId w:val="2"/>
        </w:numPr>
        <w:rPr/>
      </w:pPr>
      <w:r>
        <w:rPr/>
        <w:t>Pertanyaan 6 sampai 15 memeriksa tema substantif yang spesifik.</w:t>
      </w:r>
    </w:p>
    <w:p>
      <w:pPr>
        <w:pStyle w:val="Normal"/>
        <w:numPr>
          <w:ilvl w:val="1"/>
          <w:numId w:val="2"/>
        </w:numPr>
        <w:spacing w:before="0" w:after="160"/>
        <w:rPr/>
      </w:pPr>
      <w:r>
        <w:rPr/>
        <w:t>Pertanyaan 16 dan 17 (T02, T06) mencakup tema luas. Kata “pemrosesan” dan “pengumpulan” muncul di banyak pasal, sehingga bila pertanyaan ini diletakkan di awal, tema lain tidak akan terjangkau.</w:t>
      </w:r>
    </w:p>
    <w:p>
      <w:pPr>
        <w:pStyle w:val="Normal"/>
        <w:bidi w:val="0"/>
        <w:spacing w:before="0" w:after="160"/>
        <w:rPr/>
      </w:pPr>
      <w:r>
        <w:rPr>
          <w:b/>
          <w:bCs/>
        </w:rPr>
        <w:t>Riwayat revisi</w:t>
      </w:r>
      <w:r>
        <w:rPr/>
        <w:t xml:space="preserve"> (definisi V5 dan V9). Definisi V5 (Bagian 7.2) dan V9 (Bagian 7.6) disusun ulang agar konsisten: V5 ditentukan ada tidaknya norma dan subjek norma (V4), sedangkan V9 ditentukan oleh isi tuntutan teks. Aturan konsistensi (Bagian 9) dan contoh (Bagian 10) disesuaikan. Perbaikan lanjutan: definisi “asumsi” dijadikan kalimat tersendiri dan dirujuk di Bagian 6, 7.2, 7.6, dan 10; pembeda T01 vs T06 dan T05 vs T06 dikoreksi (Bagian 7.3) disertai penambahan “tindakan meminta persetujuan” pada definisi T05; kalimat prioritas V7 dirapikan (Bagian 8). Perubahan ini dicatat sebagai versi 1.0.1 dan perlu diuji pada pilot. Perubahan berikutnya dicatat sebagai versi 1.0.2: kode P4 dan P5 pada V7 ditukar (P4 = Pengecualian atau pembatasan, P5 = Kebolehan atau kewenangan) agar prioritas V7 pada Bagian 8 berurutan; contoh baris 86 pada Bagian 10 disesuaikan menjadi P5 beserta alasannya; rujukan antarbagian diperbaiki; V4 ditambahkan pada perhitungan α (Bagian 12.1); aturan tema V6 untuk unit majemuk (Bagian 8) dan aturan teks terpotong (Bagian 10) diperjelas; kode V9 disusun ulang menjadi K1 = keamanan dan kerahasiaan, K2 = mutu data, kepatuhan, dan akuntabilitas, K3 = fungsional, agar urutan pemeriksaan K1 sampai K5 berurutan, dengan aturan konsistensi (Bagian 9) dan contoh (Bagian 10) disesuaikan. Lembar coding, validasi sel V7 dan V9, dan file kunci adjudikasi harus memakai kode P4, P5, dan K1 sampai K3 yang baru.</w:t>
      </w:r>
    </w:p>
    <w:p>
      <w:pPr>
        <w:pStyle w:val="Normal"/>
        <w:spacing w:before="0" w:after="160"/>
        <w:rPr/>
      </w:pPr>
      <w:r>
        <w:rPr/>
      </w:r>
    </w:p>
    <w:sectPr>
      <w:footerReference w:type="even" r:id="rId2"/>
      <w:footerReference w:type="default" r:id="rId3"/>
      <w:footerReference w:type="first" r:id="rId4"/>
      <w:type w:val="nextPage"/>
      <w:pgSz w:w="11906" w:h="16838"/>
      <w:pgMar w:left="1440" w:right="1440" w:gutter="0" w:header="0" w:top="1440" w:footer="1440" w:bottom="215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onsolas">
    <w:charset w:val="01"/>
    <w:family w:val="roman"/>
    <w:pitch w:val="variable"/>
  </w:font>
  <w:font w:name="OpenSymbol">
    <w:altName w:val="Arial Unicode MS"/>
    <w:charset w:val="02"/>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spacing w:before="0" w:after="160"/>
      <w:rPr/>
    </w:pPr>
    <w:r>
      <w:rPr/>
      <w:t xml:space="preserve">Hal. </w:t>
    </w:r>
    <w:bookmarkStart w:id="0" w:name="PageNumWizard_FOOTER_Default_Page_Style4"/>
    <w:r>
      <w:rPr/>
      <w:fldChar w:fldCharType="begin"/>
    </w:r>
    <w:r>
      <w:rPr/>
      <w:instrText xml:space="preserve"> PAGE </w:instrText>
    </w:r>
    <w:r>
      <w:rPr/>
      <w:fldChar w:fldCharType="separate"/>
    </w:r>
    <w:r>
      <w:rPr/>
      <w:t>18</w:t>
    </w:r>
    <w:r>
      <w:rPr/>
      <w:fldChar w:fldCharType="end"/>
    </w:r>
    <w:bookmarkEnd w:id="0"/>
    <w:r>
      <w:rPr/>
      <w:t xml:space="preserve"> dari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spacing w:before="0" w:after="160"/>
      <w:rPr/>
    </w:pPr>
    <w:r>
      <w:rPr/>
      <w:t xml:space="preserve">Hal. </w:t>
    </w:r>
    <w:bookmarkStart w:id="1" w:name="PageNumWizard_FOOTER_Default_Page_Style4"/>
    <w:r>
      <w:rPr/>
      <w:fldChar w:fldCharType="begin"/>
    </w:r>
    <w:r>
      <w:rPr/>
      <w:instrText xml:space="preserve"> PAGE </w:instrText>
    </w:r>
    <w:r>
      <w:rPr/>
      <w:fldChar w:fldCharType="separate"/>
    </w:r>
    <w:r>
      <w:rPr/>
      <w:t>18</w:t>
    </w:r>
    <w:r>
      <w:rPr/>
      <w:fldChar w:fldCharType="end"/>
    </w:r>
    <w:bookmarkEnd w:id="1"/>
    <w:r>
      <w:rPr/>
      <w:t xml:space="preserve"> dari </w:t>
    </w:r>
    <w:r>
      <w:rPr/>
      <w:fldChar w:fldCharType="begin"/>
    </w:r>
    <w:r>
      <w:rPr/>
      <w:instrText xml:space="preserve"> NUMPAGES </w:instrText>
    </w:r>
    <w:r>
      <w:rPr/>
      <w:fldChar w:fldCharType="separate"/>
    </w:r>
    <w:r>
      <w:rPr/>
      <w:t>18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Wingdings 2" w:hAnsi="Wingdings 2" w:cs="Wingdings 2"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both"/>
    </w:pPr>
    <w:rPr>
      <w:rFonts w:ascii="Arial" w:hAnsi="Arial" w:eastAsia="Calibri" w:cs="Calibri"/>
      <w:color w:val="auto"/>
      <w:kern w:val="0"/>
      <w:sz w:val="22"/>
      <w:szCs w:val="22"/>
      <w:lang w:val="en-US" w:eastAsia="zh-CN" w:bidi="hi-IN"/>
    </w:rPr>
  </w:style>
  <w:style w:type="paragraph" w:styleId="Heading1">
    <w:name w:val="heading 1"/>
    <w:basedOn w:val="Normal"/>
    <w:next w:val="Normal"/>
    <w:qFormat/>
    <w:pPr>
      <w:keepNext w:val="true"/>
      <w:numPr>
        <w:ilvl w:val="0"/>
        <w:numId w:val="0"/>
      </w:numPr>
      <w:spacing w:before="360" w:after="120"/>
      <w:outlineLvl w:val="0"/>
    </w:pPr>
    <w:rPr>
      <w:rFonts w:ascii="Arial" w:hAnsi="Arial"/>
      <w:b/>
      <w:sz w:val="36"/>
      <w:szCs w:val="36"/>
    </w:rPr>
  </w:style>
  <w:style w:type="paragraph" w:styleId="Heading2">
    <w:name w:val="heading 2"/>
    <w:basedOn w:val="Normal"/>
    <w:next w:val="Normal"/>
    <w:qFormat/>
    <w:pPr>
      <w:keepNext w:val="true"/>
      <w:widowControl/>
      <w:numPr>
        <w:ilvl w:val="0"/>
        <w:numId w:val="0"/>
      </w:numPr>
      <w:suppressAutoHyphens w:val="true"/>
      <w:bidi w:val="0"/>
      <w:spacing w:lineRule="auto" w:line="259" w:before="280" w:after="100"/>
      <w:ind w:hanging="283" w:left="283" w:right="0"/>
      <w:jc w:val="left"/>
      <w:outlineLvl w:val="1"/>
    </w:pPr>
    <w:rPr>
      <w:rFonts w:ascii="Arial" w:hAnsi="Arial"/>
      <w:b/>
      <w:sz w:val="32"/>
      <w:szCs w:val="32"/>
    </w:rPr>
  </w:style>
  <w:style w:type="paragraph" w:styleId="Heading3">
    <w:name w:val="heading 3"/>
    <w:basedOn w:val="Normal"/>
    <w:next w:val="Normal"/>
    <w:qFormat/>
    <w:pPr>
      <w:keepNext w:val="true"/>
      <w:numPr>
        <w:ilvl w:val="0"/>
        <w:numId w:val="0"/>
      </w:numPr>
      <w:spacing w:before="240" w:after="80"/>
      <w:jc w:val="both"/>
      <w:outlineLvl w:val="2"/>
    </w:pPr>
    <w:rPr>
      <w:rFonts w:ascii="Arial" w:hAnsi="Arial"/>
      <w:b/>
      <w:sz w:val="28"/>
      <w:szCs w:val="28"/>
    </w:rPr>
  </w:style>
  <w:style w:type="paragraph" w:styleId="Heading4">
    <w:name w:val="heading 4"/>
    <w:basedOn w:val="Normal"/>
    <w:next w:val="Normal"/>
    <w:qFormat/>
    <w:pPr>
      <w:keepNext w:val="true"/>
      <w:numPr>
        <w:ilvl w:val="0"/>
        <w:numId w:val="0"/>
      </w:numPr>
      <w:outlineLvl w:val="3"/>
    </w:pPr>
    <w:rPr>
      <w:b/>
      <w:sz w:val="22"/>
    </w:rPr>
  </w:style>
  <w:style w:type="paragraph" w:styleId="Heading5">
    <w:name w:val="heading 5"/>
    <w:basedOn w:val="Normal"/>
    <w:next w:val="Normal"/>
    <w:qFormat/>
    <w:pPr>
      <w:keepNext w:val="true"/>
      <w:numPr>
        <w:ilvl w:val="0"/>
        <w:numId w:val="0"/>
      </w:numPr>
      <w:outlineLvl w:val="4"/>
    </w:pPr>
    <w:rPr>
      <w:b/>
      <w:sz w:val="22"/>
    </w:rPr>
  </w:style>
  <w:style w:type="paragraph" w:styleId="Heading6">
    <w:name w:val="heading 6"/>
    <w:basedOn w:val="Normal"/>
    <w:next w:val="Normal"/>
    <w:qFormat/>
    <w:pPr>
      <w:keepNext w:val="true"/>
      <w:numPr>
        <w:ilvl w:val="0"/>
        <w:numId w:val="0"/>
      </w:numPr>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juk">
    <w:name w:val="Tajuk"/>
    <w:basedOn w:val="Normal"/>
    <w:next w:val="BodyText"/>
    <w:qFormat/>
    <w:pPr>
      <w:keepNext w:val="true"/>
      <w:spacing w:before="240" w:after="120"/>
    </w:pPr>
    <w:rPr>
      <w:rFonts w:ascii="Liberation Sans" w:hAnsi="Liberation Sans" w:eastAsia="Noto Sans CJK SC" w:cs="Noto Sans"/>
      <w:sz w:val="28"/>
      <w:szCs w:val="28"/>
    </w:rPr>
  </w:style>
  <w:style w:type="paragraph" w:styleId="Indeks">
    <w:name w:val="Indeks"/>
    <w:basedOn w:val="Normal"/>
    <w:qFormat/>
    <w:pPr>
      <w:suppressLineNumbers/>
    </w:pPr>
    <w:rPr>
      <w:rFonts w:cs="Noto San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jc w:val="center"/>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1015</TotalTime>
  <Application>LibreOffice/26.8.1.1$Linux_X86_64 LibreOffice_project/bf6ef2662401c7d6dce671ab4deb26ee0af3a7c1</Application>
  <AppVersion>15.0000</AppVersion>
  <Pages>18</Pages>
  <Words>5386</Words>
  <Characters>30983</Characters>
  <CharactersWithSpaces>35739</CharactersWithSpaces>
  <Paragraphs>562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node/7841419d-8d60@47 docx-w6</dc:description>
  <dc:language>id-ID</dc:language>
  <cp:lastModifiedBy/>
  <cp:lastPrinted>2026-10-21T08:39:30Z</cp:lastPrinted>
  <dcterms:modified xsi:type="dcterms:W3CDTF">2026-10-21T09:52:53Z</dcterms:modified>
  <cp:revision>272</cp:revision>
  <dc:subject/>
  <dc:title>Codebook Analisis Isi Krippendorff</dc:title>
</cp:coreProperties>
</file>

<file path=docProps/custom.xml><?xml version="1.0" encoding="utf-8"?>
<Properties xmlns="http://schemas.openxmlformats.org/officeDocument/2006/custom-properties" xmlns:vt="http://schemas.openxmlformats.org/officeDocument/2006/docPropsVTypes"/>
</file>