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Software Requirements Specification (SRS)</w:t>
      </w:r>
    </w:p>
    <w:p>
      <w:pPr>
        <w:jc w:val="center"/>
      </w:pPr>
      <w:r>
        <w:t>Kerangka Kerja Web Scraping Berbasis Legalitas dan Etika Privasi Data</w:t>
      </w:r>
    </w:p>
    <w:p>
      <w:pPr>
        <w:jc w:val="center"/>
      </w:pPr>
      <w:r>
        <w:t>Standar: ISO/IEC/IEEE 29148</w:t>
      </w:r>
    </w:p>
    <w:p>
      <w:r>
        <w:br w:type="page"/>
      </w:r>
    </w:p>
    <w:p>
      <w:pPr>
        <w:pStyle w:val="Heading1"/>
      </w:pPr>
      <w:r>
        <w:t>1. Pendahuluan</w:t>
      </w:r>
    </w:p>
    <w:p>
      <w:pPr>
        <w:pStyle w:val="Heading2"/>
      </w:pPr>
      <w:r>
        <w:t>1.1. Tujuan (Purpose)</w:t>
      </w:r>
    </w:p>
    <w:p>
      <w:r>
        <w:t>Dokumen ini mendefinisikan Spesifikasi Kebutuhan Perangkat Lunak (SRS) untuk arsitektur sistem web scraping yang mematuhi hukum positif Indonesia (UU PDP, UU Perlindungan Anak, UU Perlindungan Konsumen, dan Perpres Satu Data). Tujuan sistem ini adalah mengubah paradigma web scraping dari pendekatan "pull-everything" menjadi agen berstatus (stateful) yang sadar konteks privasi.</w:t>
      </w:r>
    </w:p>
    <w:p>
      <w:pPr>
        <w:pStyle w:val="Heading2"/>
      </w:pPr>
      <w:r>
        <w:t>1.2. Ruang Lingkup (Scope)</w:t>
      </w:r>
    </w:p>
    <w:p>
      <w:r>
        <w:t>Ruang lingkup sistem mencakup 3 (tiga) lapisan arsitektur (Tripartite Architecture): (1) Pre-Extraction Governance, (2) Extraction &amp; Execution, dan (3) Post-Extraction Stewardship. Sistem mengadopsi prinsip Privacy-by-Design dan merepresentasikan kepatuhan hukum ke dalam bentuk Compliance-as-Code.</w:t>
      </w:r>
    </w:p>
    <w:p>
      <w:pPr>
        <w:pStyle w:val="Heading2"/>
      </w:pPr>
      <w:r>
        <w:t>1.3. Konvensi Penamaan</w:t>
      </w:r>
    </w:p>
    <w:p>
      <w:r>
        <w:t>Tingkat keharusan spesifikasi fungsional dan non-fungsional ditulis menggunakan standar kata kunci IETF RFC 2119 (MUST, SHALL, SHOULD, MAY).</w:t>
      </w:r>
    </w:p>
    <w:p>
      <w:pPr>
        <w:pStyle w:val="Heading1"/>
      </w:pPr>
      <w:r>
        <w:t>2. Deskripsi Keseluruhan</w:t>
      </w:r>
    </w:p>
    <w:p>
      <w:pPr>
        <w:pStyle w:val="Heading2"/>
      </w:pPr>
      <w:r>
        <w:t>2.1. Perspektif Produk</w:t>
      </w:r>
    </w:p>
    <w:p>
      <w:r>
        <w:t>Sistem ini tidak berdiri sebagai perangkat lunak monolitik konvensional, melainkan bertindak sebagai lapisan kontrol penengah (middleware/proxy) dan kerangka arsitektur basis data untuk aktivitas ekstraksi data otomatis.</w:t>
      </w:r>
    </w:p>
    <w:p>
      <w:pPr>
        <w:pStyle w:val="Heading2"/>
      </w:pPr>
      <w:r>
        <w:t>2.2. Fungsi Produk</w:t>
      </w:r>
    </w:p>
    <w:p>
      <w:r>
        <w:t>1. Validasi persetujuan (opt-in) subjek data.</w:t>
        <w:br/>
        <w:t>2. Age-gating (Gerbang perlindungan usia).</w:t>
        <w:br/>
        <w:t>3. Pembatasan laju ekstraksi (rate-limiting).</w:t>
        <w:br/>
        <w:t>4. Siklus hidup data otomatis (Event-Driven Auto-Delete).</w:t>
        <w:br/>
        <w:t>5. Antarmuka pengelolaan hak hapus (Right to be Forgotten).</w:t>
      </w:r>
    </w:p>
    <w:p>
      <w:pPr>
        <w:pStyle w:val="Heading1"/>
      </w:pPr>
      <w:r>
        <w:t>3. Spesifikasi Kebutuhan Spesifik</w:t>
      </w:r>
    </w:p>
    <w:p>
      <w:pPr>
        <w:pStyle w:val="Heading2"/>
      </w:pPr>
      <w:r>
        <w:t>3.1. Kebutuhan Fungsional (Functional Requirements)</w:t>
      </w:r>
    </w:p>
    <w:p>
      <w:pPr>
        <w:pStyle w:val="Heading3"/>
      </w:pPr>
      <w:r>
        <w:t>3.1.1. Modul Persetujuan [CSN]</w:t>
      </w:r>
    </w:p>
    <w:p>
      <w:r>
        <w:t>FR-01: The system MUST validate user opt-in consent logs before initiating any HTTP data extraction requests to the target endpoint.</w:t>
      </w:r>
    </w:p>
    <w:p>
      <w:pPr>
        <w:pStyle w:val="Heading3"/>
      </w:pPr>
      <w:r>
        <w:t>3.1.2. Perlindungan Subjek Rentan [VUL]</w:t>
      </w:r>
    </w:p>
    <w:p>
      <w:r>
        <w:t>FR-02: The system MUST implement an age-gating mechanism and SHALL NOT parse Personally Identifiable Information (PII) associated with minors without authenticated parental API tokens.</w:t>
      </w:r>
    </w:p>
    <w:p>
      <w:pPr>
        <w:pStyle w:val="Heading3"/>
      </w:pPr>
      <w:r>
        <w:t>3.1.3. Batasan Tujuan &amp; Retensi [PRP]</w:t>
      </w:r>
    </w:p>
    <w:p>
      <w:r>
        <w:t>FR-03: The scraper SHOULD enforce dynamic rate limits to prevent target server degradation.</w:t>
        <w:br/>
        <w:t>FR-04: The system MUST execute automated CRON-based auto-delete routines for data exceeding its defined Time-To-Live (TTL).</w:t>
      </w:r>
    </w:p>
    <w:p>
      <w:pPr>
        <w:pStyle w:val="Heading3"/>
      </w:pPr>
      <w:r>
        <w:t>3.1.4. Hak Subjek Data [RGH]</w:t>
      </w:r>
    </w:p>
    <w:p>
      <w:r>
        <w:t>FR-05: The system architecture MUST expose an external API endpoint enabling data subjects to trace their data provenance and execute their Right to be Forgotten via verifiable requests.</w:t>
      </w:r>
    </w:p>
    <w:p>
      <w:pPr>
        <w:pStyle w:val="Heading2"/>
      </w:pPr>
      <w:r>
        <w:t>3.2. Kebutuhan Non-Fungsional (Non-Functional Requirements)</w:t>
      </w:r>
    </w:p>
    <w:p>
      <w:pPr>
        <w:pStyle w:val="Heading3"/>
      </w:pPr>
      <w:r>
        <w:t>3.2.1. Keamanan &amp; Kewajiban Teknis [SEC]</w:t>
      </w:r>
    </w:p>
    <w:p>
      <w:r>
        <w:t>NFR-01: The system MUST encrypt all PII at rest utilizing the AES-256 encryption standard.</w:t>
        <w:br/>
        <w:t>NFR-02: The system MUST route all extraction payload transmissions exclusively through TLS 1.3 protocols.</w:t>
        <w:br/>
        <w:t>NFR-03: The data pipeline SHOULD apply pseudonymization algorithms immediately after the DOM/JSON structure is successfully parsed.</w:t>
      </w:r>
    </w:p>
    <w:p>
      <w:pPr>
        <w:pStyle w:val="Heading1"/>
      </w:pPr>
      <w:r>
        <w:t>4. Matriks Keterunutan (Traceability Matrix)</w:t>
      </w:r>
    </w:p>
    <w:p>
      <w:r>
        <w:t>Matriks berikut memastikan setiap spesifikasi perangkat lunak di atas didasarkan pada mandat hukum yang teridentifikasi selama elisitasi (Krippendorff Content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t>ID Kebutuhan</w:t>
            </w:r>
          </w:p>
        </w:tc>
        <w:tc>
          <w:tcPr>
            <w:tcW w:type="dxa" w:w="2880"/>
          </w:tcPr>
          <w:p>
            <w:r>
              <w:t>Kategori RFC 2119</w:t>
            </w:r>
          </w:p>
        </w:tc>
        <w:tc>
          <w:tcPr>
            <w:tcW w:type="dxa" w:w="2880"/>
          </w:tcPr>
          <w:p>
            <w:r>
              <w:t>Sumber Hukum (Traceability)</w:t>
            </w:r>
          </w:p>
        </w:tc>
      </w:tr>
      <w:tr>
        <w:tc>
          <w:tcPr>
            <w:tcW w:type="dxa" w:w="2880"/>
          </w:tcPr>
          <w:p>
            <w:r>
              <w:t>FR-01</w:t>
            </w:r>
          </w:p>
        </w:tc>
        <w:tc>
          <w:tcPr>
            <w:tcW w:type="dxa" w:w="2880"/>
          </w:tcPr>
          <w:p>
            <w:r>
              <w:t>[CSN]</w:t>
            </w:r>
          </w:p>
        </w:tc>
        <w:tc>
          <w:tcPr>
            <w:tcW w:type="dxa" w:w="2880"/>
          </w:tcPr>
          <w:p>
            <w:r>
              <w:t>UU 27 Thn 2022 (PDP) Psl. 20; UU 8 Thn 1999 (Perlindungan Konsumen)</w:t>
            </w:r>
          </w:p>
        </w:tc>
      </w:tr>
      <w:tr>
        <w:tc>
          <w:tcPr>
            <w:tcW w:type="dxa" w:w="2880"/>
          </w:tcPr>
          <w:p>
            <w:r>
              <w:t>FR-02</w:t>
            </w:r>
          </w:p>
        </w:tc>
        <w:tc>
          <w:tcPr>
            <w:tcW w:type="dxa" w:w="2880"/>
          </w:tcPr>
          <w:p>
            <w:r>
              <w:t>[VUL]</w:t>
            </w:r>
          </w:p>
        </w:tc>
        <w:tc>
          <w:tcPr>
            <w:tcW w:type="dxa" w:w="2880"/>
          </w:tcPr>
          <w:p>
            <w:r>
              <w:t>UU 23 Thn 2002 (Perlindungan Anak) Psl. 14; UU 27 Thn 2022 Psl. 25</w:t>
            </w:r>
          </w:p>
        </w:tc>
      </w:tr>
      <w:tr>
        <w:tc>
          <w:tcPr>
            <w:tcW w:type="dxa" w:w="2880"/>
          </w:tcPr>
          <w:p>
            <w:r>
              <w:t>FR-03</w:t>
            </w:r>
          </w:p>
        </w:tc>
        <w:tc>
          <w:tcPr>
            <w:tcW w:type="dxa" w:w="2880"/>
          </w:tcPr>
          <w:p>
            <w:r>
              <w:t>[PRP]</w:t>
            </w:r>
          </w:p>
        </w:tc>
        <w:tc>
          <w:tcPr>
            <w:tcW w:type="dxa" w:w="2880"/>
          </w:tcPr>
          <w:p>
            <w:r>
              <w:t>Perpres 39 Thn 2019 (Satu Data); Praktik Etika Web Scraping</w:t>
            </w:r>
          </w:p>
        </w:tc>
      </w:tr>
      <w:tr>
        <w:tc>
          <w:tcPr>
            <w:tcW w:type="dxa" w:w="2880"/>
          </w:tcPr>
          <w:p>
            <w:r>
              <w:t>FR-04</w:t>
            </w:r>
          </w:p>
        </w:tc>
        <w:tc>
          <w:tcPr>
            <w:tcW w:type="dxa" w:w="2880"/>
          </w:tcPr>
          <w:p>
            <w:r>
              <w:t>[PRP]</w:t>
            </w:r>
          </w:p>
        </w:tc>
        <w:tc>
          <w:tcPr>
            <w:tcW w:type="dxa" w:w="2880"/>
          </w:tcPr>
          <w:p>
            <w:r>
              <w:t>UU 27 Thn 2022 (PDP) Psl. 16</w:t>
            </w:r>
          </w:p>
        </w:tc>
      </w:tr>
      <w:tr>
        <w:tc>
          <w:tcPr>
            <w:tcW w:type="dxa" w:w="2880"/>
          </w:tcPr>
          <w:p>
            <w:r>
              <w:t>FR-05</w:t>
            </w:r>
          </w:p>
        </w:tc>
        <w:tc>
          <w:tcPr>
            <w:tcW w:type="dxa" w:w="2880"/>
          </w:tcPr>
          <w:p>
            <w:r>
              <w:t>[RGH]</w:t>
            </w:r>
          </w:p>
        </w:tc>
        <w:tc>
          <w:tcPr>
            <w:tcW w:type="dxa" w:w="2880"/>
          </w:tcPr>
          <w:p>
            <w:r>
              <w:t>UU 27 Thn 2022 (PDP) Psl. 64; 2019MHN201</w:t>
            </w:r>
          </w:p>
        </w:tc>
      </w:tr>
      <w:tr>
        <w:tc>
          <w:tcPr>
            <w:tcW w:type="dxa" w:w="2880"/>
          </w:tcPr>
          <w:p>
            <w:r>
              <w:t>NFR-01, 02, 03</w:t>
            </w:r>
          </w:p>
        </w:tc>
        <w:tc>
          <w:tcPr>
            <w:tcW w:type="dxa" w:w="2880"/>
          </w:tcPr>
          <w:p>
            <w:r>
              <w:t>[SEC]</w:t>
            </w:r>
          </w:p>
        </w:tc>
        <w:tc>
          <w:tcPr>
            <w:tcW w:type="dxa" w:w="2880"/>
          </w:tcPr>
          <w:p>
            <w:r>
              <w:t>UU 27 Thn 2022 (PDP) Psl. 39; Perpres Satu Data Psl. 41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