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35F" w:rsidRDefault="00F56745">
      <w:pPr>
        <w:pStyle w:val="Title"/>
      </w:pPr>
      <w:r>
        <w:t>Vacant Lot Greening and Crime</w:t>
      </w:r>
    </w:p>
    <w:p w:rsidR="0057735F" w:rsidRDefault="00F56745">
      <w:pPr>
        <w:pStyle w:val="Author"/>
      </w:pPr>
      <w:r>
        <w:t>Ajjit Narayanan</w:t>
      </w:r>
    </w:p>
    <w:p w:rsidR="0057735F" w:rsidRDefault="00F56745">
      <w:pPr>
        <w:pStyle w:val="Heading2"/>
      </w:pPr>
      <w:bookmarkStart w:id="0" w:name="abstract"/>
      <w:r>
        <w:t>Abstract</w:t>
      </w:r>
      <w:bookmarkEnd w:id="0"/>
    </w:p>
    <w:p w:rsidR="0057735F" w:rsidRDefault="00F56745">
      <w:pPr>
        <w:pStyle w:val="FirstParagraph"/>
      </w:pPr>
      <w:r>
        <w:t>Many American cities, particularly former industrial hubs like Detroit and Philadelphia, face the burgeoning problem of vacant lots in cities. An interesting solution exists in the form of vacant lot greening, which turns the neglected vacant lots into min</w:t>
      </w:r>
      <w:r>
        <w:t>i public parks for local residents. The positive ecological and mental health benefits of greened vacant lots have been well documented, but one remaining question is the effect of vacant lot greening on crime. This paper seeks to answer this question by u</w:t>
      </w:r>
      <w:r>
        <w:t xml:space="preserve">sing data on greened vacant lots and crime in Philadelphia. We will use a quasi experimental matching approach that takes advantage of the inherent randomness in the greening decision. In particular, we will match each of the 6,000+ greened vacant lots in </w:t>
      </w:r>
      <w:r>
        <w:t>the city to a similar ‘control’ ungreened vacant lot in the city based on characteristics such as the size of lot, and socioeconomic and business characteristics of the surrounding neighborhood. By analyzing the difference in crime change around greened va</w:t>
      </w:r>
      <w:r>
        <w:t>cant lot versus its control ungreened vacant lot, we (will) examine the effect of greening on crime and whether that effect varies by time, location, and crimetype. By doing so, we can also get at larger urban questions such as whether changing the built e</w:t>
      </w:r>
      <w:r>
        <w:t>nvironment of a neighborhood can successfully change individual level behavior.</w:t>
      </w:r>
    </w:p>
    <w:p w:rsidR="0057735F" w:rsidRDefault="00F56745">
      <w:pPr>
        <w:pStyle w:val="Heading2"/>
      </w:pPr>
      <w:bookmarkStart w:id="1" w:name="introduction"/>
      <w:r>
        <w:t>Introduction</w:t>
      </w:r>
      <w:bookmarkEnd w:id="1"/>
    </w:p>
    <w:p w:rsidR="0057735F" w:rsidRDefault="00F56745">
      <w:pPr>
        <w:pStyle w:val="Heading2"/>
      </w:pPr>
      <w:bookmarkStart w:id="2" w:name="literature-review"/>
      <w:r>
        <w:t>Literature Review</w:t>
      </w:r>
      <w:bookmarkEnd w:id="2"/>
    </w:p>
    <w:p w:rsidR="0057735F" w:rsidRDefault="00F56745">
      <w:pPr>
        <w:pStyle w:val="FirstParagraph"/>
      </w:pPr>
      <w:r>
        <w:t>Over the past 10 years, the number of vacant properties in the United States has been steadily rising. The problems of vacancy and abandonment ar</w:t>
      </w:r>
      <w:r>
        <w:t>e especially pronounced for former industrial cities like Detroit, Cleveland, Pittsburgh and Philadelphia. Due to deindustrialization, recent economic downturns, and population outmigration, these cities are facing very high levels of vacancy. Vacant build</w:t>
      </w:r>
      <w:r>
        <w:t xml:space="preserve">ings have a plethora of negative effects including increased fiscal strain on city services, the lowering of nearby property values, and the undermining of neighbor’s quality of life. Studies in Philadelphia estimated that vacant properties result in $3.6 </w:t>
      </w:r>
      <w:r>
        <w:t xml:space="preserve">billion in reduced household wealth because of the blighting effect they have on nearby properties </w:t>
      </w:r>
      <w:r>
        <w:lastRenderedPageBreak/>
        <w:t>(Econsult Corporation et al. (</w:t>
      </w:r>
      <w:hyperlink w:anchor="ref-econsult10vacant">
        <w:r>
          <w:rPr>
            <w:rStyle w:val="Hyperlink"/>
          </w:rPr>
          <w:t>2010</w:t>
        </w:r>
      </w:hyperlink>
      <w:r>
        <w:t>)). And a 2005 report from the National Vacant Properties Campaign found that “W</w:t>
      </w:r>
      <w:r>
        <w:t>ith abandoned buildings comes social fragmentation. Individuals who live in communities with an increasing number of vacant buildings begin to feel isolated, weakening the community as a whole” (Vacant Property Campaign’ (</w:t>
      </w:r>
      <w:hyperlink w:anchor="ref-nationalvacant05vacant">
        <w:r>
          <w:rPr>
            <w:rStyle w:val="Hyperlink"/>
          </w:rPr>
          <w:t>2005</w:t>
        </w:r>
      </w:hyperlink>
      <w:r>
        <w:t>)) .</w:t>
      </w:r>
    </w:p>
    <w:p w:rsidR="0057735F" w:rsidRDefault="00F56745">
      <w:pPr>
        <w:pStyle w:val="BodyText"/>
      </w:pPr>
      <w:r>
        <w:t xml:space="preserve">It’s also important to distinguish between vacant properties - buildings that have been abandoned - from vacant lots - lots without any standing buildings or structures. In a bid to reduce the blighting effects of vacant properties </w:t>
      </w:r>
      <w:r>
        <w:t>and to reduce the dangers that old dilapidated structures pose, many municipalities have started demolishing vacant buildings in effect turning them into vacant lots. This has led to a growing number of vacant lots in cities around the US. Detroit Future C</w:t>
      </w:r>
      <w:r>
        <w:t>ity, a nonprofit planning and advocacy organization, estimates that there are more than 120,000 vacant lots in Detroit (Detroit Future City (</w:t>
      </w:r>
      <w:hyperlink w:anchor="ref-detroitfuture17green">
        <w:r>
          <w:rPr>
            <w:rStyle w:val="Hyperlink"/>
          </w:rPr>
          <w:t>2017</w:t>
        </w:r>
      </w:hyperlink>
      <w:r>
        <w:t>)) and Econsult estimates that Philadelphia has around 40,000 va</w:t>
      </w:r>
      <w:r>
        <w:t>cant lots (Econsult Corporation et al. (</w:t>
      </w:r>
      <w:hyperlink w:anchor="ref-econsult10vacant">
        <w:r>
          <w:rPr>
            <w:rStyle w:val="Hyperlink"/>
          </w:rPr>
          <w:t>2010</w:t>
        </w:r>
      </w:hyperlink>
      <w:r>
        <w:t>)). Cities have adopted a slew of policies to turn the growing number of vacant lots into productive community spaces rather than neglected spaces that blight their surr</w:t>
      </w:r>
      <w:r>
        <w:t>oundings. Cities like St. Louis give neighborhood residents the ability to buy vacant lots at very low prices – often for a $1 – through a program called Mow to Own (Anderson (</w:t>
      </w:r>
      <w:hyperlink w:anchor="ref-anderson18much">
        <w:r>
          <w:rPr>
            <w:rStyle w:val="Hyperlink"/>
          </w:rPr>
          <w:t>2018</w:t>
        </w:r>
      </w:hyperlink>
      <w:r>
        <w:t>)). Many vacant lots have also been</w:t>
      </w:r>
      <w:r>
        <w:t xml:space="preserve"> turned into community gardens, and even vineyards. One of the unique approaches that the city of Philadelphia has taken revolves around low cost greening of lots, in effect turning vacant properties into mini parks. Most vacant lots are located in urban h</w:t>
      </w:r>
      <w:r>
        <w:t>igh density low income neighborhoods where public parks and greenspaces are in short supply (Wolch et al. (</w:t>
      </w:r>
      <w:hyperlink w:anchor="ref-wolch2005parks">
        <w:r>
          <w:rPr>
            <w:rStyle w:val="Hyperlink"/>
          </w:rPr>
          <w:t>2005</w:t>
        </w:r>
      </w:hyperlink>
      <w:r>
        <w:t>)). So Philadelphia’s greening program provides a unique opportunity to study what happens when historic</w:t>
      </w:r>
      <w:r>
        <w:t>ally deprived low income communities gain access to green space.</w:t>
      </w:r>
    </w:p>
    <w:p w:rsidR="0057735F" w:rsidRDefault="00F56745">
      <w:pPr>
        <w:pStyle w:val="BodyText"/>
      </w:pPr>
      <w:r>
        <w:t>The history of greening programs in the United States is long and rich. Urban activists have been transforming vacant and abandoned places into community green spaces for decades, often witho</w:t>
      </w:r>
      <w:r>
        <w:t>ut municipal approval. A good example of this is the Green Guerillas in 1970’s New York who built over 1000 urban gardens (Schmelzkopf (</w:t>
      </w:r>
      <w:hyperlink w:anchor="ref-schmelzkopf1995urban">
        <w:r>
          <w:rPr>
            <w:rStyle w:val="Hyperlink"/>
          </w:rPr>
          <w:t>1995</w:t>
        </w:r>
      </w:hyperlink>
      <w:r>
        <w:t>)). In recent years, many municipal government, such as Philadelphia,</w:t>
      </w:r>
      <w:r>
        <w:t xml:space="preserve"> have given their explicit approval for such greening programs and are actively working with community organizations to In Philadelphia the greening programs has explicit support from the city government and carried out by many community organizations. And</w:t>
      </w:r>
      <w:r>
        <w:t xml:space="preserve"> in recent years, the type of land that has been greened is also expanding from single isolated lots to larger swaths of land. In cities like Detroit, which like Philadelphia has a large amount of vacant lots, recent initiatives seek to turn large groups o</w:t>
      </w:r>
      <w:r>
        <w:t xml:space="preserve">f abandoned lots into urban farms and even forests. In 2013, a Detroit organization called Hantz farms was awarded the right to purchase 1500 parcels of mostly vacant land to create an </w:t>
      </w:r>
      <w:r>
        <w:lastRenderedPageBreak/>
        <w:t>urban farm (Goodyear (</w:t>
      </w:r>
      <w:hyperlink w:anchor="ref-goodyear13acre">
        <w:r>
          <w:rPr>
            <w:rStyle w:val="Hyperlink"/>
          </w:rPr>
          <w:t>2013</w:t>
        </w:r>
      </w:hyperlink>
      <w:r>
        <w:t xml:space="preserve">)). </w:t>
      </w:r>
      <w:r>
        <w:t xml:space="preserve">Greening programs in US cities are growing at a fast pace. Current day greening programs exist in many North American cities including Toronto, Seattle, Houston, Detroit, Boston, New York, Baltimore, and Jacksonville and have only grown in popularity over </w:t>
      </w:r>
      <w:r>
        <w:t>the last few decades (Schilling and Logan (</w:t>
      </w:r>
      <w:hyperlink w:anchor="ref-schilling2008greening">
        <w:r>
          <w:rPr>
            <w:rStyle w:val="Hyperlink"/>
          </w:rPr>
          <w:t>2008</w:t>
        </w:r>
      </w:hyperlink>
      <w:r>
        <w:t>)). As more of these programs are being incorporated into city government’s official responses to growing vacancy rates, there has also been a growing emphasis o</w:t>
      </w:r>
      <w:r>
        <w:t>n researching exactly what the effects of green spaces are on the surrounding communities.</w:t>
      </w:r>
    </w:p>
    <w:p w:rsidR="0057735F" w:rsidRDefault="00F56745">
      <w:pPr>
        <w:pStyle w:val="BodyText"/>
      </w:pPr>
      <w:r>
        <w:t>Much research has been conducted on the social, mental health, and environmental impacts of lot greening, and the overwhelming consensus is that greening provides po</w:t>
      </w:r>
      <w:r>
        <w:t>sitive benefits along those fronts. Green lots provide more robust storm water management, better air quality, decreased stress levels, and increased perceptions of health and exercise (South et al. (</w:t>
      </w:r>
      <w:hyperlink w:anchor="ref-south2015neighborhood">
        <w:r>
          <w:rPr>
            <w:rStyle w:val="Hyperlink"/>
          </w:rPr>
          <w:t>2015</w:t>
        </w:r>
      </w:hyperlink>
      <w:r>
        <w:t xml:space="preserve">)). </w:t>
      </w:r>
      <w:r>
        <w:t>But the one area of analysis where the evidence is a lot more contested is the impact of greened lots on crime rates.</w:t>
      </w:r>
    </w:p>
    <w:p w:rsidR="0057735F" w:rsidRDefault="00F56745">
      <w:pPr>
        <w:pStyle w:val="BodyText"/>
      </w:pPr>
      <w:r>
        <w:t>Some scholars believe that greened lots would increase the crime rates of the neighborhoods they’re in. The theoretical reasons for this a</w:t>
      </w:r>
      <w:r>
        <w:t>re that green spaces and parks often provide cover for criminal activity (Kuo and Sullivan (</w:t>
      </w:r>
      <w:hyperlink w:anchor="ref-kuo2001environment">
        <w:r>
          <w:rPr>
            <w:rStyle w:val="Hyperlink"/>
          </w:rPr>
          <w:t>2001</w:t>
        </w:r>
      </w:hyperlink>
      <w:hyperlink w:anchor="ref-kuo2001environment">
        <w:r>
          <w:rPr>
            <w:rStyle w:val="Hyperlink"/>
          </w:rPr>
          <w:t>a</w:t>
        </w:r>
      </w:hyperlink>
      <w:r>
        <w:t>)). They impede visibility and could also limit one’s ability to easi</w:t>
      </w:r>
      <w:r>
        <w:t>ly escape (Jackson et al. (</w:t>
      </w:r>
      <w:hyperlink w:anchor="ref-jackson2013health">
        <w:r>
          <w:rPr>
            <w:rStyle w:val="Hyperlink"/>
          </w:rPr>
          <w:t>2013</w:t>
        </w:r>
      </w:hyperlink>
      <w:r>
        <w:t xml:space="preserve">)). Finally, if green spaces bring in more people and vehicles into an area, there are more opportunities for criminals to strike in the first place. The empirical support for this </w:t>
      </w:r>
      <w:r>
        <w:t>line of thinking is also well established. Wolfe et. al examined the the association of vegetation with crime in Philadelphia and found that the higher the rates of vegetation in the neighborhood, the higher the likelihood of theft (Wolfe and Mennis (</w:t>
      </w:r>
      <w:hyperlink w:anchor="ref-wolfe2012does">
        <w:r>
          <w:rPr>
            <w:rStyle w:val="Hyperlink"/>
          </w:rPr>
          <w:t>2012</w:t>
        </w:r>
      </w:hyperlink>
      <w:r>
        <w:t xml:space="preserve">)). Their methodology involved estimating the amount of greenery/vegetation in Philly neighborhoods through the use of satellites and aerial photography, which is harder to apply to vacant lots. Garvin and co-authors </w:t>
      </w:r>
      <w:r>
        <w:t>conducted a similar analysis in 2012 on greened vacant lots in Philadelphia. They found that vandalism, burglaries, and robberies all significantly increased after a lot was greened (Garvin et al. (</w:t>
      </w:r>
      <w:hyperlink w:anchor="ref-garvin2013greening">
        <w:r>
          <w:rPr>
            <w:rStyle w:val="Hyperlink"/>
          </w:rPr>
          <w:t>2013</w:t>
        </w:r>
      </w:hyperlink>
      <w:r>
        <w:t>)). Anoth</w:t>
      </w:r>
      <w:r>
        <w:t>er study by Branas and co-authors in 2011 found that the greened lots in Philadelphia were also associated with statistically insignificant (but still present) increases in drug use and distribution, as well as disorderly conduct (Branas et al. (</w:t>
      </w:r>
      <w:hyperlink w:anchor="ref-branas2011difference">
        <w:r>
          <w:rPr>
            <w:rStyle w:val="Hyperlink"/>
          </w:rPr>
          <w:t>2011</w:t>
        </w:r>
      </w:hyperlink>
      <w:r>
        <w:t>)). So in conclusion, research on vegetation in general and greened lots in particular find that certain types of crimes – notably place based crimes like theft and vandalism– have increased after a communit</w:t>
      </w:r>
      <w:r>
        <w:t>y obtains more green space.</w:t>
      </w:r>
    </w:p>
    <w:p w:rsidR="0057735F" w:rsidRDefault="00F56745">
      <w:pPr>
        <w:pStyle w:val="BodyText"/>
      </w:pPr>
      <w:r>
        <w:t>On the other side of the argument are scholars who argue that green space should deter and lower crime rates. The theoretical underpinnings for this first come from Jane Jacobs “eyes on the street” theory, which is the idea that</w:t>
      </w:r>
      <w:r>
        <w:t xml:space="preserve"> green spaces encourage more people to use the space and thus deter criminals from initiating a crime </w:t>
      </w:r>
      <w:r>
        <w:lastRenderedPageBreak/>
        <w:t>in the first place. Another theoretical underpinning for this view comes from social disorganization theory which posits that signs of physical disrepair,</w:t>
      </w:r>
      <w:r>
        <w:t xml:space="preserve"> like vacant lots, send a message that the community is deteriorating and incentivizes criminal activity. So greening lots is a good way to counteract these signs of physical disorder. A final reason why greening may lead to reduced crime rates was propose</w:t>
      </w:r>
      <w:r>
        <w:t>d by Kaplan s that being in view of greenery and vegetation has a mentally restorative effect on potential criminals (Kaplan and Kaplan (</w:t>
      </w:r>
      <w:hyperlink w:anchor="ref-kaplan1989experience">
        <w:r>
          <w:rPr>
            <w:rStyle w:val="Hyperlink"/>
          </w:rPr>
          <w:t>1989</w:t>
        </w:r>
      </w:hyperlink>
      <w:r>
        <w:t>)). All together, these theoretical groundings paint a strong pictur</w:t>
      </w:r>
      <w:r>
        <w:t>e in favor of decreased crime rates.</w:t>
      </w:r>
    </w:p>
    <w:p w:rsidR="0057735F" w:rsidRDefault="00F56745">
      <w:pPr>
        <w:pStyle w:val="BodyText"/>
      </w:pPr>
      <w:r>
        <w:t>The empirical support for this is equally strong. Wolfe and his coauthors (in the same study cited above) find that rates of vegetation are negatively correlated with rates of assaults and burglaries. A similar study by</w:t>
      </w:r>
      <w:r>
        <w:t xml:space="preserve"> Kuo in and co-authors in 2012 find that vegetation is negatively correlated with aggravated assaults, and total violent crimes (Kuo and Sullivan (</w:t>
      </w:r>
      <w:hyperlink w:anchor="ref-kuo2001aggression">
        <w:r>
          <w:rPr>
            <w:rStyle w:val="Hyperlink"/>
          </w:rPr>
          <w:t>2001</w:t>
        </w:r>
      </w:hyperlink>
      <w:hyperlink w:anchor="ref-kuo2001aggression">
        <w:r>
          <w:rPr>
            <w:rStyle w:val="Hyperlink"/>
          </w:rPr>
          <w:t>b</w:t>
        </w:r>
      </w:hyperlink>
      <w:r>
        <w:t>)). This study i</w:t>
      </w:r>
      <w:r>
        <w:t>n particular gives strong support to the mental restoration hypotheses because it shows that people who live in areas with higher amounts of green space and vegetation had lower rates of interfamily violence after controlling for a host of other variables.</w:t>
      </w:r>
      <w:r>
        <w:t xml:space="preserve"> Another study by Donovan and co-authors studied the amount of trees in a given neighborhood and its relationship to crime. They find that the larger and more populous trees are in a neighborhood, the fewer reports of vandalism and violent crime there are </w:t>
      </w:r>
      <w:r>
        <w:t>(Donovan and Prestemon (</w:t>
      </w:r>
      <w:hyperlink w:anchor="ref-donovan2012effect">
        <w:r>
          <w:rPr>
            <w:rStyle w:val="Hyperlink"/>
          </w:rPr>
          <w:t>2012</w:t>
        </w:r>
      </w:hyperlink>
      <w:r>
        <w:t>)). At the end of the day, these studies provide support for green spaces leading to less crime but they are not specific to vacant lot greening, so now we turn to those studies.</w:t>
      </w:r>
    </w:p>
    <w:p w:rsidR="0057735F" w:rsidRDefault="00F56745">
      <w:pPr>
        <w:pStyle w:val="BodyText"/>
      </w:pPr>
      <w:r>
        <w:t>Brana</w:t>
      </w:r>
      <w:r>
        <w:t>s and coauthors (in the same article cited above) find that vacant lot greening in Philadelphia led to a significant decrease in gun assaults and vandalism. A similar study of vacant lot greening in Austin by Snelgrove and coauthors found that greening was</w:t>
      </w:r>
      <w:r>
        <w:t xml:space="preserve"> associated with a significant reduction in the total amount of crimes and an even sharper reduction in the amount of violent crimes (Snelgrove et al. (</w:t>
      </w:r>
      <w:hyperlink w:anchor="ref-snelgrove2004urban">
        <w:r>
          <w:rPr>
            <w:rStyle w:val="Hyperlink"/>
          </w:rPr>
          <w:t>2004</w:t>
        </w:r>
      </w:hyperlink>
      <w:r>
        <w:t>)). Finally, another study by Kuo and co-authors in 200</w:t>
      </w:r>
      <w:r>
        <w:t xml:space="preserve">1 found that vacant lot greening led to a statistically significant reduction in violent crimes (). All in all, it seems that vacant lot greening has a particular negative impact on gun crimes and violent crime, while other less serious place based crimes </w:t>
      </w:r>
      <w:r>
        <w:t>like robberies and burglaries seem to go up.</w:t>
      </w:r>
    </w:p>
    <w:p w:rsidR="0057735F" w:rsidRDefault="00F56745">
      <w:pPr>
        <w:pStyle w:val="Heading2"/>
      </w:pPr>
      <w:bookmarkStart w:id="3" w:name="data"/>
      <w:r>
        <w:t>Data</w:t>
      </w:r>
      <w:bookmarkEnd w:id="3"/>
    </w:p>
    <w:p w:rsidR="0057735F" w:rsidRDefault="00F56745">
      <w:pPr>
        <w:pStyle w:val="FirstParagraph"/>
      </w:pPr>
      <w:r>
        <w:t>For this study, we combined data from 3 sources:</w:t>
      </w:r>
    </w:p>
    <w:p w:rsidR="0057735F" w:rsidRDefault="00F56745">
      <w:pPr>
        <w:pStyle w:val="Compact"/>
        <w:numPr>
          <w:ilvl w:val="0"/>
          <w:numId w:val="18"/>
        </w:numPr>
      </w:pPr>
      <w:r>
        <w:t>LandCare greened vacant lot data (from the Pennsylvania Horticultural Society)</w:t>
      </w:r>
    </w:p>
    <w:p w:rsidR="0057735F" w:rsidRDefault="00F56745">
      <w:pPr>
        <w:pStyle w:val="Compact"/>
        <w:numPr>
          <w:ilvl w:val="0"/>
          <w:numId w:val="18"/>
        </w:numPr>
      </w:pPr>
      <w:r>
        <w:t>Vacant lot Violation data (from the Philadelphia Licenses and Inspections offi</w:t>
      </w:r>
      <w:r>
        <w:t>ce)</w:t>
      </w:r>
    </w:p>
    <w:p w:rsidR="0057735F" w:rsidRDefault="00F56745">
      <w:pPr>
        <w:pStyle w:val="Compact"/>
        <w:numPr>
          <w:ilvl w:val="0"/>
          <w:numId w:val="18"/>
        </w:numPr>
      </w:pPr>
      <w:r>
        <w:lastRenderedPageBreak/>
        <w:t>Crime data (From the Philadelphia Police Department)</w:t>
      </w:r>
    </w:p>
    <w:p w:rsidR="0057735F" w:rsidRDefault="00F56745">
      <w:pPr>
        <w:pStyle w:val="Heading3"/>
      </w:pPr>
      <w:bookmarkStart w:id="4" w:name="greened-vacant-lot-data"/>
      <w:r>
        <w:t>Greened Vacant Lot Data</w:t>
      </w:r>
      <w:bookmarkEnd w:id="4"/>
    </w:p>
    <w:p w:rsidR="0057735F" w:rsidRDefault="00F56745">
      <w:pPr>
        <w:pStyle w:val="FirstParagraph"/>
      </w:pPr>
      <w:r>
        <w:t xml:space="preserve">The first LandCare dataset comes from the Pennsylvania Horticultural Society (PHS), which administers Philadelphia’s LandCare program. This data reported all lots in the city </w:t>
      </w:r>
      <w:r>
        <w:t>that have been greened through PHS’s LandCare program. In total, there were 10,132 lots that were greened in the timeframe between 1993 and 2017. The data gives the address of the lot, the season it was greened in (Fall or Spring) and the square footage of</w:t>
      </w:r>
      <w:r>
        <w:t xml:space="preserve"> the lot. After filtering out lots where the date of greening wasn’t recorded, we were left with 6,822 greened vacant lots.</w:t>
      </w:r>
    </w:p>
    <w:p w:rsidR="0057735F" w:rsidRDefault="00F56745">
      <w:pPr>
        <w:pStyle w:val="Heading3"/>
      </w:pPr>
      <w:bookmarkStart w:id="5" w:name="ungreened-vacant-lot-data"/>
      <w:r>
        <w:t>Ungreened Vacant Lot Data</w:t>
      </w:r>
      <w:bookmarkEnd w:id="5"/>
    </w:p>
    <w:p w:rsidR="0057735F" w:rsidRDefault="00F56745">
      <w:pPr>
        <w:pStyle w:val="FirstParagraph"/>
      </w:pPr>
      <w:r>
        <w:t>The second dataset comes from the Philadelphia Licenses and Inspections office and lists all code violatio</w:t>
      </w:r>
      <w:r>
        <w:t xml:space="preserve">ns in the city. The L&amp;I office monitors building conditions in Philadelphia and issues code violations to properties that are in violation of the building code. One subtype of code violations is given to vacant and abandoned lots in the city. By filtering </w:t>
      </w:r>
      <w:r>
        <w:t>the data to only lots with these subtypes of code violations, we obtain data on all vacant (and ungreened) lots in Philadelphia. Overall, this data gave us 15,612 ungreened vacant lots from the years 2007 to 2017</w:t>
      </w:r>
    </w:p>
    <w:p w:rsidR="0057735F" w:rsidRDefault="00F56745">
      <w:pPr>
        <w:pStyle w:val="BodyText"/>
      </w:pPr>
      <w:r>
        <w:t>There are a couple of important notes about</w:t>
      </w:r>
      <w:r>
        <w:t xml:space="preserve"> this dataset. First, there are many lots with multiple vacant violations and for consistency we only record the first violation. Second, a few of the lots appeared in both the LandCare greened lot data and the L&amp;I lot violation data. We deleted these over</w:t>
      </w:r>
      <w:r>
        <w:t>lapping lots from the lot violation data and kept them in the LandCare greened lot data. Finally many of the violations have now been closed, implying that the lots are no longer vacant. Some violations are not closed, implying that the lots are still vaca</w:t>
      </w:r>
      <w:r>
        <w:t>nt. This allows us to construct a vacancy timeframe for each lot where the vacancy start date is the date of the first issued violation and the vacancy end date is either the date the violation has been closed or the current date if the violation hasn’t be</w:t>
      </w:r>
      <w:r>
        <w:t>en closed. We limit the dataset to lots that have been vacant for atleast 2 years for reasons that will become apparent below.</w:t>
      </w:r>
    </w:p>
    <w:p w:rsidR="0057735F" w:rsidRDefault="00F56745">
      <w:pPr>
        <w:pStyle w:val="BodyText"/>
      </w:pPr>
      <w:r>
        <w:t>Below is a map of where all the greened and ungreened lots are located in Philadelphia.</w:t>
      </w:r>
    </w:p>
    <w:p w:rsidR="0057735F" w:rsidRDefault="00F56745">
      <w:pPr>
        <w:pStyle w:val="BodyText"/>
      </w:pPr>
      <w:r>
        <w:rPr>
          <w:noProof/>
        </w:rPr>
        <w:lastRenderedPageBreak/>
        <w:drawing>
          <wp:anchor distT="0" distB="0" distL="114300" distR="114300" simplePos="0" relativeHeight="251659264" behindDoc="1" locked="0" layoutInCell="1" allowOverlap="1">
            <wp:simplePos x="0" y="0"/>
            <wp:positionH relativeFrom="column">
              <wp:posOffset>-25777</wp:posOffset>
            </wp:positionH>
            <wp:positionV relativeFrom="paragraph">
              <wp:posOffset>-321310</wp:posOffset>
            </wp:positionV>
            <wp:extent cx="5943600" cy="2954020"/>
            <wp:effectExtent l="0" t="0" r="0" b="0"/>
            <wp:wrapTight wrapText="bothSides">
              <wp:wrapPolygon edited="0">
                <wp:start x="0" y="0"/>
                <wp:lineTo x="0" y="21451"/>
                <wp:lineTo x="21531" y="21451"/>
                <wp:lineTo x="21531"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ajjit/Google%20Drive/Documents/vacant_lots_final/vacant-lots-project/writeup/graphs/greended_vs_ungreened_lots_in_phl_eda.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3600" cy="29540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7735F" w:rsidRDefault="00F56745">
      <w:pPr>
        <w:pStyle w:val="Heading3"/>
      </w:pPr>
      <w:bookmarkStart w:id="6" w:name="crime-data"/>
      <w:r>
        <w:t>Crime Data</w:t>
      </w:r>
      <w:bookmarkEnd w:id="6"/>
    </w:p>
    <w:p w:rsidR="0057735F" w:rsidRDefault="00CF5FB8">
      <w:pPr>
        <w:pStyle w:val="FirstParagraph"/>
      </w:pPr>
      <w:r>
        <w:rPr>
          <w:noProof/>
        </w:rPr>
        <w:drawing>
          <wp:anchor distT="0" distB="0" distL="114300" distR="114300" simplePos="0" relativeHeight="251657216" behindDoc="1" locked="0" layoutInCell="1" allowOverlap="1">
            <wp:simplePos x="0" y="0"/>
            <wp:positionH relativeFrom="column">
              <wp:posOffset>-978</wp:posOffset>
            </wp:positionH>
            <wp:positionV relativeFrom="paragraph">
              <wp:posOffset>2214193</wp:posOffset>
            </wp:positionV>
            <wp:extent cx="5943600" cy="3396342"/>
            <wp:effectExtent l="0" t="0" r="0" b="0"/>
            <wp:wrapTight wrapText="bothSides">
              <wp:wrapPolygon edited="0">
                <wp:start x="0" y="0"/>
                <wp:lineTo x="0" y="21447"/>
                <wp:lineTo x="21531" y="21447"/>
                <wp:lineTo x="21531"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jjit/Google%20Drive/Documents/vacant_lots_final/vacant-lots-project/writeup/graphs/crimes_over_time_phl_eda.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339634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F56745">
        <w:t xml:space="preserve">We obtained crime data from two seperate sources. First, crime data from 1995 to 2005 was given to us by the Penn Criminology Department. And newer crime data from 2005 till October 2018 was obtained from the Philadelphia Police Department and is publicly </w:t>
      </w:r>
      <w:r w:rsidR="00F56745">
        <w:t>available at opendataphilly.org. The crime data reports crimetype, latitude/longitude coordinates, and date of crime. One note about this dataset is that the types of crime that were reported in the old crime dataset were more limited than the types of cri</w:t>
      </w:r>
      <w:r w:rsidR="00F56745">
        <w:t>mes reported in the newer crime dataset. To maintain consistency, we only keep crimetypes which were recorded in both datasets, leaving us with 1,510,789 crime records from 1995 to 2018. Below is a histogram of the total number of crimes over time.</w:t>
      </w:r>
    </w:p>
    <w:p w:rsidR="0057735F" w:rsidRDefault="0057735F">
      <w:pPr>
        <w:pStyle w:val="BodyText"/>
      </w:pPr>
    </w:p>
    <w:p w:rsidR="0057735F" w:rsidRDefault="00F56745">
      <w:pPr>
        <w:pStyle w:val="BodyText"/>
      </w:pPr>
      <w:r>
        <w:t>Final</w:t>
      </w:r>
      <w:r>
        <w:t>ly, we combined all the above data to create one unified dataset on crime change around vacant lots in Philadelphia (both greened and ungreened). Specifically, we created a 70 meter buffer around each vacant lot and counted the number of crimes that occurr</w:t>
      </w:r>
      <w:r>
        <w:t>ed 11 months before and after the treatment date. For greened lots, the treatment date was the date the lot was greened. For ungreened lots, the treatment date was the midpoint of the vacancy interval. So if a lot was vacant from January 2011 to January 20</w:t>
      </w:r>
      <w:r>
        <w:t>13, the treatment date was assigned as January 2012. This can be thought of as the date the lot would have been greened, had it been chosen to be a part of the LandCare program. We also repeat this process with buffers of 150 meters and 500 meters. Our fin</w:t>
      </w:r>
      <w:r>
        <w:t>al dataset was a listing of addresses, latitude/longitude pairs, a binary greening treatment variable, and crime statistics for each of our 22,434 lots. Below is a short excerpt of 3 random lots in our dataset.</w:t>
      </w:r>
    </w:p>
    <w:tbl>
      <w:tblPr>
        <w:tblW w:w="5000" w:type="pct"/>
        <w:tblLook w:val="07E0" w:firstRow="1" w:lastRow="1" w:firstColumn="1" w:lastColumn="1" w:noHBand="1" w:noVBand="1"/>
      </w:tblPr>
      <w:tblGrid>
        <w:gridCol w:w="2033"/>
        <w:gridCol w:w="1904"/>
        <w:gridCol w:w="1126"/>
        <w:gridCol w:w="2316"/>
        <w:gridCol w:w="2197"/>
      </w:tblGrid>
      <w:tr w:rsidR="0057735F">
        <w:tc>
          <w:tcPr>
            <w:tcW w:w="0" w:type="auto"/>
            <w:tcBorders>
              <w:bottom w:val="single" w:sz="0" w:space="0" w:color="auto"/>
            </w:tcBorders>
            <w:vAlign w:val="bottom"/>
          </w:tcPr>
          <w:p w:rsidR="0057735F" w:rsidRDefault="00F56745">
            <w:pPr>
              <w:pStyle w:val="Compact"/>
            </w:pPr>
            <w:r>
              <w:t>Address</w:t>
            </w:r>
          </w:p>
        </w:tc>
        <w:tc>
          <w:tcPr>
            <w:tcW w:w="0" w:type="auto"/>
            <w:tcBorders>
              <w:bottom w:val="single" w:sz="0" w:space="0" w:color="auto"/>
            </w:tcBorders>
            <w:vAlign w:val="bottom"/>
          </w:tcPr>
          <w:p w:rsidR="0057735F" w:rsidRDefault="00F56745">
            <w:pPr>
              <w:pStyle w:val="Compact"/>
            </w:pPr>
            <w:r>
              <w:t>Intervention Date</w:t>
            </w:r>
          </w:p>
        </w:tc>
        <w:tc>
          <w:tcPr>
            <w:tcW w:w="0" w:type="auto"/>
            <w:tcBorders>
              <w:bottom w:val="single" w:sz="0" w:space="0" w:color="auto"/>
            </w:tcBorders>
            <w:vAlign w:val="bottom"/>
          </w:tcPr>
          <w:p w:rsidR="0057735F" w:rsidRDefault="00F56745">
            <w:pPr>
              <w:pStyle w:val="Compact"/>
            </w:pPr>
            <w:r>
              <w:t>Greened</w:t>
            </w:r>
          </w:p>
        </w:tc>
        <w:tc>
          <w:tcPr>
            <w:tcW w:w="0" w:type="auto"/>
            <w:tcBorders>
              <w:bottom w:val="single" w:sz="0" w:space="0" w:color="auto"/>
            </w:tcBorders>
            <w:vAlign w:val="bottom"/>
          </w:tcPr>
          <w:p w:rsidR="0057735F" w:rsidRDefault="00F56745">
            <w:pPr>
              <w:pStyle w:val="Compact"/>
              <w:jc w:val="right"/>
            </w:pPr>
            <w:r>
              <w:t xml:space="preserve">Num Crimes </w:t>
            </w:r>
            <w:r>
              <w:t>before (70m)</w:t>
            </w:r>
          </w:p>
        </w:tc>
        <w:tc>
          <w:tcPr>
            <w:tcW w:w="0" w:type="auto"/>
            <w:tcBorders>
              <w:bottom w:val="single" w:sz="0" w:space="0" w:color="auto"/>
            </w:tcBorders>
            <w:vAlign w:val="bottom"/>
          </w:tcPr>
          <w:p w:rsidR="0057735F" w:rsidRDefault="00F56745">
            <w:pPr>
              <w:pStyle w:val="Compact"/>
              <w:jc w:val="right"/>
            </w:pPr>
            <w:r>
              <w:t>Num Crimes after (70m)</w:t>
            </w:r>
          </w:p>
        </w:tc>
      </w:tr>
      <w:tr w:rsidR="0057735F">
        <w:tc>
          <w:tcPr>
            <w:tcW w:w="0" w:type="auto"/>
          </w:tcPr>
          <w:p w:rsidR="0057735F" w:rsidRDefault="00F56745">
            <w:pPr>
              <w:pStyle w:val="Compact"/>
            </w:pPr>
            <w:r>
              <w:t>3006 E Thompson St</w:t>
            </w:r>
          </w:p>
        </w:tc>
        <w:tc>
          <w:tcPr>
            <w:tcW w:w="0" w:type="auto"/>
          </w:tcPr>
          <w:p w:rsidR="0057735F" w:rsidRDefault="00F56745">
            <w:pPr>
              <w:pStyle w:val="Compact"/>
            </w:pPr>
            <w:r>
              <w:t>2008-12-28</w:t>
            </w:r>
          </w:p>
        </w:tc>
        <w:tc>
          <w:tcPr>
            <w:tcW w:w="0" w:type="auto"/>
          </w:tcPr>
          <w:p w:rsidR="0057735F" w:rsidRDefault="00F56745">
            <w:pPr>
              <w:pStyle w:val="Compact"/>
            </w:pPr>
            <w:r>
              <w:t>FALSE</w:t>
            </w:r>
          </w:p>
        </w:tc>
        <w:tc>
          <w:tcPr>
            <w:tcW w:w="0" w:type="auto"/>
          </w:tcPr>
          <w:p w:rsidR="0057735F" w:rsidRDefault="00F56745">
            <w:pPr>
              <w:pStyle w:val="Compact"/>
              <w:jc w:val="right"/>
            </w:pPr>
            <w:r>
              <w:t>2</w:t>
            </w:r>
          </w:p>
        </w:tc>
        <w:tc>
          <w:tcPr>
            <w:tcW w:w="0" w:type="auto"/>
          </w:tcPr>
          <w:p w:rsidR="0057735F" w:rsidRDefault="00F56745">
            <w:pPr>
              <w:pStyle w:val="Compact"/>
              <w:jc w:val="right"/>
            </w:pPr>
            <w:r>
              <w:t>9</w:t>
            </w:r>
          </w:p>
        </w:tc>
      </w:tr>
      <w:tr w:rsidR="0057735F">
        <w:tc>
          <w:tcPr>
            <w:tcW w:w="0" w:type="auto"/>
          </w:tcPr>
          <w:p w:rsidR="0057735F" w:rsidRDefault="00F56745">
            <w:pPr>
              <w:pStyle w:val="Compact"/>
            </w:pPr>
            <w:r>
              <w:t>1701 S 22nd St</w:t>
            </w:r>
          </w:p>
        </w:tc>
        <w:tc>
          <w:tcPr>
            <w:tcW w:w="0" w:type="auto"/>
          </w:tcPr>
          <w:p w:rsidR="0057735F" w:rsidRDefault="00F56745">
            <w:pPr>
              <w:pStyle w:val="Compact"/>
            </w:pPr>
            <w:r>
              <w:t>2004-03-01</w:t>
            </w:r>
          </w:p>
        </w:tc>
        <w:tc>
          <w:tcPr>
            <w:tcW w:w="0" w:type="auto"/>
          </w:tcPr>
          <w:p w:rsidR="0057735F" w:rsidRDefault="00F56745">
            <w:pPr>
              <w:pStyle w:val="Compact"/>
            </w:pPr>
            <w:r>
              <w:t>TRUE</w:t>
            </w:r>
          </w:p>
        </w:tc>
        <w:tc>
          <w:tcPr>
            <w:tcW w:w="0" w:type="auto"/>
          </w:tcPr>
          <w:p w:rsidR="0057735F" w:rsidRDefault="00F56745">
            <w:pPr>
              <w:pStyle w:val="Compact"/>
              <w:jc w:val="right"/>
            </w:pPr>
            <w:r>
              <w:t>6</w:t>
            </w:r>
          </w:p>
        </w:tc>
        <w:tc>
          <w:tcPr>
            <w:tcW w:w="0" w:type="auto"/>
          </w:tcPr>
          <w:p w:rsidR="0057735F" w:rsidRDefault="00F56745">
            <w:pPr>
              <w:pStyle w:val="Compact"/>
              <w:jc w:val="right"/>
            </w:pPr>
            <w:r>
              <w:t>6</w:t>
            </w:r>
          </w:p>
        </w:tc>
      </w:tr>
      <w:tr w:rsidR="0057735F">
        <w:tc>
          <w:tcPr>
            <w:tcW w:w="0" w:type="auto"/>
          </w:tcPr>
          <w:p w:rsidR="0057735F" w:rsidRDefault="00F56745">
            <w:pPr>
              <w:pStyle w:val="Compact"/>
            </w:pPr>
            <w:r>
              <w:t>1239 N 19th St</w:t>
            </w:r>
          </w:p>
        </w:tc>
        <w:tc>
          <w:tcPr>
            <w:tcW w:w="0" w:type="auto"/>
          </w:tcPr>
          <w:p w:rsidR="0057735F" w:rsidRDefault="00F56745">
            <w:pPr>
              <w:pStyle w:val="Compact"/>
            </w:pPr>
            <w:r>
              <w:t>2015-04-28</w:t>
            </w:r>
          </w:p>
        </w:tc>
        <w:tc>
          <w:tcPr>
            <w:tcW w:w="0" w:type="auto"/>
          </w:tcPr>
          <w:p w:rsidR="0057735F" w:rsidRDefault="00F56745">
            <w:pPr>
              <w:pStyle w:val="Compact"/>
            </w:pPr>
            <w:r>
              <w:t>FALSE</w:t>
            </w:r>
          </w:p>
        </w:tc>
        <w:tc>
          <w:tcPr>
            <w:tcW w:w="0" w:type="auto"/>
          </w:tcPr>
          <w:p w:rsidR="0057735F" w:rsidRDefault="00F56745">
            <w:pPr>
              <w:pStyle w:val="Compact"/>
              <w:jc w:val="right"/>
            </w:pPr>
            <w:r>
              <w:t>4</w:t>
            </w:r>
          </w:p>
        </w:tc>
        <w:tc>
          <w:tcPr>
            <w:tcW w:w="0" w:type="auto"/>
          </w:tcPr>
          <w:p w:rsidR="0057735F" w:rsidRDefault="00F56745">
            <w:pPr>
              <w:pStyle w:val="Compact"/>
              <w:jc w:val="right"/>
            </w:pPr>
            <w:r>
              <w:t>2</w:t>
            </w:r>
          </w:p>
        </w:tc>
      </w:tr>
    </w:tbl>
    <w:p w:rsidR="0057735F" w:rsidRDefault="00F56745">
      <w:pPr>
        <w:pStyle w:val="BodyText"/>
      </w:pPr>
      <w:r>
        <w:t>For a more in depth explanation of our data cleaning process, see Appendix A.</w:t>
      </w:r>
    </w:p>
    <w:p w:rsidR="0057735F" w:rsidRDefault="00F56745">
      <w:pPr>
        <w:pStyle w:val="Heading2"/>
      </w:pPr>
      <w:bookmarkStart w:id="7" w:name="results"/>
      <w:r>
        <w:t>Results</w:t>
      </w:r>
      <w:bookmarkEnd w:id="7"/>
    </w:p>
    <w:p w:rsidR="0057735F" w:rsidRDefault="00F56745">
      <w:pPr>
        <w:pStyle w:val="Heading3"/>
      </w:pPr>
      <w:bookmarkStart w:id="8" w:name="i.-aggregate-comparisons"/>
      <w:r>
        <w:t>I. Aggregate Comparisons</w:t>
      </w:r>
      <w:bookmarkEnd w:id="8"/>
    </w:p>
    <w:p w:rsidR="0057735F" w:rsidRDefault="00F56745">
      <w:pPr>
        <w:pStyle w:val="FirstParagraph"/>
      </w:pPr>
      <w:r>
        <w:t>For the first part of our data analysis, we analyzed how crime rates had changed in aggregate around greened lots and around ungreened control lo</w:t>
      </w:r>
      <w:r>
        <w:t xml:space="preserve">ts. We used a timeframe of 11 months before the intervention date and 11 months after the intervention date in order to cancel out any seasonality in the crime data. The below table shows the average difference in number of crimes in the 11 months pre and </w:t>
      </w:r>
      <w:r>
        <w:t>post intervention date for greened vacant lots and control vacant lots broken down by crimetype. We also conduct a Wilcoxon rank-sum test on the means of the differences to see if there is a statistically significant difference.</w:t>
      </w:r>
    </w:p>
    <w:tbl>
      <w:tblPr>
        <w:tblW w:w="5000" w:type="pct"/>
        <w:tblLook w:val="07E0" w:firstRow="1" w:lastRow="1" w:firstColumn="1" w:lastColumn="1" w:noHBand="1" w:noVBand="1"/>
      </w:tblPr>
      <w:tblGrid>
        <w:gridCol w:w="1870"/>
        <w:gridCol w:w="2105"/>
        <w:gridCol w:w="2061"/>
        <w:gridCol w:w="1897"/>
        <w:gridCol w:w="1643"/>
      </w:tblGrid>
      <w:tr w:rsidR="0057735F">
        <w:tc>
          <w:tcPr>
            <w:tcW w:w="0" w:type="auto"/>
            <w:tcBorders>
              <w:bottom w:val="single" w:sz="0" w:space="0" w:color="auto"/>
            </w:tcBorders>
            <w:vAlign w:val="bottom"/>
          </w:tcPr>
          <w:p w:rsidR="0057735F" w:rsidRDefault="00F56745">
            <w:pPr>
              <w:pStyle w:val="Compact"/>
            </w:pPr>
            <w:r>
              <w:t>Crimetype</w:t>
            </w:r>
          </w:p>
        </w:tc>
        <w:tc>
          <w:tcPr>
            <w:tcW w:w="0" w:type="auto"/>
            <w:tcBorders>
              <w:bottom w:val="single" w:sz="0" w:space="0" w:color="auto"/>
            </w:tcBorders>
            <w:vAlign w:val="bottom"/>
          </w:tcPr>
          <w:p w:rsidR="0057735F" w:rsidRDefault="00F56745">
            <w:pPr>
              <w:pStyle w:val="Compact"/>
              <w:jc w:val="right"/>
            </w:pPr>
            <w:r>
              <w:t>Average difference (greened)</w:t>
            </w:r>
          </w:p>
        </w:tc>
        <w:tc>
          <w:tcPr>
            <w:tcW w:w="0" w:type="auto"/>
            <w:tcBorders>
              <w:bottom w:val="single" w:sz="0" w:space="0" w:color="auto"/>
            </w:tcBorders>
            <w:vAlign w:val="bottom"/>
          </w:tcPr>
          <w:p w:rsidR="0057735F" w:rsidRDefault="00F56745">
            <w:pPr>
              <w:pStyle w:val="Compact"/>
              <w:jc w:val="right"/>
            </w:pPr>
            <w:r>
              <w:t>Average difference (control)</w:t>
            </w:r>
          </w:p>
        </w:tc>
        <w:tc>
          <w:tcPr>
            <w:tcW w:w="0" w:type="auto"/>
            <w:tcBorders>
              <w:bottom w:val="single" w:sz="0" w:space="0" w:color="auto"/>
            </w:tcBorders>
            <w:vAlign w:val="bottom"/>
          </w:tcPr>
          <w:p w:rsidR="0057735F" w:rsidRDefault="00F56745">
            <w:pPr>
              <w:pStyle w:val="Compact"/>
              <w:jc w:val="right"/>
            </w:pPr>
            <w:r>
              <w:t>Difference in Difference</w:t>
            </w:r>
          </w:p>
        </w:tc>
        <w:tc>
          <w:tcPr>
            <w:tcW w:w="0" w:type="auto"/>
            <w:tcBorders>
              <w:bottom w:val="single" w:sz="0" w:space="0" w:color="auto"/>
            </w:tcBorders>
            <w:vAlign w:val="bottom"/>
          </w:tcPr>
          <w:p w:rsidR="0057735F" w:rsidRDefault="00F56745">
            <w:pPr>
              <w:pStyle w:val="Compact"/>
              <w:jc w:val="right"/>
            </w:pPr>
            <w:r>
              <w:t>Wilcox test p value</w:t>
            </w:r>
          </w:p>
        </w:tc>
      </w:tr>
      <w:tr w:rsidR="0057735F">
        <w:tc>
          <w:tcPr>
            <w:tcW w:w="0" w:type="auto"/>
          </w:tcPr>
          <w:p w:rsidR="0057735F" w:rsidRDefault="00F56745">
            <w:pPr>
              <w:pStyle w:val="Compact"/>
            </w:pPr>
            <w:r>
              <w:lastRenderedPageBreak/>
              <w:t>Aggravated Assaults</w:t>
            </w:r>
          </w:p>
        </w:tc>
        <w:tc>
          <w:tcPr>
            <w:tcW w:w="0" w:type="auto"/>
          </w:tcPr>
          <w:p w:rsidR="0057735F" w:rsidRDefault="00F56745">
            <w:pPr>
              <w:pStyle w:val="Compact"/>
              <w:jc w:val="right"/>
            </w:pPr>
            <w:r>
              <w:t>0.036646</w:t>
            </w:r>
          </w:p>
        </w:tc>
        <w:tc>
          <w:tcPr>
            <w:tcW w:w="0" w:type="auto"/>
          </w:tcPr>
          <w:p w:rsidR="0057735F" w:rsidRDefault="00F56745">
            <w:pPr>
              <w:pStyle w:val="Compact"/>
              <w:jc w:val="right"/>
            </w:pPr>
            <w:r>
              <w:t>-0.062450</w:t>
            </w:r>
          </w:p>
        </w:tc>
        <w:tc>
          <w:tcPr>
            <w:tcW w:w="0" w:type="auto"/>
          </w:tcPr>
          <w:p w:rsidR="0057735F" w:rsidRDefault="00F56745">
            <w:pPr>
              <w:pStyle w:val="Compact"/>
              <w:jc w:val="right"/>
            </w:pPr>
            <w:r>
              <w:t>0.099098</w:t>
            </w:r>
          </w:p>
        </w:tc>
        <w:tc>
          <w:tcPr>
            <w:tcW w:w="0" w:type="auto"/>
          </w:tcPr>
          <w:p w:rsidR="0057735F" w:rsidRDefault="00F56745">
            <w:pPr>
              <w:pStyle w:val="Compact"/>
              <w:jc w:val="right"/>
            </w:pPr>
            <w:r>
              <w:t>0.0031389</w:t>
            </w:r>
          </w:p>
        </w:tc>
      </w:tr>
      <w:tr w:rsidR="0057735F">
        <w:tc>
          <w:tcPr>
            <w:tcW w:w="0" w:type="auto"/>
          </w:tcPr>
          <w:p w:rsidR="0057735F" w:rsidRDefault="00F56745">
            <w:pPr>
              <w:pStyle w:val="Compact"/>
            </w:pPr>
            <w:r>
              <w:t>Burglaries</w:t>
            </w:r>
          </w:p>
        </w:tc>
        <w:tc>
          <w:tcPr>
            <w:tcW w:w="0" w:type="auto"/>
          </w:tcPr>
          <w:p w:rsidR="0057735F" w:rsidRDefault="00F56745">
            <w:pPr>
              <w:pStyle w:val="Compact"/>
              <w:jc w:val="right"/>
            </w:pPr>
            <w:r>
              <w:t>-0.064200</w:t>
            </w:r>
          </w:p>
        </w:tc>
        <w:tc>
          <w:tcPr>
            <w:tcW w:w="0" w:type="auto"/>
          </w:tcPr>
          <w:p w:rsidR="0057735F" w:rsidRDefault="00F56745">
            <w:pPr>
              <w:pStyle w:val="Compact"/>
              <w:jc w:val="right"/>
            </w:pPr>
            <w:r>
              <w:t>-0.131050</w:t>
            </w:r>
          </w:p>
        </w:tc>
        <w:tc>
          <w:tcPr>
            <w:tcW w:w="0" w:type="auto"/>
          </w:tcPr>
          <w:p w:rsidR="0057735F" w:rsidRDefault="00F56745">
            <w:pPr>
              <w:pStyle w:val="Compact"/>
              <w:jc w:val="right"/>
            </w:pPr>
            <w:r>
              <w:t>0.066849</w:t>
            </w:r>
          </w:p>
        </w:tc>
        <w:tc>
          <w:tcPr>
            <w:tcW w:w="0" w:type="auto"/>
          </w:tcPr>
          <w:p w:rsidR="0057735F" w:rsidRDefault="00F56745">
            <w:pPr>
              <w:pStyle w:val="Compact"/>
              <w:jc w:val="right"/>
            </w:pPr>
            <w:r>
              <w:t>0.0531337</w:t>
            </w:r>
          </w:p>
        </w:tc>
      </w:tr>
      <w:tr w:rsidR="0057735F">
        <w:tc>
          <w:tcPr>
            <w:tcW w:w="0" w:type="auto"/>
          </w:tcPr>
          <w:p w:rsidR="0057735F" w:rsidRDefault="00F56745">
            <w:pPr>
              <w:pStyle w:val="Compact"/>
            </w:pPr>
            <w:r>
              <w:t>Disorderly Conduct</w:t>
            </w:r>
          </w:p>
        </w:tc>
        <w:tc>
          <w:tcPr>
            <w:tcW w:w="0" w:type="auto"/>
          </w:tcPr>
          <w:p w:rsidR="0057735F" w:rsidRDefault="00F56745">
            <w:pPr>
              <w:pStyle w:val="Compact"/>
              <w:jc w:val="right"/>
            </w:pPr>
            <w:r>
              <w:t>-0.057170</w:t>
            </w:r>
          </w:p>
        </w:tc>
        <w:tc>
          <w:tcPr>
            <w:tcW w:w="0" w:type="auto"/>
          </w:tcPr>
          <w:p w:rsidR="0057735F" w:rsidRDefault="00F56745">
            <w:pPr>
              <w:pStyle w:val="Compact"/>
              <w:jc w:val="right"/>
            </w:pPr>
            <w:r>
              <w:t>-0.043490</w:t>
            </w:r>
          </w:p>
        </w:tc>
        <w:tc>
          <w:tcPr>
            <w:tcW w:w="0" w:type="auto"/>
          </w:tcPr>
          <w:p w:rsidR="0057735F" w:rsidRDefault="00F56745">
            <w:pPr>
              <w:pStyle w:val="Compact"/>
              <w:jc w:val="right"/>
            </w:pPr>
            <w:r>
              <w:t>-0.013680</w:t>
            </w:r>
          </w:p>
        </w:tc>
        <w:tc>
          <w:tcPr>
            <w:tcW w:w="0" w:type="auto"/>
          </w:tcPr>
          <w:p w:rsidR="0057735F" w:rsidRDefault="00F56745">
            <w:pPr>
              <w:pStyle w:val="Compact"/>
              <w:jc w:val="right"/>
            </w:pPr>
            <w:r>
              <w:t>0.0027141</w:t>
            </w:r>
          </w:p>
        </w:tc>
      </w:tr>
      <w:tr w:rsidR="0057735F">
        <w:tc>
          <w:tcPr>
            <w:tcW w:w="0" w:type="auto"/>
          </w:tcPr>
          <w:p w:rsidR="0057735F" w:rsidRDefault="00F56745">
            <w:pPr>
              <w:pStyle w:val="Compact"/>
            </w:pPr>
            <w:r>
              <w:t>Homicides</w:t>
            </w:r>
          </w:p>
        </w:tc>
        <w:tc>
          <w:tcPr>
            <w:tcW w:w="0" w:type="auto"/>
          </w:tcPr>
          <w:p w:rsidR="0057735F" w:rsidRDefault="00F56745">
            <w:pPr>
              <w:pStyle w:val="Compact"/>
              <w:jc w:val="right"/>
            </w:pPr>
            <w:r>
              <w:t>0.010554</w:t>
            </w:r>
          </w:p>
        </w:tc>
        <w:tc>
          <w:tcPr>
            <w:tcW w:w="0" w:type="auto"/>
          </w:tcPr>
          <w:p w:rsidR="0057735F" w:rsidRDefault="00F56745">
            <w:pPr>
              <w:pStyle w:val="Compact"/>
              <w:jc w:val="right"/>
            </w:pPr>
            <w:r>
              <w:t>0.000448</w:t>
            </w:r>
          </w:p>
        </w:tc>
        <w:tc>
          <w:tcPr>
            <w:tcW w:w="0" w:type="auto"/>
          </w:tcPr>
          <w:p w:rsidR="0057735F" w:rsidRDefault="00F56745">
            <w:pPr>
              <w:pStyle w:val="Compact"/>
              <w:jc w:val="right"/>
            </w:pPr>
            <w:r>
              <w:t>0.010106</w:t>
            </w:r>
          </w:p>
        </w:tc>
        <w:tc>
          <w:tcPr>
            <w:tcW w:w="0" w:type="auto"/>
          </w:tcPr>
          <w:p w:rsidR="0057735F" w:rsidRDefault="00F56745">
            <w:pPr>
              <w:pStyle w:val="Compact"/>
              <w:jc w:val="right"/>
            </w:pPr>
            <w:r>
              <w:t>0.6598012</w:t>
            </w:r>
          </w:p>
        </w:tc>
      </w:tr>
      <w:tr w:rsidR="0057735F">
        <w:tc>
          <w:tcPr>
            <w:tcW w:w="0" w:type="auto"/>
          </w:tcPr>
          <w:p w:rsidR="0057735F" w:rsidRDefault="00F56745">
            <w:pPr>
              <w:pStyle w:val="Compact"/>
            </w:pPr>
            <w:r>
              <w:t>Public Drinking</w:t>
            </w:r>
          </w:p>
        </w:tc>
        <w:tc>
          <w:tcPr>
            <w:tcW w:w="0" w:type="auto"/>
          </w:tcPr>
          <w:p w:rsidR="0057735F" w:rsidRDefault="00F56745">
            <w:pPr>
              <w:pStyle w:val="Compact"/>
              <w:jc w:val="right"/>
            </w:pPr>
            <w:r>
              <w:t>0.005717</w:t>
            </w:r>
          </w:p>
        </w:tc>
        <w:tc>
          <w:tcPr>
            <w:tcW w:w="0" w:type="auto"/>
          </w:tcPr>
          <w:p w:rsidR="0057735F" w:rsidRDefault="00F56745">
            <w:pPr>
              <w:pStyle w:val="Compact"/>
              <w:jc w:val="right"/>
            </w:pPr>
            <w:r>
              <w:t>-0.002630</w:t>
            </w:r>
          </w:p>
        </w:tc>
        <w:tc>
          <w:tcPr>
            <w:tcW w:w="0" w:type="auto"/>
          </w:tcPr>
          <w:p w:rsidR="0057735F" w:rsidRDefault="00F56745">
            <w:pPr>
              <w:pStyle w:val="Compact"/>
              <w:jc w:val="right"/>
            </w:pPr>
            <w:r>
              <w:t>0.008343</w:t>
            </w:r>
          </w:p>
        </w:tc>
        <w:tc>
          <w:tcPr>
            <w:tcW w:w="0" w:type="auto"/>
          </w:tcPr>
          <w:p w:rsidR="0057735F" w:rsidRDefault="00F56745">
            <w:pPr>
              <w:pStyle w:val="Compact"/>
              <w:jc w:val="right"/>
            </w:pPr>
            <w:r>
              <w:t>0.0195992</w:t>
            </w:r>
          </w:p>
        </w:tc>
      </w:tr>
      <w:tr w:rsidR="0057735F">
        <w:tc>
          <w:tcPr>
            <w:tcW w:w="0" w:type="auto"/>
          </w:tcPr>
          <w:p w:rsidR="0057735F" w:rsidRDefault="00F56745">
            <w:pPr>
              <w:pStyle w:val="Compact"/>
            </w:pPr>
            <w:r>
              <w:t>Robberies</w:t>
            </w:r>
          </w:p>
        </w:tc>
        <w:tc>
          <w:tcPr>
            <w:tcW w:w="0" w:type="auto"/>
          </w:tcPr>
          <w:p w:rsidR="0057735F" w:rsidRDefault="00F56745">
            <w:pPr>
              <w:pStyle w:val="Compact"/>
              <w:jc w:val="right"/>
            </w:pPr>
            <w:r>
              <w:t>-0.116240</w:t>
            </w:r>
          </w:p>
        </w:tc>
        <w:tc>
          <w:tcPr>
            <w:tcW w:w="0" w:type="auto"/>
          </w:tcPr>
          <w:p w:rsidR="0057735F" w:rsidRDefault="00F56745">
            <w:pPr>
              <w:pStyle w:val="Compact"/>
              <w:jc w:val="right"/>
            </w:pPr>
            <w:r>
              <w:t>-0.045220</w:t>
            </w:r>
          </w:p>
        </w:tc>
        <w:tc>
          <w:tcPr>
            <w:tcW w:w="0" w:type="auto"/>
          </w:tcPr>
          <w:p w:rsidR="0057735F" w:rsidRDefault="00F56745">
            <w:pPr>
              <w:pStyle w:val="Compact"/>
              <w:jc w:val="right"/>
            </w:pPr>
            <w:r>
              <w:t>-0.071020</w:t>
            </w:r>
          </w:p>
        </w:tc>
        <w:tc>
          <w:tcPr>
            <w:tcW w:w="0" w:type="auto"/>
          </w:tcPr>
          <w:p w:rsidR="0057735F" w:rsidRDefault="00F56745">
            <w:pPr>
              <w:pStyle w:val="Compact"/>
              <w:jc w:val="right"/>
            </w:pPr>
            <w:r>
              <w:t>0.0006443</w:t>
            </w:r>
          </w:p>
        </w:tc>
      </w:tr>
      <w:tr w:rsidR="0057735F">
        <w:tc>
          <w:tcPr>
            <w:tcW w:w="0" w:type="auto"/>
          </w:tcPr>
          <w:p w:rsidR="0057735F" w:rsidRDefault="00F56745">
            <w:pPr>
              <w:pStyle w:val="Compact"/>
            </w:pPr>
            <w:r>
              <w:t>Thefts</w:t>
            </w:r>
          </w:p>
        </w:tc>
        <w:tc>
          <w:tcPr>
            <w:tcW w:w="0" w:type="auto"/>
          </w:tcPr>
          <w:p w:rsidR="0057735F" w:rsidRDefault="00F56745">
            <w:pPr>
              <w:pStyle w:val="Compact"/>
              <w:jc w:val="right"/>
            </w:pPr>
            <w:r>
              <w:t>-0.049400</w:t>
            </w:r>
          </w:p>
        </w:tc>
        <w:tc>
          <w:tcPr>
            <w:tcW w:w="0" w:type="auto"/>
          </w:tcPr>
          <w:p w:rsidR="0057735F" w:rsidRDefault="00F56745">
            <w:pPr>
              <w:pStyle w:val="Compact"/>
              <w:jc w:val="right"/>
            </w:pPr>
            <w:r>
              <w:t>-0.009610</w:t>
            </w:r>
          </w:p>
        </w:tc>
        <w:tc>
          <w:tcPr>
            <w:tcW w:w="0" w:type="auto"/>
          </w:tcPr>
          <w:p w:rsidR="0057735F" w:rsidRDefault="00F56745">
            <w:pPr>
              <w:pStyle w:val="Compact"/>
              <w:jc w:val="right"/>
            </w:pPr>
            <w:r>
              <w:t>-0.039790</w:t>
            </w:r>
          </w:p>
        </w:tc>
        <w:tc>
          <w:tcPr>
            <w:tcW w:w="0" w:type="auto"/>
          </w:tcPr>
          <w:p w:rsidR="0057735F" w:rsidRDefault="00F56745">
            <w:pPr>
              <w:pStyle w:val="Compact"/>
              <w:jc w:val="right"/>
            </w:pPr>
            <w:r>
              <w:t>0.0548307</w:t>
            </w:r>
          </w:p>
        </w:tc>
      </w:tr>
      <w:tr w:rsidR="0057735F">
        <w:tc>
          <w:tcPr>
            <w:tcW w:w="0" w:type="auto"/>
          </w:tcPr>
          <w:p w:rsidR="0057735F" w:rsidRDefault="00F56745">
            <w:pPr>
              <w:pStyle w:val="Compact"/>
            </w:pPr>
            <w:r>
              <w:t>Violent Crime</w:t>
            </w:r>
          </w:p>
        </w:tc>
        <w:tc>
          <w:tcPr>
            <w:tcW w:w="0" w:type="auto"/>
          </w:tcPr>
          <w:p w:rsidR="0057735F" w:rsidRDefault="00F56745">
            <w:pPr>
              <w:pStyle w:val="Compact"/>
              <w:jc w:val="right"/>
            </w:pPr>
            <w:r>
              <w:t>-0.069040</w:t>
            </w:r>
          </w:p>
        </w:tc>
        <w:tc>
          <w:tcPr>
            <w:tcW w:w="0" w:type="auto"/>
          </w:tcPr>
          <w:p w:rsidR="0057735F" w:rsidRDefault="00F56745">
            <w:pPr>
              <w:pStyle w:val="Compact"/>
              <w:jc w:val="right"/>
            </w:pPr>
            <w:r>
              <w:t>-0.107230</w:t>
            </w:r>
          </w:p>
        </w:tc>
        <w:tc>
          <w:tcPr>
            <w:tcW w:w="0" w:type="auto"/>
          </w:tcPr>
          <w:p w:rsidR="0057735F" w:rsidRDefault="00F56745">
            <w:pPr>
              <w:pStyle w:val="Compact"/>
              <w:jc w:val="right"/>
            </w:pPr>
            <w:r>
              <w:t>0.038184</w:t>
            </w:r>
          </w:p>
        </w:tc>
        <w:tc>
          <w:tcPr>
            <w:tcW w:w="0" w:type="auto"/>
          </w:tcPr>
          <w:p w:rsidR="0057735F" w:rsidRDefault="00F56745">
            <w:pPr>
              <w:pStyle w:val="Compact"/>
              <w:jc w:val="right"/>
            </w:pPr>
            <w:r>
              <w:t>0.1641667</w:t>
            </w:r>
          </w:p>
        </w:tc>
      </w:tr>
      <w:tr w:rsidR="0057735F">
        <w:tc>
          <w:tcPr>
            <w:tcW w:w="0" w:type="auto"/>
          </w:tcPr>
          <w:p w:rsidR="0057735F" w:rsidRDefault="00F56745">
            <w:pPr>
              <w:pStyle w:val="Compact"/>
            </w:pPr>
            <w:r>
              <w:t>Non Violent Crime</w:t>
            </w:r>
          </w:p>
        </w:tc>
        <w:tc>
          <w:tcPr>
            <w:tcW w:w="0" w:type="auto"/>
          </w:tcPr>
          <w:p w:rsidR="0057735F" w:rsidRDefault="00F56745">
            <w:pPr>
              <w:pStyle w:val="Compact"/>
              <w:jc w:val="right"/>
            </w:pPr>
            <w:r>
              <w:t>-0.165050</w:t>
            </w:r>
          </w:p>
        </w:tc>
        <w:tc>
          <w:tcPr>
            <w:tcW w:w="0" w:type="auto"/>
          </w:tcPr>
          <w:p w:rsidR="0057735F" w:rsidRDefault="00F56745">
            <w:pPr>
              <w:pStyle w:val="Compact"/>
              <w:jc w:val="right"/>
            </w:pPr>
            <w:r>
              <w:t>-0.186780</w:t>
            </w:r>
          </w:p>
        </w:tc>
        <w:tc>
          <w:tcPr>
            <w:tcW w:w="0" w:type="auto"/>
          </w:tcPr>
          <w:p w:rsidR="0057735F" w:rsidRDefault="00F56745">
            <w:pPr>
              <w:pStyle w:val="Compact"/>
              <w:jc w:val="right"/>
            </w:pPr>
            <w:r>
              <w:t>0.021725</w:t>
            </w:r>
          </w:p>
        </w:tc>
        <w:tc>
          <w:tcPr>
            <w:tcW w:w="0" w:type="auto"/>
          </w:tcPr>
          <w:p w:rsidR="0057735F" w:rsidRDefault="00F56745">
            <w:pPr>
              <w:pStyle w:val="Compact"/>
              <w:jc w:val="right"/>
            </w:pPr>
            <w:r>
              <w:t>0.3493958</w:t>
            </w:r>
          </w:p>
        </w:tc>
      </w:tr>
      <w:tr w:rsidR="0057735F">
        <w:tc>
          <w:tcPr>
            <w:tcW w:w="0" w:type="auto"/>
          </w:tcPr>
          <w:p w:rsidR="0057735F" w:rsidRDefault="00F56745">
            <w:pPr>
              <w:pStyle w:val="Compact"/>
            </w:pPr>
            <w:r>
              <w:t>All Crimes</w:t>
            </w:r>
          </w:p>
        </w:tc>
        <w:tc>
          <w:tcPr>
            <w:tcW w:w="0" w:type="auto"/>
          </w:tcPr>
          <w:p w:rsidR="0057735F" w:rsidRDefault="00F56745">
            <w:pPr>
              <w:pStyle w:val="Compact"/>
              <w:jc w:val="right"/>
            </w:pPr>
            <w:r>
              <w:t>-0.234100</w:t>
            </w:r>
          </w:p>
        </w:tc>
        <w:tc>
          <w:tcPr>
            <w:tcW w:w="0" w:type="auto"/>
          </w:tcPr>
          <w:p w:rsidR="0057735F" w:rsidRDefault="00F56745">
            <w:pPr>
              <w:pStyle w:val="Compact"/>
              <w:jc w:val="right"/>
            </w:pPr>
            <w:r>
              <w:t>-0.294000</w:t>
            </w:r>
          </w:p>
        </w:tc>
        <w:tc>
          <w:tcPr>
            <w:tcW w:w="0" w:type="auto"/>
          </w:tcPr>
          <w:p w:rsidR="0057735F" w:rsidRDefault="00F56745">
            <w:pPr>
              <w:pStyle w:val="Compact"/>
              <w:jc w:val="right"/>
            </w:pPr>
            <w:r>
              <w:t>0.059909</w:t>
            </w:r>
          </w:p>
        </w:tc>
        <w:tc>
          <w:tcPr>
            <w:tcW w:w="0" w:type="auto"/>
          </w:tcPr>
          <w:p w:rsidR="0057735F" w:rsidRDefault="00F56745">
            <w:pPr>
              <w:pStyle w:val="Compact"/>
              <w:jc w:val="right"/>
            </w:pPr>
            <w:r>
              <w:t>0.2109585</w:t>
            </w:r>
          </w:p>
        </w:tc>
      </w:tr>
    </w:tbl>
    <w:p w:rsidR="0057735F" w:rsidRDefault="00F56745">
      <w:pPr>
        <w:pStyle w:val="BodyText"/>
      </w:pPr>
      <w:r>
        <w:t xml:space="preserve">There are a couple of notable results. First, the number of total crimes decreases more around control lots (-0.29) than around greened lots (-0.23), and the difference in differences is +0.06. This means even though crime had reduced around greened lots, </w:t>
      </w:r>
      <w:r>
        <w:t>greened lots had on average 0.06 more crimes than the control lots. In other words, greening seems to have slowed down the crime reduction that would have taken place otherwise. The crimetypes with significant positive difference in differences (at a 5% co</w:t>
      </w:r>
      <w:r>
        <w:t>nfidence level) were the number of aggravated assaults (0.10) and public drinking (0.01). The crimetypes with significant negative difference in differences (at a 5% confidence level) were disorderly conduct and robberies. This initial analysis seems to su</w:t>
      </w:r>
      <w:r>
        <w:t>ggest that greening actually increases the total number of crimes, particularly aggravated assaults and public drinking, relative to control vacant lots.</w:t>
      </w:r>
    </w:p>
    <w:p w:rsidR="0057735F" w:rsidRDefault="00F56745">
      <w:pPr>
        <w:pStyle w:val="BodyText"/>
      </w:pPr>
      <w:r>
        <w:t>This analysis has one big shortcoming, Namely, we’ve assumed that control lots and vacant lots are dir</w:t>
      </w:r>
      <w:r>
        <w:t>ectly comparable and the only difference between them is that some of them were greened. However, greened lots and control lots as an aggregate tend to be located in different kinds of neighborhoods. Below is a comparison of the socioeconomic characteristi</w:t>
      </w:r>
      <w:r>
        <w:t>cs of the average neighborhood that control lots and greened lots are located in. Control vacant lots tend to be in neighborhoods with higher poverty rates, higher share of black residents, lower share of white residents and lower college education rates t</w:t>
      </w:r>
      <w:r>
        <w:t xml:space="preserve">han the average neighborhood in Philadelphia. Greened lots tend to be in neighborhoods with even higher poverty rates, even higher share of black residents, even lower share of white residents and even lower college education rates. We needed </w:t>
      </w:r>
      <w:r>
        <w:lastRenderedPageBreak/>
        <w:t>a way of meas</w:t>
      </w:r>
      <w:r>
        <w:t>uring crime change while also taking into account the different surrounding neighborhoods of greened and control vacant lots.</w:t>
      </w:r>
    </w:p>
    <w:p w:rsidR="0057735F" w:rsidRDefault="00F56745" w:rsidP="00CF5FB8">
      <w:pPr>
        <w:pStyle w:val="BodyText"/>
        <w:ind w:firstLine="0"/>
      </w:pPr>
      <w:r>
        <w:rPr>
          <w:noProof/>
        </w:rPr>
        <w:drawing>
          <wp:inline distT="0" distB="0" distL="0" distR="0">
            <wp:extent cx="5943600" cy="34075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ajjit/Google%20Drive/Documents/vacant_lots_final/vacant-lots-project/writeup/graphs/demo_profil_lots.png"/>
                    <pic:cNvPicPr>
                      <a:picLocks noChangeAspect="1" noChangeArrowheads="1"/>
                    </pic:cNvPicPr>
                  </pic:nvPicPr>
                  <pic:blipFill>
                    <a:blip r:embed="rId9"/>
                    <a:stretch>
                      <a:fillRect/>
                    </a:stretch>
                  </pic:blipFill>
                  <pic:spPr bwMode="auto">
                    <a:xfrm>
                      <a:off x="0" y="0"/>
                      <a:ext cx="5943600" cy="3407553"/>
                    </a:xfrm>
                    <a:prstGeom prst="rect">
                      <a:avLst/>
                    </a:prstGeom>
                    <a:noFill/>
                    <a:ln w="9525">
                      <a:noFill/>
                      <a:headEnd/>
                      <a:tailEnd/>
                    </a:ln>
                  </pic:spPr>
                </pic:pic>
              </a:graphicData>
            </a:graphic>
          </wp:inline>
        </w:drawing>
      </w:r>
    </w:p>
    <w:p w:rsidR="0057735F" w:rsidRDefault="00F56745">
      <w:pPr>
        <w:pStyle w:val="BodyText"/>
      </w:pPr>
      <w:r>
        <w:t xml:space="preserve">So, we decided to create a crime metric for each lot that takes into account the crime change in the surrounding neighborhoods. </w:t>
      </w:r>
      <w:r>
        <w:t>Namely, we created a standardized crime change metric that was the difference in crimes at a 70 meter buffer minus the number of crimes at a 500 meter buffer. The difference in crimes was standardized per square kilometer - that is divided by the area of t</w:t>
      </w:r>
      <w:r>
        <w:t>he buffer in square kilometers - so that the differences in crimes could be directly comparable across different buffer sizes. The difference in number of crimes at a 500 meter buffer tells us about the neighborhood level crime trends. And the difference i</w:t>
      </w:r>
      <w:r>
        <w:t>n number of crimes at a 70 meter buffer tells us about the localized crime trends around a vacant lot. The differences between these differences will tell us what the additive effect of greening is relative to the neighborhood crime trends. Below are the m</w:t>
      </w:r>
      <w:r>
        <w:t>ean standardized differences in number of crimes per 10,000 meters for greened vacant lots and control vacant lots broken down by crimetype, along with the Wilcoxon rank-sum test’s p-value for the differences in differences.</w:t>
      </w:r>
    </w:p>
    <w:tbl>
      <w:tblPr>
        <w:tblW w:w="4999" w:type="pct"/>
        <w:tblLook w:val="07E0" w:firstRow="1" w:lastRow="1" w:firstColumn="1" w:lastColumn="1" w:noHBand="1" w:noVBand="1"/>
      </w:tblPr>
      <w:tblGrid>
        <w:gridCol w:w="1787"/>
        <w:gridCol w:w="2341"/>
        <w:gridCol w:w="2306"/>
        <w:gridCol w:w="1774"/>
        <w:gridCol w:w="1366"/>
      </w:tblGrid>
      <w:tr w:rsidR="0057735F">
        <w:tc>
          <w:tcPr>
            <w:tcW w:w="0" w:type="auto"/>
            <w:tcBorders>
              <w:bottom w:val="single" w:sz="0" w:space="0" w:color="auto"/>
            </w:tcBorders>
            <w:vAlign w:val="bottom"/>
          </w:tcPr>
          <w:p w:rsidR="0057735F" w:rsidRDefault="00F56745">
            <w:pPr>
              <w:pStyle w:val="Compact"/>
            </w:pPr>
            <w:r>
              <w:t>Crimetype</w:t>
            </w:r>
          </w:p>
        </w:tc>
        <w:tc>
          <w:tcPr>
            <w:tcW w:w="0" w:type="auto"/>
            <w:tcBorders>
              <w:bottom w:val="single" w:sz="0" w:space="0" w:color="auto"/>
            </w:tcBorders>
            <w:vAlign w:val="bottom"/>
          </w:tcPr>
          <w:p w:rsidR="0057735F" w:rsidRDefault="00F56745">
            <w:pPr>
              <w:pStyle w:val="Compact"/>
              <w:jc w:val="right"/>
            </w:pPr>
            <w:r>
              <w:t>Standardized differen</w:t>
            </w:r>
            <w:r>
              <w:t>ce (greened)</w:t>
            </w:r>
          </w:p>
        </w:tc>
        <w:tc>
          <w:tcPr>
            <w:tcW w:w="0" w:type="auto"/>
            <w:tcBorders>
              <w:bottom w:val="single" w:sz="0" w:space="0" w:color="auto"/>
            </w:tcBorders>
            <w:vAlign w:val="bottom"/>
          </w:tcPr>
          <w:p w:rsidR="0057735F" w:rsidRDefault="00F56745">
            <w:pPr>
              <w:pStyle w:val="Compact"/>
              <w:jc w:val="right"/>
            </w:pPr>
            <w:r>
              <w:t>Standardized difference (control)</w:t>
            </w:r>
          </w:p>
        </w:tc>
        <w:tc>
          <w:tcPr>
            <w:tcW w:w="0" w:type="auto"/>
            <w:tcBorders>
              <w:bottom w:val="single" w:sz="0" w:space="0" w:color="auto"/>
            </w:tcBorders>
            <w:vAlign w:val="bottom"/>
          </w:tcPr>
          <w:p w:rsidR="0057735F" w:rsidRDefault="00F56745">
            <w:pPr>
              <w:pStyle w:val="Compact"/>
              <w:jc w:val="right"/>
            </w:pPr>
            <w:r>
              <w:t>Difference in Difference</w:t>
            </w:r>
          </w:p>
        </w:tc>
        <w:tc>
          <w:tcPr>
            <w:tcW w:w="0" w:type="auto"/>
            <w:tcBorders>
              <w:bottom w:val="single" w:sz="0" w:space="0" w:color="auto"/>
            </w:tcBorders>
            <w:vAlign w:val="bottom"/>
          </w:tcPr>
          <w:p w:rsidR="0057735F" w:rsidRDefault="00F56745">
            <w:pPr>
              <w:pStyle w:val="Compact"/>
              <w:jc w:val="right"/>
            </w:pPr>
            <w:r>
              <w:t>Wilcox test p value</w:t>
            </w:r>
          </w:p>
        </w:tc>
      </w:tr>
      <w:tr w:rsidR="0057735F">
        <w:tc>
          <w:tcPr>
            <w:tcW w:w="0" w:type="auto"/>
          </w:tcPr>
          <w:p w:rsidR="0057735F" w:rsidRDefault="00F56745">
            <w:pPr>
              <w:pStyle w:val="Compact"/>
            </w:pPr>
            <w:r>
              <w:t>Aggravated Assaults</w:t>
            </w:r>
          </w:p>
        </w:tc>
        <w:tc>
          <w:tcPr>
            <w:tcW w:w="0" w:type="auto"/>
          </w:tcPr>
          <w:p w:rsidR="0057735F" w:rsidRDefault="00F56745">
            <w:pPr>
              <w:pStyle w:val="Compact"/>
              <w:jc w:val="right"/>
            </w:pPr>
            <w:r>
              <w:t>4.506</w:t>
            </w:r>
          </w:p>
        </w:tc>
        <w:tc>
          <w:tcPr>
            <w:tcW w:w="0" w:type="auto"/>
          </w:tcPr>
          <w:p w:rsidR="0057735F" w:rsidRDefault="00F56745">
            <w:pPr>
              <w:pStyle w:val="Compact"/>
              <w:jc w:val="right"/>
            </w:pPr>
            <w:r>
              <w:t>-2.364</w:t>
            </w:r>
          </w:p>
        </w:tc>
        <w:tc>
          <w:tcPr>
            <w:tcW w:w="0" w:type="auto"/>
          </w:tcPr>
          <w:p w:rsidR="0057735F" w:rsidRDefault="00F56745">
            <w:pPr>
              <w:pStyle w:val="Compact"/>
              <w:jc w:val="right"/>
            </w:pPr>
            <w:r>
              <w:t>6.870</w:t>
            </w:r>
          </w:p>
        </w:tc>
        <w:tc>
          <w:tcPr>
            <w:tcW w:w="0" w:type="auto"/>
          </w:tcPr>
          <w:p w:rsidR="0057735F" w:rsidRDefault="00F56745">
            <w:pPr>
              <w:pStyle w:val="Compact"/>
              <w:jc w:val="right"/>
            </w:pPr>
            <w:r>
              <w:t>0.000</w:t>
            </w:r>
          </w:p>
        </w:tc>
      </w:tr>
      <w:tr w:rsidR="0057735F">
        <w:tc>
          <w:tcPr>
            <w:tcW w:w="0" w:type="auto"/>
          </w:tcPr>
          <w:p w:rsidR="0057735F" w:rsidRDefault="00F56745">
            <w:pPr>
              <w:pStyle w:val="Compact"/>
            </w:pPr>
            <w:r>
              <w:lastRenderedPageBreak/>
              <w:t>Burglaries</w:t>
            </w:r>
          </w:p>
        </w:tc>
        <w:tc>
          <w:tcPr>
            <w:tcW w:w="0" w:type="auto"/>
          </w:tcPr>
          <w:p w:rsidR="0057735F" w:rsidRDefault="00F56745">
            <w:pPr>
              <w:pStyle w:val="Compact"/>
              <w:jc w:val="right"/>
            </w:pPr>
            <w:r>
              <w:t>-1.850</w:t>
            </w:r>
          </w:p>
        </w:tc>
        <w:tc>
          <w:tcPr>
            <w:tcW w:w="0" w:type="auto"/>
          </w:tcPr>
          <w:p w:rsidR="0057735F" w:rsidRDefault="00F56745">
            <w:pPr>
              <w:pStyle w:val="Compact"/>
              <w:jc w:val="right"/>
            </w:pPr>
            <w:r>
              <w:t>-2.446</w:t>
            </w:r>
          </w:p>
        </w:tc>
        <w:tc>
          <w:tcPr>
            <w:tcW w:w="0" w:type="auto"/>
          </w:tcPr>
          <w:p w:rsidR="0057735F" w:rsidRDefault="00F56745">
            <w:pPr>
              <w:pStyle w:val="Compact"/>
              <w:jc w:val="right"/>
            </w:pPr>
            <w:r>
              <w:t>0.596</w:t>
            </w:r>
          </w:p>
        </w:tc>
        <w:tc>
          <w:tcPr>
            <w:tcW w:w="0" w:type="auto"/>
          </w:tcPr>
          <w:p w:rsidR="0057735F" w:rsidRDefault="00F56745">
            <w:pPr>
              <w:pStyle w:val="Compact"/>
              <w:jc w:val="right"/>
            </w:pPr>
            <w:r>
              <w:t>0.514</w:t>
            </w:r>
          </w:p>
        </w:tc>
      </w:tr>
      <w:tr w:rsidR="0057735F">
        <w:tc>
          <w:tcPr>
            <w:tcW w:w="0" w:type="auto"/>
          </w:tcPr>
          <w:p w:rsidR="0057735F" w:rsidRDefault="00F56745">
            <w:pPr>
              <w:pStyle w:val="Compact"/>
            </w:pPr>
            <w:r>
              <w:t>Disorderly Conduct</w:t>
            </w:r>
          </w:p>
        </w:tc>
        <w:tc>
          <w:tcPr>
            <w:tcW w:w="0" w:type="auto"/>
          </w:tcPr>
          <w:p w:rsidR="0057735F" w:rsidRDefault="00F56745">
            <w:pPr>
              <w:pStyle w:val="Compact"/>
              <w:jc w:val="right"/>
            </w:pPr>
            <w:r>
              <w:t>-2.350</w:t>
            </w:r>
          </w:p>
        </w:tc>
        <w:tc>
          <w:tcPr>
            <w:tcW w:w="0" w:type="auto"/>
          </w:tcPr>
          <w:p w:rsidR="0057735F" w:rsidRDefault="00F56745">
            <w:pPr>
              <w:pStyle w:val="Compact"/>
              <w:jc w:val="right"/>
            </w:pPr>
            <w:r>
              <w:t>0.329</w:t>
            </w:r>
          </w:p>
        </w:tc>
        <w:tc>
          <w:tcPr>
            <w:tcW w:w="0" w:type="auto"/>
          </w:tcPr>
          <w:p w:rsidR="0057735F" w:rsidRDefault="00F56745">
            <w:pPr>
              <w:pStyle w:val="Compact"/>
              <w:jc w:val="right"/>
            </w:pPr>
            <w:r>
              <w:t>-2.678</w:t>
            </w:r>
          </w:p>
        </w:tc>
        <w:tc>
          <w:tcPr>
            <w:tcW w:w="0" w:type="auto"/>
          </w:tcPr>
          <w:p w:rsidR="0057735F" w:rsidRDefault="00F56745">
            <w:pPr>
              <w:pStyle w:val="Compact"/>
              <w:jc w:val="right"/>
            </w:pPr>
            <w:r>
              <w:t>0.996</w:t>
            </w:r>
          </w:p>
        </w:tc>
      </w:tr>
      <w:tr w:rsidR="0057735F">
        <w:tc>
          <w:tcPr>
            <w:tcW w:w="0" w:type="auto"/>
          </w:tcPr>
          <w:p w:rsidR="0057735F" w:rsidRDefault="00F56745">
            <w:pPr>
              <w:pStyle w:val="Compact"/>
            </w:pPr>
            <w:r>
              <w:t>Homicides</w:t>
            </w:r>
          </w:p>
        </w:tc>
        <w:tc>
          <w:tcPr>
            <w:tcW w:w="0" w:type="auto"/>
          </w:tcPr>
          <w:p w:rsidR="0057735F" w:rsidRDefault="00F56745">
            <w:pPr>
              <w:pStyle w:val="Compact"/>
              <w:jc w:val="right"/>
            </w:pPr>
            <w:r>
              <w:t>0.826</w:t>
            </w:r>
          </w:p>
        </w:tc>
        <w:tc>
          <w:tcPr>
            <w:tcW w:w="0" w:type="auto"/>
          </w:tcPr>
          <w:p w:rsidR="0057735F" w:rsidRDefault="00F56745">
            <w:pPr>
              <w:pStyle w:val="Compact"/>
              <w:jc w:val="right"/>
            </w:pPr>
            <w:r>
              <w:t>0.058</w:t>
            </w:r>
          </w:p>
        </w:tc>
        <w:tc>
          <w:tcPr>
            <w:tcW w:w="0" w:type="auto"/>
          </w:tcPr>
          <w:p w:rsidR="0057735F" w:rsidRDefault="00F56745">
            <w:pPr>
              <w:pStyle w:val="Compact"/>
              <w:jc w:val="right"/>
            </w:pPr>
            <w:r>
              <w:t>0.769</w:t>
            </w:r>
          </w:p>
        </w:tc>
        <w:tc>
          <w:tcPr>
            <w:tcW w:w="0" w:type="auto"/>
          </w:tcPr>
          <w:p w:rsidR="0057735F" w:rsidRDefault="00F56745">
            <w:pPr>
              <w:pStyle w:val="Compact"/>
              <w:jc w:val="right"/>
            </w:pPr>
            <w:r>
              <w:t>0.012</w:t>
            </w:r>
          </w:p>
        </w:tc>
      </w:tr>
      <w:tr w:rsidR="0057735F">
        <w:tc>
          <w:tcPr>
            <w:tcW w:w="0" w:type="auto"/>
          </w:tcPr>
          <w:p w:rsidR="0057735F" w:rsidRDefault="00F56745">
            <w:pPr>
              <w:pStyle w:val="Compact"/>
            </w:pPr>
            <w:r>
              <w:t>Public Drinking</w:t>
            </w:r>
          </w:p>
        </w:tc>
        <w:tc>
          <w:tcPr>
            <w:tcW w:w="0" w:type="auto"/>
          </w:tcPr>
          <w:p w:rsidR="0057735F" w:rsidRDefault="00F56745">
            <w:pPr>
              <w:pStyle w:val="Compact"/>
              <w:jc w:val="right"/>
            </w:pPr>
            <w:r>
              <w:t>0.241</w:t>
            </w:r>
          </w:p>
        </w:tc>
        <w:tc>
          <w:tcPr>
            <w:tcW w:w="0" w:type="auto"/>
          </w:tcPr>
          <w:p w:rsidR="0057735F" w:rsidRDefault="00F56745">
            <w:pPr>
              <w:pStyle w:val="Compact"/>
              <w:jc w:val="right"/>
            </w:pPr>
            <w:r>
              <w:t>-0.297</w:t>
            </w:r>
          </w:p>
        </w:tc>
        <w:tc>
          <w:tcPr>
            <w:tcW w:w="0" w:type="auto"/>
          </w:tcPr>
          <w:p w:rsidR="0057735F" w:rsidRDefault="00F56745">
            <w:pPr>
              <w:pStyle w:val="Compact"/>
              <w:jc w:val="right"/>
            </w:pPr>
            <w:r>
              <w:t>0.537</w:t>
            </w:r>
          </w:p>
        </w:tc>
        <w:tc>
          <w:tcPr>
            <w:tcW w:w="0" w:type="auto"/>
          </w:tcPr>
          <w:p w:rsidR="0057735F" w:rsidRDefault="00F56745">
            <w:pPr>
              <w:pStyle w:val="Compact"/>
              <w:jc w:val="right"/>
            </w:pPr>
            <w:r>
              <w:t>0.600</w:t>
            </w:r>
          </w:p>
        </w:tc>
      </w:tr>
      <w:tr w:rsidR="0057735F">
        <w:tc>
          <w:tcPr>
            <w:tcW w:w="0" w:type="auto"/>
          </w:tcPr>
          <w:p w:rsidR="0057735F" w:rsidRDefault="00F56745">
            <w:pPr>
              <w:pStyle w:val="Compact"/>
            </w:pPr>
            <w:r>
              <w:t>Robberies</w:t>
            </w:r>
          </w:p>
        </w:tc>
        <w:tc>
          <w:tcPr>
            <w:tcW w:w="0" w:type="auto"/>
          </w:tcPr>
          <w:p w:rsidR="0057735F" w:rsidRDefault="00F56745">
            <w:pPr>
              <w:pStyle w:val="Compact"/>
              <w:jc w:val="right"/>
            </w:pPr>
            <w:r>
              <w:t>-5.029</w:t>
            </w:r>
          </w:p>
        </w:tc>
        <w:tc>
          <w:tcPr>
            <w:tcW w:w="0" w:type="auto"/>
          </w:tcPr>
          <w:p w:rsidR="0057735F" w:rsidRDefault="00F56745">
            <w:pPr>
              <w:pStyle w:val="Compact"/>
              <w:jc w:val="right"/>
            </w:pPr>
            <w:r>
              <w:t>-0.512</w:t>
            </w:r>
          </w:p>
        </w:tc>
        <w:tc>
          <w:tcPr>
            <w:tcW w:w="0" w:type="auto"/>
          </w:tcPr>
          <w:p w:rsidR="0057735F" w:rsidRDefault="00F56745">
            <w:pPr>
              <w:pStyle w:val="Compact"/>
              <w:jc w:val="right"/>
            </w:pPr>
            <w:r>
              <w:t>-4.517</w:t>
            </w:r>
          </w:p>
        </w:tc>
        <w:tc>
          <w:tcPr>
            <w:tcW w:w="0" w:type="auto"/>
          </w:tcPr>
          <w:p w:rsidR="0057735F" w:rsidRDefault="00F56745">
            <w:pPr>
              <w:pStyle w:val="Compact"/>
              <w:jc w:val="right"/>
            </w:pPr>
            <w:r>
              <w:t>0.036</w:t>
            </w:r>
          </w:p>
        </w:tc>
      </w:tr>
      <w:tr w:rsidR="0057735F">
        <w:tc>
          <w:tcPr>
            <w:tcW w:w="0" w:type="auto"/>
          </w:tcPr>
          <w:p w:rsidR="0057735F" w:rsidRDefault="00F56745">
            <w:pPr>
              <w:pStyle w:val="Compact"/>
            </w:pPr>
            <w:r>
              <w:t>Thefts</w:t>
            </w:r>
          </w:p>
        </w:tc>
        <w:tc>
          <w:tcPr>
            <w:tcW w:w="0" w:type="auto"/>
          </w:tcPr>
          <w:p w:rsidR="0057735F" w:rsidRDefault="00F56745">
            <w:pPr>
              <w:pStyle w:val="Compact"/>
              <w:jc w:val="right"/>
            </w:pPr>
            <w:r>
              <w:t>-2.577</w:t>
            </w:r>
          </w:p>
        </w:tc>
        <w:tc>
          <w:tcPr>
            <w:tcW w:w="0" w:type="auto"/>
          </w:tcPr>
          <w:p w:rsidR="0057735F" w:rsidRDefault="00F56745">
            <w:pPr>
              <w:pStyle w:val="Compact"/>
              <w:jc w:val="right"/>
            </w:pPr>
            <w:r>
              <w:t>0.302</w:t>
            </w:r>
          </w:p>
        </w:tc>
        <w:tc>
          <w:tcPr>
            <w:tcW w:w="0" w:type="auto"/>
          </w:tcPr>
          <w:p w:rsidR="0057735F" w:rsidRDefault="00F56745">
            <w:pPr>
              <w:pStyle w:val="Compact"/>
              <w:jc w:val="right"/>
            </w:pPr>
            <w:r>
              <w:t>-2.878</w:t>
            </w:r>
          </w:p>
        </w:tc>
        <w:tc>
          <w:tcPr>
            <w:tcW w:w="0" w:type="auto"/>
          </w:tcPr>
          <w:p w:rsidR="0057735F" w:rsidRDefault="00F56745">
            <w:pPr>
              <w:pStyle w:val="Compact"/>
              <w:jc w:val="right"/>
            </w:pPr>
            <w:r>
              <w:t>0.060</w:t>
            </w:r>
          </w:p>
        </w:tc>
      </w:tr>
      <w:tr w:rsidR="0057735F">
        <w:tc>
          <w:tcPr>
            <w:tcW w:w="0" w:type="auto"/>
          </w:tcPr>
          <w:p w:rsidR="0057735F" w:rsidRDefault="00F56745">
            <w:pPr>
              <w:pStyle w:val="Compact"/>
            </w:pPr>
            <w:r>
              <w:t>Violent Crimes</w:t>
            </w:r>
          </w:p>
        </w:tc>
        <w:tc>
          <w:tcPr>
            <w:tcW w:w="0" w:type="auto"/>
          </w:tcPr>
          <w:p w:rsidR="0057735F" w:rsidRDefault="00F56745">
            <w:pPr>
              <w:pStyle w:val="Compact"/>
              <w:jc w:val="right"/>
            </w:pPr>
            <w:r>
              <w:t>0.304</w:t>
            </w:r>
          </w:p>
        </w:tc>
        <w:tc>
          <w:tcPr>
            <w:tcW w:w="0" w:type="auto"/>
          </w:tcPr>
          <w:p w:rsidR="0057735F" w:rsidRDefault="00F56745">
            <w:pPr>
              <w:pStyle w:val="Compact"/>
              <w:jc w:val="right"/>
            </w:pPr>
            <w:r>
              <w:t>-2.818</w:t>
            </w:r>
          </w:p>
        </w:tc>
        <w:tc>
          <w:tcPr>
            <w:tcW w:w="0" w:type="auto"/>
          </w:tcPr>
          <w:p w:rsidR="0057735F" w:rsidRDefault="00F56745">
            <w:pPr>
              <w:pStyle w:val="Compact"/>
              <w:jc w:val="right"/>
            </w:pPr>
            <w:r>
              <w:t>3.122</w:t>
            </w:r>
          </w:p>
        </w:tc>
        <w:tc>
          <w:tcPr>
            <w:tcW w:w="0" w:type="auto"/>
          </w:tcPr>
          <w:p w:rsidR="0057735F" w:rsidRDefault="00F56745">
            <w:pPr>
              <w:pStyle w:val="Compact"/>
              <w:jc w:val="right"/>
            </w:pPr>
            <w:r>
              <w:t>0.057</w:t>
            </w:r>
          </w:p>
        </w:tc>
      </w:tr>
      <w:tr w:rsidR="0057735F">
        <w:tc>
          <w:tcPr>
            <w:tcW w:w="0" w:type="auto"/>
          </w:tcPr>
          <w:p w:rsidR="0057735F" w:rsidRDefault="00F56745">
            <w:pPr>
              <w:pStyle w:val="Compact"/>
            </w:pPr>
            <w:r>
              <w:t>Non Violent Crimes</w:t>
            </w:r>
          </w:p>
        </w:tc>
        <w:tc>
          <w:tcPr>
            <w:tcW w:w="0" w:type="auto"/>
          </w:tcPr>
          <w:p w:rsidR="0057735F" w:rsidRDefault="00F56745">
            <w:pPr>
              <w:pStyle w:val="Compact"/>
              <w:jc w:val="right"/>
            </w:pPr>
            <w:r>
              <w:t>-6.536</w:t>
            </w:r>
          </w:p>
        </w:tc>
        <w:tc>
          <w:tcPr>
            <w:tcW w:w="0" w:type="auto"/>
          </w:tcPr>
          <w:p w:rsidR="0057735F" w:rsidRDefault="00F56745">
            <w:pPr>
              <w:pStyle w:val="Compact"/>
              <w:jc w:val="right"/>
            </w:pPr>
            <w:r>
              <w:t>-2.113</w:t>
            </w:r>
          </w:p>
        </w:tc>
        <w:tc>
          <w:tcPr>
            <w:tcW w:w="0" w:type="auto"/>
          </w:tcPr>
          <w:p w:rsidR="0057735F" w:rsidRDefault="00F56745">
            <w:pPr>
              <w:pStyle w:val="Compact"/>
              <w:jc w:val="right"/>
            </w:pPr>
            <w:r>
              <w:t>-4.423</w:t>
            </w:r>
          </w:p>
        </w:tc>
        <w:tc>
          <w:tcPr>
            <w:tcW w:w="0" w:type="auto"/>
          </w:tcPr>
          <w:p w:rsidR="0057735F" w:rsidRDefault="00F56745">
            <w:pPr>
              <w:pStyle w:val="Compact"/>
              <w:jc w:val="right"/>
            </w:pPr>
            <w:r>
              <w:t>0.477</w:t>
            </w:r>
          </w:p>
        </w:tc>
      </w:tr>
      <w:tr w:rsidR="0057735F">
        <w:tc>
          <w:tcPr>
            <w:tcW w:w="0" w:type="auto"/>
          </w:tcPr>
          <w:p w:rsidR="0057735F" w:rsidRDefault="00F56745">
            <w:pPr>
              <w:pStyle w:val="Compact"/>
            </w:pPr>
            <w:r>
              <w:t>All</w:t>
            </w:r>
          </w:p>
        </w:tc>
        <w:tc>
          <w:tcPr>
            <w:tcW w:w="0" w:type="auto"/>
          </w:tcPr>
          <w:p w:rsidR="0057735F" w:rsidRDefault="00F56745">
            <w:pPr>
              <w:pStyle w:val="Compact"/>
              <w:jc w:val="right"/>
            </w:pPr>
            <w:r>
              <w:t>-6.232</w:t>
            </w:r>
          </w:p>
        </w:tc>
        <w:tc>
          <w:tcPr>
            <w:tcW w:w="0" w:type="auto"/>
          </w:tcPr>
          <w:p w:rsidR="0057735F" w:rsidRDefault="00F56745">
            <w:pPr>
              <w:pStyle w:val="Compact"/>
              <w:jc w:val="right"/>
            </w:pPr>
            <w:r>
              <w:t>-4.931</w:t>
            </w:r>
          </w:p>
        </w:tc>
        <w:tc>
          <w:tcPr>
            <w:tcW w:w="0" w:type="auto"/>
          </w:tcPr>
          <w:p w:rsidR="0057735F" w:rsidRDefault="00F56745">
            <w:pPr>
              <w:pStyle w:val="Compact"/>
              <w:jc w:val="right"/>
            </w:pPr>
            <w:r>
              <w:t>-1.302</w:t>
            </w:r>
          </w:p>
        </w:tc>
        <w:tc>
          <w:tcPr>
            <w:tcW w:w="0" w:type="auto"/>
          </w:tcPr>
          <w:p w:rsidR="0057735F" w:rsidRDefault="00F56745">
            <w:pPr>
              <w:pStyle w:val="Compact"/>
              <w:jc w:val="right"/>
            </w:pPr>
            <w:r>
              <w:t>0.991</w:t>
            </w:r>
          </w:p>
        </w:tc>
      </w:tr>
    </w:tbl>
    <w:p w:rsidR="0057735F" w:rsidRDefault="00F56745">
      <w:pPr>
        <w:pStyle w:val="BodyText"/>
      </w:pPr>
      <w:r>
        <w:t>For greened lots, all crimes except for aggravated assaults, homicides and public drinking went down in relation to the neighborhood level crime trends. And for control lots, all crimes except for homicides, disorderly conduct and thefts went down in relat</w:t>
      </w:r>
      <w:r>
        <w:t>ion to the neighborhood level crime trends. Since homicides are a low frequency and unpredictable crime type, this result should not be read into too much. Finally the difference in differences - which can be thought of as the additive effect of greening o</w:t>
      </w:r>
      <w:r>
        <w:t>n crime in relation to neighborhood level crime trends and control vacant lots - show similar results to the unstandardized results above. Namely, the number of disorderly conduct, robberies and thefts went down while the number of burglaries, homicides, a</w:t>
      </w:r>
      <w:r>
        <w:t>nd public drinking went slightly up. Interestingly, the total number of crimes and non violent crimes go down (thought not at a statistically significant level), in contrast to the unstandardized analysis above. This is because while the signs are the same</w:t>
      </w:r>
      <w:r>
        <w:t xml:space="preserve"> between the unstandardized and standardized analyses, the magnitudes of the negative results are larger in the standardized analysis.</w:t>
      </w:r>
    </w:p>
    <w:p w:rsidR="0057735F" w:rsidRDefault="00F56745">
      <w:pPr>
        <w:pStyle w:val="BodyText"/>
      </w:pPr>
      <w:r>
        <w:t>The big takeaway is that greening reduces the number of non violent crimes - mainly through reductions in disorderly cond</w:t>
      </w:r>
      <w:r>
        <w:t>uct citations, thefts and robberies - after taking into account crime trends in the surrounding neighborhood and crime trends around control vacant lots. These results are for the most part statistically significant at the 5% level. There are also statisti</w:t>
      </w:r>
      <w:r>
        <w:t>cally insignificant increases in the number of burglaries, homicides, public drinking citations, total violent crimes and a large and statistically significant increase in the number of aggravated assaults.</w:t>
      </w:r>
    </w:p>
    <w:p w:rsidR="0057735F" w:rsidRDefault="00F56745">
      <w:pPr>
        <w:pStyle w:val="BodyText"/>
      </w:pPr>
      <w:r>
        <w:lastRenderedPageBreak/>
        <w:t xml:space="preserve">For robustness, we replicated the above analysis </w:t>
      </w:r>
      <w:r>
        <w:t>at a buffer distance of 150 meters instead of 70 meters, and the results stayed mostly the same. For the actual results, consult Part C of the Appendix.</w:t>
      </w:r>
    </w:p>
    <w:p w:rsidR="0057735F" w:rsidRDefault="00F56745">
      <w:pPr>
        <w:pStyle w:val="Heading2"/>
      </w:pPr>
      <w:bookmarkStart w:id="9" w:name="conclusion"/>
      <w:r>
        <w:t>Conclusion</w:t>
      </w:r>
      <w:bookmarkEnd w:id="9"/>
    </w:p>
    <w:p w:rsidR="0057735F" w:rsidRDefault="00F56745">
      <w:pPr>
        <w:pStyle w:val="Heading2"/>
      </w:pPr>
      <w:bookmarkStart w:id="10" w:name="works-cited"/>
      <w:r>
        <w:t>Works Cited</w:t>
      </w:r>
      <w:bookmarkEnd w:id="10"/>
    </w:p>
    <w:p w:rsidR="0057735F" w:rsidRDefault="00F56745">
      <w:pPr>
        <w:pStyle w:val="Bibliography"/>
      </w:pPr>
      <w:bookmarkStart w:id="11" w:name="ref-anderson18much"/>
      <w:bookmarkStart w:id="12" w:name="refs"/>
      <w:r>
        <w:t xml:space="preserve">Anderson, J (2018). Much to do about (vacant) lots. </w:t>
      </w:r>
      <w:r>
        <w:rPr>
          <w:i/>
        </w:rPr>
        <w:t>Next City</w:t>
      </w:r>
      <w:r>
        <w:t>.</w:t>
      </w:r>
    </w:p>
    <w:p w:rsidR="0057735F" w:rsidRDefault="00F56745">
      <w:pPr>
        <w:pStyle w:val="Bibliography"/>
      </w:pPr>
      <w:bookmarkStart w:id="13" w:name="ref-branas2011difference"/>
      <w:bookmarkEnd w:id="11"/>
      <w:r>
        <w:t>Branas, CC, RA Ch</w:t>
      </w:r>
      <w:r>
        <w:t xml:space="preserve">eney, JM MacDonald, VW Tam, TD Jackson, and TR Ten Have (2011). A difference-in-differences analysis of health, safety, and greening vacant urban space. </w:t>
      </w:r>
      <w:r>
        <w:rPr>
          <w:i/>
        </w:rPr>
        <w:t>American journal of epidemiology</w:t>
      </w:r>
      <w:r>
        <w:t>, 174(11), 1296–1306.</w:t>
      </w:r>
    </w:p>
    <w:p w:rsidR="0057735F" w:rsidRDefault="00F56745">
      <w:pPr>
        <w:pStyle w:val="Bibliography"/>
      </w:pPr>
      <w:bookmarkStart w:id="14" w:name="ref-detroitfuture17green"/>
      <w:bookmarkEnd w:id="13"/>
      <w:r>
        <w:t xml:space="preserve">Detroit Future City (2017). </w:t>
      </w:r>
      <w:r>
        <w:rPr>
          <w:i/>
        </w:rPr>
        <w:t>A dfc special report:</w:t>
      </w:r>
      <w:r>
        <w:rPr>
          <w:i/>
        </w:rPr>
        <w:t xml:space="preserve"> Green culture shift</w:t>
      </w:r>
      <w:r>
        <w:t>.</w:t>
      </w:r>
    </w:p>
    <w:p w:rsidR="0057735F" w:rsidRDefault="00F56745">
      <w:pPr>
        <w:pStyle w:val="Bibliography"/>
      </w:pPr>
      <w:bookmarkStart w:id="15" w:name="ref-donovan2012effect"/>
      <w:bookmarkEnd w:id="14"/>
      <w:r>
        <w:t xml:space="preserve">Donovan, GH, and JP Prestemon (2012). The effect of trees on crime in portland, oregon. </w:t>
      </w:r>
      <w:r>
        <w:rPr>
          <w:i/>
        </w:rPr>
        <w:t>Environment and Behavior</w:t>
      </w:r>
      <w:r>
        <w:t>, 44(1), 3–30.</w:t>
      </w:r>
    </w:p>
    <w:p w:rsidR="0057735F" w:rsidRDefault="00F56745">
      <w:pPr>
        <w:pStyle w:val="Bibliography"/>
      </w:pPr>
      <w:bookmarkStart w:id="16" w:name="ref-econsult10vacant"/>
      <w:bookmarkStart w:id="17" w:name="_GoBack"/>
      <w:bookmarkEnd w:id="15"/>
      <w:bookmarkEnd w:id="17"/>
      <w:r>
        <w:t xml:space="preserve">Econsult Corporation, Penn Institute for Urban Research, and M8 Consulting (2010). </w:t>
      </w:r>
      <w:r>
        <w:rPr>
          <w:i/>
        </w:rPr>
        <w:t>Vacant land management i</w:t>
      </w:r>
      <w:r>
        <w:rPr>
          <w:i/>
        </w:rPr>
        <w:t>n philadelphia: The costs of the current system and the need for reform</w:t>
      </w:r>
      <w:r>
        <w:t>.</w:t>
      </w:r>
    </w:p>
    <w:p w:rsidR="0057735F" w:rsidRDefault="00F56745">
      <w:pPr>
        <w:pStyle w:val="Bibliography"/>
      </w:pPr>
      <w:bookmarkStart w:id="18" w:name="ref-garvin2013greening"/>
      <w:bookmarkEnd w:id="16"/>
      <w:r>
        <w:t xml:space="preserve">Garvin, EC, CC Cannuscio, and CC Branas (2013). Greening vacant lots to reduce violent crime: A randomised controlled trial. </w:t>
      </w:r>
      <w:r>
        <w:rPr>
          <w:i/>
        </w:rPr>
        <w:t>Injury prevention</w:t>
      </w:r>
      <w:r>
        <w:t>, 19(3), 198–203.</w:t>
      </w:r>
    </w:p>
    <w:p w:rsidR="0057735F" w:rsidRDefault="00F56745">
      <w:pPr>
        <w:pStyle w:val="Bibliography"/>
      </w:pPr>
      <w:bookmarkStart w:id="19" w:name="ref-goodyear13acre"/>
      <w:bookmarkEnd w:id="18"/>
      <w:r>
        <w:t>Goodyear, S (2013). A 1</w:t>
      </w:r>
      <w:r>
        <w:t xml:space="preserve">40-acre forest is about to materialize in the middle of detroit. </w:t>
      </w:r>
      <w:r>
        <w:rPr>
          <w:i/>
        </w:rPr>
        <w:t>Citylab</w:t>
      </w:r>
      <w:r>
        <w:t>.</w:t>
      </w:r>
    </w:p>
    <w:p w:rsidR="0057735F" w:rsidRDefault="00F56745">
      <w:pPr>
        <w:pStyle w:val="Bibliography"/>
      </w:pPr>
      <w:bookmarkStart w:id="20" w:name="ref-jackson2013health"/>
      <w:bookmarkEnd w:id="19"/>
      <w:r>
        <w:t xml:space="preserve">Jackson, RJ, AL Dannenberg, and H Frumkin (2013). Health and the built environment: 10 years after. </w:t>
      </w:r>
      <w:r>
        <w:rPr>
          <w:i/>
        </w:rPr>
        <w:t>American journal of public health</w:t>
      </w:r>
      <w:r>
        <w:t>, 103(9), 1542–1544.</w:t>
      </w:r>
    </w:p>
    <w:p w:rsidR="0057735F" w:rsidRDefault="00F56745">
      <w:pPr>
        <w:pStyle w:val="Bibliography"/>
      </w:pPr>
      <w:bookmarkStart w:id="21" w:name="ref-kaplan1989experience"/>
      <w:bookmarkEnd w:id="20"/>
      <w:r>
        <w:t>Kaplan, R, and S Kaplan (198</w:t>
      </w:r>
      <w:r>
        <w:t xml:space="preserve">9). </w:t>
      </w:r>
      <w:r>
        <w:rPr>
          <w:i/>
        </w:rPr>
        <w:t>The experience of nature: A psychological perspective</w:t>
      </w:r>
      <w:r>
        <w:t>. CUP Archive.</w:t>
      </w:r>
    </w:p>
    <w:p w:rsidR="0057735F" w:rsidRDefault="00F56745">
      <w:pPr>
        <w:pStyle w:val="Bibliography"/>
      </w:pPr>
      <w:bookmarkStart w:id="22" w:name="ref-kuo2001environment"/>
      <w:bookmarkEnd w:id="21"/>
      <w:r>
        <w:t xml:space="preserve">Kuo, FE, and WC Sullivan (2001a). Environment and crime in the inner city: Does vegetation reduce crime? </w:t>
      </w:r>
      <w:r>
        <w:rPr>
          <w:i/>
        </w:rPr>
        <w:t>Environment and behavior</w:t>
      </w:r>
      <w:r>
        <w:t>, 33(3), 343–367.</w:t>
      </w:r>
    </w:p>
    <w:p w:rsidR="0057735F" w:rsidRDefault="00F56745">
      <w:pPr>
        <w:pStyle w:val="Bibliography"/>
      </w:pPr>
      <w:bookmarkStart w:id="23" w:name="ref-kuo2001aggression"/>
      <w:bookmarkEnd w:id="22"/>
      <w:r>
        <w:t>Kuo, FE, and WC Sullivan (2001b). Aggression and violence in the inner city: Effects of environment via menta</w:t>
      </w:r>
      <w:r>
        <w:t xml:space="preserve">l fatigue. </w:t>
      </w:r>
      <w:r>
        <w:rPr>
          <w:i/>
        </w:rPr>
        <w:t>Environment and behavior</w:t>
      </w:r>
      <w:r>
        <w:t>, 33(4), 543–571.</w:t>
      </w:r>
    </w:p>
    <w:p w:rsidR="0057735F" w:rsidRDefault="00F56745">
      <w:pPr>
        <w:pStyle w:val="Bibliography"/>
      </w:pPr>
      <w:bookmarkStart w:id="24" w:name="ref-schilling2008greening"/>
      <w:bookmarkEnd w:id="23"/>
      <w:r>
        <w:t xml:space="preserve">Schilling, J, and J Logan (2008). Greening the rust belt: A green infrastructure model for right sizing america’s shrinking cities. </w:t>
      </w:r>
      <w:r>
        <w:rPr>
          <w:i/>
        </w:rPr>
        <w:t>Journal of the American Planning Association</w:t>
      </w:r>
      <w:r>
        <w:t>, 74(4), 451–466.</w:t>
      </w:r>
    </w:p>
    <w:p w:rsidR="0057735F" w:rsidRDefault="00F56745">
      <w:pPr>
        <w:pStyle w:val="Bibliography"/>
      </w:pPr>
      <w:bookmarkStart w:id="25" w:name="ref-schmelzkopf1995urban"/>
      <w:bookmarkEnd w:id="24"/>
      <w:r>
        <w:t>Schmelzko</w:t>
      </w:r>
      <w:r>
        <w:t xml:space="preserve">pf, K (1995). Urban community gardens as contested space. </w:t>
      </w:r>
      <w:r>
        <w:rPr>
          <w:i/>
        </w:rPr>
        <w:t>Geographical review</w:t>
      </w:r>
      <w:r>
        <w:t>, 364–381.</w:t>
      </w:r>
    </w:p>
    <w:p w:rsidR="0057735F" w:rsidRDefault="00F56745">
      <w:pPr>
        <w:pStyle w:val="Bibliography"/>
      </w:pPr>
      <w:bookmarkStart w:id="26" w:name="ref-snelgrove2004urban"/>
      <w:bookmarkEnd w:id="25"/>
      <w:r>
        <w:lastRenderedPageBreak/>
        <w:t xml:space="preserve">Snelgrove, A, J Michael, T Waliczek, and J Zajicek (2004). Urban greening and criminal behavior: A geographic information system perspective. </w:t>
      </w:r>
      <w:r>
        <w:rPr>
          <w:i/>
        </w:rPr>
        <w:t>HortTechnology</w:t>
      </w:r>
      <w:r>
        <w:t>, 14(1), 48–</w:t>
      </w:r>
      <w:r>
        <w:t>51.</w:t>
      </w:r>
    </w:p>
    <w:p w:rsidR="0057735F" w:rsidRDefault="00F56745">
      <w:pPr>
        <w:pStyle w:val="Bibliography"/>
      </w:pPr>
      <w:bookmarkStart w:id="27" w:name="ref-south2015neighborhood"/>
      <w:bookmarkEnd w:id="26"/>
      <w:r>
        <w:t xml:space="preserve">South, EC, MC Kondo, RA Cheney, and CC Branas (2015). Neighborhood blight, stress, and health: A walking trial of urban greening and ambulatory heart rate. </w:t>
      </w:r>
      <w:r>
        <w:rPr>
          <w:i/>
        </w:rPr>
        <w:t>American Journal of Public Health</w:t>
      </w:r>
      <w:r>
        <w:t>, 105(5), 909–913.</w:t>
      </w:r>
    </w:p>
    <w:p w:rsidR="0057735F" w:rsidRDefault="00F56745">
      <w:pPr>
        <w:pStyle w:val="Bibliography"/>
      </w:pPr>
      <w:bookmarkStart w:id="28" w:name="ref-nationalvacant05vacant"/>
      <w:bookmarkEnd w:id="27"/>
      <w:r>
        <w:t xml:space="preserve">Vacant Property Campaign’ (2005). </w:t>
      </w:r>
      <w:r>
        <w:rPr>
          <w:i/>
        </w:rPr>
        <w:t>Vacant pro</w:t>
      </w:r>
      <w:r>
        <w:rPr>
          <w:i/>
        </w:rPr>
        <w:t>perties: The true cost to communities</w:t>
      </w:r>
      <w:r>
        <w:t>.</w:t>
      </w:r>
    </w:p>
    <w:p w:rsidR="0057735F" w:rsidRDefault="00F56745">
      <w:pPr>
        <w:pStyle w:val="Bibliography"/>
      </w:pPr>
      <w:bookmarkStart w:id="29" w:name="ref-wolch2005parks"/>
      <w:bookmarkEnd w:id="28"/>
      <w:r>
        <w:t xml:space="preserve">Wolch, J, JP Wilson, and J Fehrenbach (2005). Parks and park funding in los angeles: An equity-mapping analysis. </w:t>
      </w:r>
      <w:r>
        <w:rPr>
          <w:i/>
        </w:rPr>
        <w:t>Urban geography</w:t>
      </w:r>
      <w:r>
        <w:t>, 26(1), 4–35.</w:t>
      </w:r>
    </w:p>
    <w:p w:rsidR="0057735F" w:rsidRDefault="00F56745">
      <w:pPr>
        <w:pStyle w:val="Bibliography"/>
      </w:pPr>
      <w:bookmarkStart w:id="30" w:name="ref-wolfe2012does"/>
      <w:bookmarkEnd w:id="29"/>
      <w:r>
        <w:t>Wolfe, MK, and J Mennis (2012). Does vegetation encourage or suppress urba</w:t>
      </w:r>
      <w:r>
        <w:t xml:space="preserve">n crime? Evidence from philadelphia, pa. </w:t>
      </w:r>
      <w:r>
        <w:rPr>
          <w:i/>
        </w:rPr>
        <w:t>Landscape and Urban Planning</w:t>
      </w:r>
      <w:r>
        <w:t>, 108(2-4), 112–122.</w:t>
      </w:r>
      <w:bookmarkEnd w:id="12"/>
      <w:bookmarkEnd w:id="30"/>
    </w:p>
    <w:sectPr w:rsidR="005773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745" w:rsidRDefault="00F56745">
      <w:pPr>
        <w:spacing w:after="0"/>
      </w:pPr>
      <w:r>
        <w:separator/>
      </w:r>
    </w:p>
  </w:endnote>
  <w:endnote w:type="continuationSeparator" w:id="0">
    <w:p w:rsidR="00F56745" w:rsidRDefault="00F567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745" w:rsidRDefault="00F56745">
      <w:r>
        <w:separator/>
      </w:r>
    </w:p>
  </w:footnote>
  <w:footnote w:type="continuationSeparator" w:id="0">
    <w:p w:rsidR="00F56745" w:rsidRDefault="00F56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C68FE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22CA12D6"/>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7C"/>
    <w:multiLevelType w:val="singleLevel"/>
    <w:tmpl w:val="F21A636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62856D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A64FEB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23C15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2FA24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72CB69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ED074D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5B0929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13AEEB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FA8354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A9FE0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F0A4609"/>
    <w:multiLevelType w:val="multilevel"/>
    <w:tmpl w:val="E9B8E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46F40F0"/>
    <w:multiLevelType w:val="multilevel"/>
    <w:tmpl w:val="E53A93F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48262F26"/>
    <w:multiLevelType w:val="multilevel"/>
    <w:tmpl w:val="1958CD0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6" w15:restartNumberingAfterBreak="0">
    <w:nsid w:val="6D551922"/>
    <w:multiLevelType w:val="hybridMultilevel"/>
    <w:tmpl w:val="E96EB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
  </w:num>
  <w:num w:numId="14">
    <w:abstractNumId w:val="16"/>
  </w:num>
  <w:num w:numId="15">
    <w:abstractNumId w:val="15"/>
  </w:num>
  <w:num w:numId="16">
    <w:abstractNumId w:val="14"/>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735F"/>
    <w:rsid w:val="00590D07"/>
    <w:rsid w:val="00784D58"/>
    <w:rsid w:val="008D6863"/>
    <w:rsid w:val="00B86B75"/>
    <w:rsid w:val="00BC48D5"/>
    <w:rsid w:val="00C36279"/>
    <w:rsid w:val="00CF5FB8"/>
    <w:rsid w:val="00E315A3"/>
    <w:rsid w:val="00F567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E1F135-B8FD-4322-B913-EFB0983B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6BFC"/>
    <w:pPr>
      <w:keepNext/>
      <w:keepLines/>
      <w:spacing w:before="480" w:after="0"/>
      <w:outlineLvl w:val="0"/>
    </w:pPr>
    <w:rPr>
      <w:rFonts w:ascii="Palatino Linotype" w:eastAsiaTheme="majorEastAsia" w:hAnsi="Palatino Linotype" w:cstheme="majorBidi"/>
      <w:b/>
      <w:bCs/>
      <w:color w:val="000000" w:themeColor="text1"/>
      <w:sz w:val="32"/>
      <w:szCs w:val="32"/>
    </w:rPr>
  </w:style>
  <w:style w:type="paragraph" w:styleId="Heading2">
    <w:name w:val="heading 2"/>
    <w:basedOn w:val="Heading1"/>
    <w:next w:val="BodyText"/>
    <w:uiPriority w:val="9"/>
    <w:unhideWhenUsed/>
    <w:qFormat/>
    <w:rsid w:val="00A151A5"/>
    <w:pPr>
      <w:outlineLvl w:val="1"/>
    </w:pPr>
  </w:style>
  <w:style w:type="paragraph" w:styleId="Heading3">
    <w:name w:val="heading 3"/>
    <w:basedOn w:val="Normal"/>
    <w:next w:val="BodyText"/>
    <w:uiPriority w:val="9"/>
    <w:unhideWhenUsed/>
    <w:qFormat/>
    <w:rsid w:val="00A151A5"/>
    <w:pPr>
      <w:keepNext/>
      <w:keepLines/>
      <w:spacing w:before="200" w:after="0"/>
      <w:outlineLvl w:val="2"/>
    </w:pPr>
    <w:rPr>
      <w:rFonts w:ascii="Palatino Linotype" w:eastAsiaTheme="majorEastAsia" w:hAnsi="Palatino Linotype"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BodyText"/>
    <w:next w:val="BodyText"/>
    <w:uiPriority w:val="9"/>
    <w:unhideWhenUsed/>
    <w:qFormat/>
    <w:rsid w:val="00F76BFC"/>
    <w:pPr>
      <w:pageBreakBefore/>
      <w:ind w:firstLine="0"/>
      <w:jc w:val="center"/>
      <w:outlineLvl w:val="4"/>
    </w:pPr>
    <w:rPr>
      <w:b/>
      <w:i/>
      <w:sz w:val="32"/>
      <w:szCs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C2C6C"/>
    <w:pPr>
      <w:spacing w:before="180" w:after="180"/>
      <w:ind w:firstLine="720"/>
    </w:pPr>
    <w:rPr>
      <w:rFonts w:ascii="Palatino Linotype" w:hAnsi="Palatino Linotype"/>
    </w:rPr>
  </w:style>
  <w:style w:type="paragraph" w:customStyle="1" w:styleId="FirstParagraph">
    <w:name w:val="First Paragraph"/>
    <w:basedOn w:val="BodyText"/>
    <w:next w:val="BodyText"/>
    <w:qFormat/>
    <w:rsid w:val="00F76BFC"/>
  </w:style>
  <w:style w:type="paragraph" w:customStyle="1" w:styleId="Compact">
    <w:name w:val="Compact"/>
    <w:basedOn w:val="BodyText"/>
    <w:qFormat/>
    <w:rsid w:val="00FA6EB4"/>
    <w:pPr>
      <w:spacing w:before="36" w:after="36"/>
      <w:ind w:firstLine="0"/>
    </w:pPr>
  </w:style>
  <w:style w:type="paragraph" w:styleId="Title">
    <w:name w:val="Title"/>
    <w:basedOn w:val="Normal"/>
    <w:next w:val="BodyText"/>
    <w:qFormat/>
    <w:rsid w:val="00F76BFC"/>
    <w:pPr>
      <w:keepNext/>
      <w:keepLines/>
      <w:spacing w:before="480" w:after="240"/>
      <w:jc w:val="center"/>
    </w:pPr>
    <w:rPr>
      <w:rFonts w:ascii="Palatino Linotype" w:eastAsiaTheme="majorEastAsia" w:hAnsi="Palatino Linotype"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743A7"/>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169C2"/>
    <w:pPr>
      <w:spacing w:after="0"/>
    </w:pPr>
    <w:rPr>
      <w:rFonts w:ascii="Segoe UI" w:hAnsi="Segoe UI" w:cs="Segoe UI"/>
      <w:sz w:val="18"/>
      <w:szCs w:val="18"/>
    </w:rPr>
  </w:style>
  <w:style w:type="character" w:customStyle="1" w:styleId="BodyTextChar">
    <w:name w:val="Body Text Char"/>
    <w:basedOn w:val="DefaultParagraphFont"/>
    <w:link w:val="BodyText"/>
    <w:rsid w:val="004C2C6C"/>
    <w:rPr>
      <w:rFonts w:ascii="Palatino Linotype" w:hAnsi="Palatino Linotype"/>
    </w:rPr>
  </w:style>
  <w:style w:type="character" w:customStyle="1" w:styleId="BalloonTextChar">
    <w:name w:val="Balloon Text Char"/>
    <w:basedOn w:val="DefaultParagraphFont"/>
    <w:link w:val="BalloonText"/>
    <w:semiHidden/>
    <w:rsid w:val="007169C2"/>
    <w:rPr>
      <w:rFonts w:ascii="Segoe UI" w:hAnsi="Segoe UI" w:cs="Segoe UI"/>
      <w:sz w:val="18"/>
      <w:szCs w:val="18"/>
    </w:rPr>
  </w:style>
  <w:style w:type="table" w:customStyle="1" w:styleId="TableNormal0">
    <w:name w:val="TableNormal"/>
    <w:basedOn w:val="TableElegant"/>
    <w:uiPriority w:val="99"/>
    <w:rsid w:val="002D3E35"/>
    <w:rPr>
      <w:rFonts w:ascii="Palatino Linotype" w:hAnsi="Palatino Linotype"/>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FBFBF" w:themeFill="background1" w:themeFillShade="BF"/>
    </w:tcPr>
    <w:tblStylePr w:type="firstRow">
      <w:rPr>
        <w:caps/>
        <w:color w:val="auto"/>
      </w:rPr>
      <w:tblPr/>
      <w:tcPr>
        <w:tcBorders>
          <w:top w:val="single" w:sz="8" w:space="0" w:color="C0504D" w:themeColor="accent2"/>
          <w:left w:val="single" w:sz="8" w:space="0" w:color="C0504D" w:themeColor="accent2"/>
          <w:bottom w:val="single" w:sz="12" w:space="0" w:color="000000"/>
          <w:right w:val="single" w:sz="8" w:space="0" w:color="C0504D" w:themeColor="accent2"/>
          <w:insideH w:val="nil"/>
          <w:insideV w:val="single" w:sz="8" w:space="0" w:color="C0504D" w:themeColor="accent2"/>
          <w:tl2br w:val="none" w:sz="0" w:space="0" w:color="auto"/>
          <w:tr2bl w:val="none" w:sz="0" w:space="0" w:color="auto"/>
        </w:tcBorders>
        <w:shd w:val="solid" w:color="800000" w:fill="FFFFFF"/>
      </w:tcPr>
    </w:tblStylePr>
    <w:tblStylePr w:type="lastRow">
      <w:tblPr/>
      <w:tcPr>
        <w:tcBorders>
          <w:top w:val="double" w:sz="2" w:space="0" w:color="95B3D7" w:themeColor="accent1" w:themeTint="99"/>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shd w:val="clear" w:color="auto" w:fill="FFFFFF" w:themeFill="background1"/>
      </w:tcPr>
    </w:tblStylePr>
    <w:tblStylePr w:type="firstCol">
      <w:tblPr/>
      <w:tcPr>
        <w:tcBorders>
          <w:tl2br w:val="none" w:sz="0" w:space="0" w:color="auto"/>
          <w:tr2bl w:val="none" w:sz="0" w:space="0" w:color="auto"/>
        </w:tcBorders>
      </w:tcPr>
    </w:tblStylePr>
    <w:tblStylePr w:type="lastCol">
      <w:tblPr/>
      <w:tcPr>
        <w:tcBorders>
          <w:top w:val="single" w:sz="8" w:space="0" w:color="C0504D" w:themeColor="accent2"/>
          <w:left w:val="single" w:sz="8" w:space="0" w:color="C0504D" w:themeColor="accent2"/>
          <w:bottom w:val="single" w:sz="8" w:space="0" w:color="C0504D" w:themeColor="accent2"/>
          <w:right w:val="single" w:sz="8" w:space="0" w:color="C0504D" w:themeColor="accent2"/>
          <w:tl2br w:val="none" w:sz="0" w:space="0" w:color="auto"/>
          <w:tr2bl w:val="none" w:sz="0" w:space="0" w:color="auto"/>
        </w:tcBorders>
        <w:shd w:val="solid" w:color="C0C0C0" w:fill="FFFFFF"/>
      </w:tc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5DFEC" w:themeFill="accent4" w:themeFillTint="33"/>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tblStylePr w:type="swCell">
      <w:tblPr/>
      <w:tcPr>
        <w:tcBorders>
          <w:tl2br w:val="none" w:sz="0" w:space="0" w:color="auto"/>
          <w:tr2bl w:val="none" w:sz="0" w:space="0" w:color="auto"/>
        </w:tcBorders>
      </w:tcPr>
    </w:tblStylePr>
  </w:style>
  <w:style w:type="table" w:styleId="TableGrid">
    <w:name w:val="Table Grid"/>
    <w:basedOn w:val="TableNormal"/>
    <w:rsid w:val="002D3E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3FBE"/>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Elegant">
    <w:name w:val="Table Elegant"/>
    <w:basedOn w:val="TableNormal"/>
    <w:semiHidden/>
    <w:unhideWhenUsed/>
    <w:rsid w:val="002D3E3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3845</Words>
  <Characters>21921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test-options</vt:lpstr>
    </vt:vector>
  </TitlesOfParts>
  <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Vacant Lot Greening and Crime</dc:title>
  <dc:creator>Ajjit Narayanan</dc:creator>
  <cp:keywords/>
  <cp:lastModifiedBy>Ajjit Narayanan</cp:lastModifiedBy>
  <cp:revision>2</cp:revision>
  <dcterms:created xsi:type="dcterms:W3CDTF">2018-12-01T01:06:00Z</dcterms:created>
  <dcterms:modified xsi:type="dcterms:W3CDTF">2018-12-01T01:08:00Z</dcterms:modified>
</cp:coreProperties>
</file>