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Corporate Auditing — Domain Fundamentals</w:t>
      </w:r>
    </w:p>
    <w:p>
      <w:r>
        <w:t>A plain-English guide to internal audit, audit entities, controls and risk assessment</w:t>
      </w:r>
    </w:p>
    <w:p>
      <w:r>
        <w:t>Team discussion draft  |  28 October 2026  |  Examples are illustrative; validate project-specific details</w:t>
      </w:r>
    </w:p>
    <w:p>
      <w:pPr>
        <w:pStyle w:val="Heading1"/>
      </w:pPr>
      <w:r>
        <w:t>Executive overview</w:t>
      </w:r>
    </w:p>
    <w:p>
      <w:r>
        <w:t>Corporate auditing is an independent way for an organization to examine its important business activities, identify risks, check whether controls work, and recommend improvements. An audit universe is the list of subjects that may be audited. Risk assessment helps prioritize these subjects. Audit planning then determines which areas to review and when.</w:t>
      </w:r>
    </w:p>
    <w:p>
      <w:r>
        <w:t>Important distinction: An audit entity is a business area, process, system, location or function that may be audited. An audit is a particular review or engagement of that entity. Detailed testing and findings belong to audit execution.</w:t>
      </w:r>
    </w:p>
    <w:p>
      <w:pPr>
        <w:pStyle w:val="Heading1"/>
      </w:pPr>
      <w:r>
        <w:t>1 | Understanding the audit domain</w:t>
      </w:r>
    </w:p>
    <w:p>
      <w:pPr>
        <w:pStyle w:val="Heading2"/>
      </w:pPr>
      <w:r>
        <w:t>1.1 Why organizations perform internal audits</w:t>
      </w:r>
    </w:p>
    <w:p>
      <w:pPr>
        <w:pStyle w:val="ListBullet"/>
      </w:pPr>
      <w:r>
        <w:t>Identify significant risks before they become serious problems.</w:t>
      </w:r>
    </w:p>
    <w:p>
      <w:pPr>
        <w:pStyle w:val="ListBullet"/>
      </w:pPr>
      <w:r>
        <w:t>Check whether business controls reduce those risks as intended.</w:t>
      </w:r>
    </w:p>
    <w:p>
      <w:pPr>
        <w:pStyle w:val="ListBullet"/>
      </w:pPr>
      <w:r>
        <w:t>Provide independent observations and recommendations to management and audit committees.</w:t>
      </w:r>
    </w:p>
    <w:p>
      <w:pPr>
        <w:pStyle w:val="ListBullet"/>
      </w:pPr>
      <w:r>
        <w:t>Prioritize audit attention where risk and business impact are highest.</w:t>
      </w:r>
    </w:p>
    <w:p>
      <w:pPr>
        <w:pStyle w:val="Heading2"/>
      </w:pPr>
      <w:r>
        <w:t>1.2 Core terms in plain English</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pPr>
              <w:spacing w:after="20"/>
            </w:pPr>
            <w:r>
              <w:t>Term</w:t>
            </w:r>
          </w:p>
        </w:tc>
        <w:tc>
          <w:tcPr>
            <w:tcW w:type="dxa" w:w="3264"/>
          </w:tcPr>
          <w:p>
            <w:pPr>
              <w:spacing w:after="20"/>
            </w:pPr>
            <w:r>
              <w:t>Meaning</w:t>
            </w:r>
          </w:p>
        </w:tc>
        <w:tc>
          <w:tcPr>
            <w:tcW w:type="dxa" w:w="3264"/>
          </w:tcPr>
          <w:p>
            <w:pPr>
              <w:spacing w:after="20"/>
            </w:pPr>
            <w:r>
              <w:t>Simple example</w:t>
            </w:r>
          </w:p>
        </w:tc>
      </w:tr>
      <w:tr>
        <w:tc>
          <w:tcPr>
            <w:tcW w:type="dxa" w:w="3264"/>
          </w:tcPr>
          <w:p>
            <w:pPr>
              <w:spacing w:after="20"/>
            </w:pPr>
            <w:r>
              <w:t>Audit universe</w:t>
            </w:r>
          </w:p>
        </w:tc>
        <w:tc>
          <w:tcPr>
            <w:tcW w:type="dxa" w:w="3264"/>
          </w:tcPr>
          <w:p>
            <w:pPr>
              <w:spacing w:after="20"/>
            </w:pPr>
            <w:r>
              <w:t>Complete inventory of potential audit subjects.</w:t>
            </w:r>
          </w:p>
        </w:tc>
        <w:tc>
          <w:tcPr>
            <w:tcW w:type="dxa" w:w="3264"/>
          </w:tcPr>
          <w:p>
            <w:pPr>
              <w:spacing w:after="20"/>
            </w:pPr>
            <w:r>
              <w:t>Payments, identity access, vendor management, lending.</w:t>
            </w:r>
          </w:p>
        </w:tc>
      </w:tr>
      <w:tr>
        <w:tc>
          <w:tcPr>
            <w:tcW w:type="dxa" w:w="3264"/>
          </w:tcPr>
          <w:p>
            <w:pPr>
              <w:spacing w:after="20"/>
            </w:pPr>
            <w:r>
              <w:t>Audit entity (AE)</w:t>
            </w:r>
          </w:p>
        </w:tc>
        <w:tc>
          <w:tcPr>
            <w:tcW w:type="dxa" w:w="3264"/>
          </w:tcPr>
          <w:p>
            <w:pPr>
              <w:spacing w:after="20"/>
            </w:pPr>
            <w:r>
              <w:t>A unit that can be assessed and included in audit planning.</w:t>
            </w:r>
          </w:p>
        </w:tc>
        <w:tc>
          <w:tcPr>
            <w:tcW w:type="dxa" w:w="3264"/>
          </w:tcPr>
          <w:p>
            <w:pPr>
              <w:spacing w:after="20"/>
            </w:pPr>
            <w:r>
              <w:t>Third-Party Vendor Management process.</w:t>
            </w:r>
          </w:p>
        </w:tc>
      </w:tr>
      <w:tr>
        <w:tc>
          <w:tcPr>
            <w:tcW w:type="dxa" w:w="3264"/>
          </w:tcPr>
          <w:p>
            <w:pPr>
              <w:spacing w:after="20"/>
            </w:pPr>
            <w:r>
              <w:t>Attribute</w:t>
            </w:r>
          </w:p>
        </w:tc>
        <w:tc>
          <w:tcPr>
            <w:tcW w:type="dxa" w:w="3264"/>
          </w:tcPr>
          <w:p>
            <w:pPr>
              <w:spacing w:after="20"/>
            </w:pPr>
            <w:r>
              <w:t>A descriptive property used to organize or analyze an AE.</w:t>
            </w:r>
          </w:p>
        </w:tc>
        <w:tc>
          <w:tcPr>
            <w:tcW w:type="dxa" w:w="3264"/>
          </w:tcPr>
          <w:p>
            <w:pPr>
              <w:spacing w:after="20"/>
            </w:pPr>
            <w:r>
              <w:t>Business unit, region, regulatory impact.</w:t>
            </w:r>
          </w:p>
        </w:tc>
      </w:tr>
      <w:tr>
        <w:tc>
          <w:tcPr>
            <w:tcW w:type="dxa" w:w="3264"/>
          </w:tcPr>
          <w:p>
            <w:pPr>
              <w:spacing w:after="20"/>
            </w:pPr>
            <w:r>
              <w:t>Risk</w:t>
            </w:r>
          </w:p>
        </w:tc>
        <w:tc>
          <w:tcPr>
            <w:tcW w:type="dxa" w:w="3264"/>
          </w:tcPr>
          <w:p>
            <w:pPr>
              <w:spacing w:after="20"/>
            </w:pPr>
            <w:r>
              <w:t>Something that could prevent business objectives being met.</w:t>
            </w:r>
          </w:p>
        </w:tc>
        <w:tc>
          <w:tcPr>
            <w:tcW w:type="dxa" w:w="3264"/>
          </w:tcPr>
          <w:p>
            <w:pPr>
              <w:spacing w:after="20"/>
            </w:pPr>
            <w:r>
              <w:t>Unauthorized access to financial data.</w:t>
            </w:r>
          </w:p>
        </w:tc>
      </w:tr>
      <w:tr>
        <w:tc>
          <w:tcPr>
            <w:tcW w:type="dxa" w:w="3264"/>
          </w:tcPr>
          <w:p>
            <w:pPr>
              <w:spacing w:after="20"/>
            </w:pPr>
            <w:r>
              <w:t>Control</w:t>
            </w:r>
          </w:p>
        </w:tc>
        <w:tc>
          <w:tcPr>
            <w:tcW w:type="dxa" w:w="3264"/>
          </w:tcPr>
          <w:p>
            <w:pPr>
              <w:spacing w:after="20"/>
            </w:pPr>
            <w:r>
              <w:t>A rule, procedure or technical measure that reduces risk.</w:t>
            </w:r>
          </w:p>
        </w:tc>
        <w:tc>
          <w:tcPr>
            <w:tcW w:type="dxa" w:w="3264"/>
          </w:tcPr>
          <w:p>
            <w:pPr>
              <w:spacing w:after="20"/>
            </w:pPr>
            <w:r>
              <w:t>Quarterly access reviews.</w:t>
            </w:r>
          </w:p>
        </w:tc>
      </w:tr>
      <w:tr>
        <w:tc>
          <w:tcPr>
            <w:tcW w:type="dxa" w:w="3264"/>
          </w:tcPr>
          <w:p>
            <w:pPr>
              <w:spacing w:after="20"/>
            </w:pPr>
            <w:r>
              <w:t>Risk assessment</w:t>
            </w:r>
          </w:p>
        </w:tc>
        <w:tc>
          <w:tcPr>
            <w:tcW w:type="dxa" w:w="3264"/>
          </w:tcPr>
          <w:p>
            <w:pPr>
              <w:spacing w:after="20"/>
            </w:pPr>
            <w:r>
              <w:t>A structured evaluation of exposure and priority.</w:t>
            </w:r>
          </w:p>
        </w:tc>
        <w:tc>
          <w:tcPr>
            <w:tcW w:type="dxa" w:w="3264"/>
          </w:tcPr>
          <w:p>
            <w:pPr>
              <w:spacing w:after="20"/>
            </w:pPr>
            <w:r>
              <w:t>High impact and high likelihood → higher priority.</w:t>
            </w:r>
          </w:p>
        </w:tc>
      </w:tr>
      <w:tr>
        <w:tc>
          <w:tcPr>
            <w:tcW w:type="dxa" w:w="3264"/>
          </w:tcPr>
          <w:p>
            <w:pPr>
              <w:spacing w:after="20"/>
            </w:pPr>
            <w:r>
              <w:t>Audit plan</w:t>
            </w:r>
          </w:p>
        </w:tc>
        <w:tc>
          <w:tcPr>
            <w:tcW w:type="dxa" w:w="3264"/>
          </w:tcPr>
          <w:p>
            <w:pPr>
              <w:spacing w:after="20"/>
            </w:pPr>
            <w:r>
              <w:t>A proposed schedule of audits and resources.</w:t>
            </w:r>
          </w:p>
        </w:tc>
        <w:tc>
          <w:tcPr>
            <w:tcW w:type="dxa" w:w="3264"/>
          </w:tcPr>
          <w:p>
            <w:pPr>
              <w:spacing w:after="20"/>
            </w:pPr>
            <w:r>
              <w:t>Review high-risk vendor management in Q2.</w:t>
            </w:r>
          </w:p>
        </w:tc>
      </w:tr>
      <w:tr>
        <w:tc>
          <w:tcPr>
            <w:tcW w:type="dxa" w:w="3264"/>
          </w:tcPr>
          <w:p>
            <w:pPr>
              <w:spacing w:after="20"/>
            </w:pPr>
            <w:r>
              <w:t>Audit engagement</w:t>
            </w:r>
          </w:p>
        </w:tc>
        <w:tc>
          <w:tcPr>
            <w:tcW w:type="dxa" w:w="3264"/>
          </w:tcPr>
          <w:p>
            <w:pPr>
              <w:spacing w:after="20"/>
            </w:pPr>
            <w:r>
              <w:t>The actual audit assignment and evidence-based work.</w:t>
            </w:r>
          </w:p>
        </w:tc>
        <w:tc>
          <w:tcPr>
            <w:tcW w:type="dxa" w:w="3264"/>
          </w:tcPr>
          <w:p>
            <w:pPr>
              <w:spacing w:after="20"/>
            </w:pPr>
            <w:r>
              <w:t>Interviews, testing, findings and reporting.</w:t>
            </w:r>
          </w:p>
        </w:tc>
      </w:tr>
    </w:tbl>
    <w:p>
      <w:pPr>
        <w:pStyle w:val="Heading2"/>
      </w:pPr>
      <w:r>
        <w:t>1.3 Simple example: from business activity to audit</w:t>
      </w:r>
    </w:p>
    <w:p>
      <w:r>
        <w:t>A bank uses vendors to process important data. “Vendor Management” is an audit entity in the audit universe. It can be tagged “Third Party,” “North America,” and “High Regulatory Impact.” Its risk assessment may justify an audit. The audit plan schedules the review; during execution, auditors test vendor onboarding, security oversight and monitoring controls.</w:t>
      </w:r>
    </w:p>
    <w:p>
      <w:pPr>
        <w:pStyle w:val="Heading1"/>
      </w:pPr>
      <w:r>
        <w:t>2 | Risk assessment and its relation to audit entities</w:t>
      </w:r>
    </w:p>
    <w:p>
      <w:r>
        <w:t>Risk assessment estimates which audit subjects deserve attention. Organizations often consider factors such as business impact, probability, control effectiveness, regulatory importance, prior findings and recent change. The actual mAP risk model and weights must be confirmed.</w:t>
      </w:r>
    </w:p>
    <w:p>
      <w:r>
        <w:t>Illustrative only: Inherent risk = impact × likelihood. Residual risk reflects the risk remaining after controls. Actual scoring methods vary by organization.</w:t>
      </w:r>
    </w:p>
    <w:p>
      <w:r>
        <w:t>Descriptive attributes can help identify the nature of an audit entity and provide inputs to risk criteria. An attribute is not automatically a risk score; the approved scoring methodology determines whether and how it affects the rating.</w:t>
      </w:r>
    </w:p>
    <w:sectPr w:rsidR="00FC693F" w:rsidRPr="0006063C" w:rsidSect="00034616">
      <w:footerReference w:type="default" r:id="rId9"/>
      <w:pgSz w:w="12240" w:h="15840"/>
      <w:pgMar w:top="1109"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Corporate Auditing | Domain primer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33C5B"/>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33C5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33C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