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greenelab/knowledge-graph-review@c3ac92c</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 approaches that use supervised extractors to detect relationship asserting sentences.</w:t>
      </w:r>
    </w:p>
    <w:p>
      <w:pPr>
        <w:pStyle w:val="BodyText"/>
      </w:pPr>
      <w:r>
        <w:t xml:space="preserve">Some supervised extractors involve mapping textual input onto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have shifted to utilizing deep learning techniques as these approaches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amount to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 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that uses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machine learning classifier can now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PPI</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PPI</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PPI</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PPI</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PPI</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DaG</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DaG</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DaG</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DaG</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CbG</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add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the training steps force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this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is to incorporate other types of information such as edge confidence scores, textual information, or edge type information when optimizing these vectors.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94379"/>
            <wp:effectExtent b="0" l="0" r="0" t="0"/>
            <wp:docPr descr="Figure 5: Overview of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94379"/>
                    </a:xfrm>
                    <a:prstGeom prst="rect">
                      <a:avLst/>
                    </a:prstGeom>
                    <a:noFill/>
                    <a:ln w="9525">
                      <a:noFill/>
                      <a:headEnd/>
                      <a:tailEnd/>
                    </a:ln>
                  </pic:spPr>
                </pic:pic>
              </a:graphicData>
            </a:graphic>
          </wp:inline>
        </w:drawing>
      </w:r>
      <w:bookmarkEnd w:id="54"/>
    </w:p>
    <w:p>
      <w:pPr>
        <w:pStyle w:val="ImageCaption"/>
      </w:pPr>
      <w:r>
        <w:t xml:space="preserve">Figure 5: Overview of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an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have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extension is to use an ensemble of deep learning techniques and linear methods to improve performance.</w:t>
      </w:r>
      <w:r>
        <w:t xml:space="preserve"> </w:t>
      </w:r>
      <w:r>
        <w:t xml:space="preserve">Plus, another area of exploration is to incorporate information such as pharmaceutical classes for drugs or chemical structure to improve detection power.</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and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Together with all translational models every node in the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c3ac92c5317e1631ec8b724c4fc907fa33f6a859" TargetMode="External" /><Relationship Type="http://schemas.openxmlformats.org/officeDocument/2006/relationships/hyperlink" Id="rId20" Target="https://greenelab.github.io/knowledge-graph-review/v/c3ac92c5317e1631ec8b724c4fc907fa33f6a859/"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c3ac92c5317e1631ec8b724c4fc907fa33f6a859" TargetMode="External" /><Relationship Type="http://schemas.openxmlformats.org/officeDocument/2006/relationships/hyperlink" Id="rId20" Target="https://greenelab.github.io/knowledge-graph-review/v/c3ac92c5317e1631ec8b724c4fc907fa33f6a859/"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2020-04-27T20:21:12Z</dcterms:created>
  <dcterms:modified xsi:type="dcterms:W3CDTF">2020-04-27T20:21:12Z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