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77777777" w:rsidR="00D95545" w:rsidRPr="00D95545" w:rsidRDefault="00D95545" w:rsidP="00D95545">
      <w:pPr>
        <w:pStyle w:val="Header"/>
        <w:spacing w:line="360" w:lineRule="auto"/>
        <w:rPr>
          <w:sz w:val="40"/>
          <w:lang w:val="en-GB"/>
        </w:rPr>
      </w:pPr>
      <w:r w:rsidRPr="00D95545">
        <w:rPr>
          <w:sz w:val="40"/>
          <w:lang w:val="en-GB"/>
        </w:rPr>
        <w:t>Socio-economic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453DB49E" w14:textId="6B46E983" w:rsidR="00D95545" w:rsidRDefault="00D95545" w:rsidP="00D95545">
      <w:pPr>
        <w:spacing w:line="360" w:lineRule="auto"/>
      </w:pPr>
    </w:p>
    <w:p w14:paraId="1A7937CF" w14:textId="375EC55C" w:rsidR="00D95545" w:rsidRDefault="00D95545" w:rsidP="00D95545">
      <w:pPr>
        <w:spacing w:line="360" w:lineRule="auto"/>
      </w:pPr>
    </w:p>
    <w:p w14:paraId="49C62700" w14:textId="51D2F6E7" w:rsidR="00D95545" w:rsidRDefault="00D95545" w:rsidP="00D95545">
      <w:pPr>
        <w:spacing w:line="360" w:lineRule="auto"/>
      </w:pPr>
    </w:p>
    <w:p w14:paraId="2556D5D5" w14:textId="0F562506" w:rsidR="00D95545" w:rsidRDefault="00D95545" w:rsidP="00D95545">
      <w:pPr>
        <w:spacing w:line="360" w:lineRule="auto"/>
      </w:pPr>
    </w:p>
    <w:p w14:paraId="5C1AB786" w14:textId="07FF7463"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t>Introduction</w:t>
      </w:r>
    </w:p>
    <w:p w14:paraId="51DCC90B" w14:textId="5DAF5A51"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real effective exchange rate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 the mines get from </w:t>
      </w:r>
      <w:r w:rsidR="007915C8">
        <w:t xml:space="preserve">selling </w:t>
      </w:r>
      <w:r w:rsidR="005E3DB1">
        <w:t xml:space="preserve">their commodities. </w:t>
      </w:r>
      <w:r w:rsidR="005E1BC7">
        <w:t xml:space="preserve">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 xml:space="preserve">Strikes like the 2014 platinum strike affects not only the industry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7E9C6858"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Pr>
          <w:szCs w:val="24"/>
        </w:rPr>
        <w:t xml:space="preserve"> </w:t>
      </w:r>
      <w:r>
        <w:rPr>
          <w:szCs w:val="24"/>
        </w:rPr>
        <w:t xml:space="preserve">both </w:t>
      </w:r>
      <w:r>
        <w:rPr>
          <w:szCs w:val="24"/>
        </w:rPr>
        <w:t xml:space="preserve">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39D23A5B" w:rsidR="00807E6C" w:rsidRPr="00807E6C" w:rsidRDefault="00807E6C" w:rsidP="00D95545">
      <w:pPr>
        <w:spacing w:line="360" w:lineRule="auto"/>
        <w:jc w:val="both"/>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18F4717"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w:t>
      </w:r>
      <w:r>
        <w:lastRenderedPageBreak/>
        <w:t>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7BE7E3C6" w:rsidR="00F26E11" w:rsidRDefault="00F26E11" w:rsidP="00D95545">
      <w:pPr>
        <w:spacing w:line="360" w:lineRule="auto"/>
        <w:jc w:val="both"/>
      </w:pPr>
      <w:r>
        <w:t xml:space="preserve">The design of open pit mines will also reap benefit from driverless haul trucks. </w:t>
      </w:r>
      <w:r w:rsidR="009B52DF">
        <w:t xml:space="preserve">The roads these driverless trucks require need not be as wide as those road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0BA08E7E"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for injury. These machines also do not get tired. Unlike human beings that tend to be hampered by fatigue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36FF2602" w:rsidR="009D40CB" w:rsidRDefault="009D40CB" w:rsidP="00D95545">
      <w:pPr>
        <w:spacing w:line="360" w:lineRule="auto"/>
        <w:jc w:val="both"/>
        <w:rPr>
          <w:szCs w:val="24"/>
        </w:rPr>
      </w:pPr>
      <w:r w:rsidRPr="00C42D01">
        <w:rPr>
          <w:szCs w:val="24"/>
        </w:rPr>
        <w:t>Driverless or autonomous vehicles is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0BE381B6"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Mogalakena</w:t>
      </w:r>
      <w:r w:rsidR="00E84520">
        <w:rPr>
          <w:rStyle w:val="FootnoteReference"/>
        </w:rPr>
        <w:footnoteReference w:id="1"/>
      </w:r>
      <w:r w:rsidR="00E84520">
        <w:t xml:space="preserve"> and Grootegeluk Mine</w:t>
      </w:r>
      <w:r w:rsidR="00E84520">
        <w:rPr>
          <w:rStyle w:val="FootnoteReference"/>
        </w:rPr>
        <w:footnoteReference w:id="2"/>
      </w:r>
      <w:r w:rsidR="00CA72D9">
        <w:t xml:space="preserve">. In the Northern cape there is </w:t>
      </w:r>
      <w:r w:rsidR="00E84520">
        <w:t>Sishen</w:t>
      </w:r>
      <w:r w:rsidR="00E84520">
        <w:rPr>
          <w:rStyle w:val="FootnoteReference"/>
        </w:rPr>
        <w:footnoteReference w:id="3"/>
      </w:r>
      <w:r w:rsidR="00CA72D9">
        <w:t xml:space="preserve"> near the town of Kathu and Finsch</w:t>
      </w:r>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0182A2A6" w:rsidR="006362EA" w:rsidRDefault="00DD1BBD" w:rsidP="00D95545">
      <w:pPr>
        <w:spacing w:line="360" w:lineRule="auto"/>
        <w:jc w:val="both"/>
      </w:pPr>
      <w:r w:rsidRPr="00C42D01">
        <w:t>The problem statement identified for this research is</w:t>
      </w:r>
      <w:r w:rsidR="000114FE">
        <w:t xml:space="preserve">, how ethical is it to introduce   </w:t>
      </w:r>
      <w:r w:rsidR="00A371D6" w:rsidRPr="00C42D01">
        <w:t>driverless haul trucks, onto South African open pit mines</w:t>
      </w:r>
      <w:r w:rsidR="000114FE">
        <w:t>.</w:t>
      </w:r>
    </w:p>
    <w:p w14:paraId="63CC7DA6" w14:textId="481EA62B" w:rsidR="009B7658" w:rsidRDefault="00F22A0C" w:rsidP="00D95545">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9B7658">
        <w:t xml:space="preserve"> </w:t>
      </w:r>
    </w:p>
    <w:p w14:paraId="1053DA38" w14:textId="7BE74625" w:rsidR="00773927" w:rsidRDefault="00773927" w:rsidP="00D95545">
      <w:pPr>
        <w:spacing w:line="360" w:lineRule="auto"/>
        <w:jc w:val="both"/>
      </w:pPr>
    </w:p>
    <w:p w14:paraId="727AF54C" w14:textId="0AB0EEC5" w:rsidR="00773927" w:rsidRDefault="00773927" w:rsidP="00D95545">
      <w:pPr>
        <w:spacing w:line="360" w:lineRule="auto"/>
        <w:jc w:val="both"/>
      </w:pPr>
      <w:r>
        <w:t>Cross-sectional</w:t>
      </w:r>
      <w:r w:rsidR="008C634E">
        <w:t xml:space="preserve"> vs longitudinal</w:t>
      </w:r>
    </w:p>
    <w:p w14:paraId="291CAB97" w14:textId="12FB9143" w:rsidR="00F1356C" w:rsidRDefault="00773927" w:rsidP="00D95545">
      <w:pPr>
        <w:spacing w:line="360" w:lineRule="auto"/>
        <w:jc w:val="both"/>
      </w:pPr>
      <w:r>
        <w:lastRenderedPageBreak/>
        <w:t>Quantitative</w:t>
      </w:r>
    </w:p>
    <w:p w14:paraId="6743AB99" w14:textId="7C4DA833" w:rsidR="00773927" w:rsidRDefault="00773927" w:rsidP="00D95545">
      <w:pPr>
        <w:spacing w:line="360" w:lineRule="auto"/>
        <w:jc w:val="both"/>
      </w:pPr>
      <w:r>
        <w:t>communities</w:t>
      </w:r>
    </w:p>
    <w:p w14:paraId="23E63BE6" w14:textId="77777777" w:rsidR="00773927" w:rsidRDefault="00773927" w:rsidP="00D95545">
      <w:pPr>
        <w:spacing w:line="360" w:lineRule="auto"/>
        <w:jc w:val="both"/>
      </w:pPr>
    </w:p>
    <w:p w14:paraId="3DBDA351" w14:textId="2F2F2E32" w:rsidR="00F1356C" w:rsidRDefault="00F1356C" w:rsidP="00D95545">
      <w:pPr>
        <w:spacing w:line="360" w:lineRule="auto"/>
        <w:jc w:val="both"/>
      </w:pPr>
    </w:p>
    <w:p w14:paraId="400C10DA" w14:textId="29EF491F" w:rsidR="00F1356C" w:rsidRDefault="00F1356C" w:rsidP="00D95545">
      <w:pPr>
        <w:spacing w:line="360" w:lineRule="auto"/>
        <w:jc w:val="both"/>
      </w:pPr>
    </w:p>
    <w:p w14:paraId="5BD50081" w14:textId="77777777" w:rsidR="00F1356C" w:rsidRPr="00C42D01" w:rsidRDefault="00F1356C" w:rsidP="00D95545">
      <w:pPr>
        <w:spacing w:line="360" w:lineRule="auto"/>
        <w:jc w:val="both"/>
      </w:pPr>
    </w:p>
    <w:p w14:paraId="5368C285" w14:textId="7154D63B" w:rsidR="00CD7B49" w:rsidRDefault="000C57FF" w:rsidP="00D95545">
      <w:pPr>
        <w:spacing w:line="360" w:lineRule="auto"/>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D95545">
      <w:pPr>
        <w:spacing w:line="360" w:lineRule="auto"/>
        <w:jc w:val="both"/>
      </w:pPr>
      <w:r>
        <w:t>Benefits:</w:t>
      </w:r>
    </w:p>
    <w:p w14:paraId="0C307F6B" w14:textId="56A2070C" w:rsidR="00CD7B49" w:rsidRDefault="00CD7B49" w:rsidP="00D95545">
      <w:pPr>
        <w:pStyle w:val="ListParagraph"/>
        <w:numPr>
          <w:ilvl w:val="0"/>
          <w:numId w:val="2"/>
        </w:numPr>
        <w:spacing w:line="360" w:lineRule="auto"/>
        <w:ind w:left="360"/>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D95545">
      <w:pPr>
        <w:pStyle w:val="ListParagraph"/>
        <w:numPr>
          <w:ilvl w:val="0"/>
          <w:numId w:val="2"/>
        </w:numPr>
        <w:spacing w:line="360" w:lineRule="auto"/>
        <w:ind w:left="360"/>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D95545">
      <w:pPr>
        <w:pStyle w:val="ListParagraph"/>
        <w:numPr>
          <w:ilvl w:val="0"/>
          <w:numId w:val="2"/>
        </w:numPr>
        <w:spacing w:line="360" w:lineRule="auto"/>
        <w:ind w:left="360"/>
        <w:jc w:val="both"/>
      </w:pPr>
      <w:r>
        <w:t>Truck availability</w:t>
      </w:r>
    </w:p>
    <w:p w14:paraId="07B02B4F" w14:textId="05B13BF5" w:rsidR="00CD7B49" w:rsidRDefault="00CD7B49" w:rsidP="00D95545">
      <w:pPr>
        <w:pStyle w:val="ListParagraph"/>
        <w:numPr>
          <w:ilvl w:val="0"/>
          <w:numId w:val="2"/>
        </w:numPr>
        <w:spacing w:line="360" w:lineRule="auto"/>
        <w:ind w:left="360"/>
        <w:jc w:val="both"/>
      </w:pPr>
      <w:r>
        <w:t>Tyre life</w:t>
      </w:r>
    </w:p>
    <w:p w14:paraId="7B55E876" w14:textId="52CE451C" w:rsidR="00CD7B49" w:rsidRDefault="00CD7B49" w:rsidP="00D95545">
      <w:pPr>
        <w:pStyle w:val="ListParagraph"/>
        <w:numPr>
          <w:ilvl w:val="0"/>
          <w:numId w:val="2"/>
        </w:numPr>
        <w:spacing w:line="360" w:lineRule="auto"/>
        <w:ind w:left="360"/>
        <w:jc w:val="both"/>
      </w:pPr>
      <w:r>
        <w:t>Pit design</w:t>
      </w:r>
    </w:p>
    <w:p w14:paraId="4E3E1CC9" w14:textId="4CC70D13" w:rsidR="00CD7B49" w:rsidRPr="00C42D01" w:rsidRDefault="00CD7B49" w:rsidP="00D95545">
      <w:pPr>
        <w:pStyle w:val="ListParagraph"/>
        <w:numPr>
          <w:ilvl w:val="0"/>
          <w:numId w:val="2"/>
        </w:numPr>
        <w:spacing w:line="360" w:lineRule="auto"/>
        <w:ind w:left="360"/>
        <w:jc w:val="both"/>
      </w:pPr>
      <w:r>
        <w:t>Safety</w:t>
      </w:r>
    </w:p>
    <w:p w14:paraId="141D0F2F" w14:textId="582B79FF" w:rsidR="0068597B" w:rsidRDefault="0068597B" w:rsidP="00D95545">
      <w:pPr>
        <w:spacing w:line="360" w:lineRule="auto"/>
        <w:jc w:val="both"/>
      </w:pPr>
    </w:p>
    <w:p w14:paraId="16F421E0" w14:textId="2EC459FB" w:rsidR="00DD1BBD" w:rsidRPr="0068597B" w:rsidRDefault="0068597B" w:rsidP="00D95545">
      <w:pPr>
        <w:tabs>
          <w:tab w:val="left" w:pos="5700"/>
        </w:tabs>
        <w:spacing w:line="360" w:lineRule="auto"/>
        <w:jc w:val="both"/>
      </w:pPr>
      <w:r>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D95545">
      <w:pPr>
        <w:spacing w:line="360" w:lineRule="auto"/>
        <w:jc w:val="both"/>
        <w:rPr>
          <w:szCs w:val="24"/>
        </w:rPr>
      </w:pPr>
      <w:r>
        <w:rPr>
          <w:szCs w:val="24"/>
        </w:rPr>
        <w:t>The main research question this proposal would like to put forward for consideration is the following:</w:t>
      </w:r>
    </w:p>
    <w:p w14:paraId="2390406F" w14:textId="14F57F4B" w:rsidR="00F31BF1" w:rsidRDefault="000114FE" w:rsidP="00D95545">
      <w:pPr>
        <w:spacing w:line="360" w:lineRule="auto"/>
        <w:jc w:val="both"/>
        <w:rPr>
          <w:szCs w:val="24"/>
        </w:rPr>
      </w:pPr>
      <w:r>
        <w:rPr>
          <w:szCs w:val="24"/>
        </w:rPr>
        <w:t>How will driverless haul trucks affect miners on South African open pit mines?</w:t>
      </w:r>
      <w:r w:rsidR="00F31BF1">
        <w:rPr>
          <w:szCs w:val="24"/>
        </w:rPr>
        <w:t xml:space="preserve"> </w:t>
      </w:r>
    </w:p>
    <w:p w14:paraId="487E405D" w14:textId="6B194F4E" w:rsidR="00F31BF1" w:rsidRDefault="00F31BF1" w:rsidP="00D95545">
      <w:pPr>
        <w:spacing w:line="360" w:lineRule="auto"/>
        <w:jc w:val="both"/>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D95545">
      <w:pPr>
        <w:spacing w:line="360" w:lineRule="auto"/>
        <w:jc w:val="both"/>
        <w:rPr>
          <w:szCs w:val="24"/>
        </w:rPr>
      </w:pPr>
    </w:p>
    <w:p w14:paraId="05543BE9" w14:textId="29210C75"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3E79E6C" w14:textId="22084509" w:rsidR="000114FE" w:rsidRPr="000114FE" w:rsidRDefault="000114FE" w:rsidP="00D95545">
      <w:pPr>
        <w:spacing w:line="360" w:lineRule="auto"/>
      </w:pPr>
      <w:r>
        <w:t>How will the safety on mines be affected?</w:t>
      </w:r>
    </w:p>
    <w:p w14:paraId="03256008" w14:textId="1868B87C" w:rsidR="000114FE" w:rsidRDefault="000114FE" w:rsidP="00D95545">
      <w:pPr>
        <w:spacing w:line="360" w:lineRule="auto"/>
        <w:jc w:val="both"/>
      </w:pPr>
      <w:r>
        <w:t>How will the socio-economic situation of miners be affected?</w:t>
      </w:r>
    </w:p>
    <w:p w14:paraId="266BE9D1" w14:textId="55947BED" w:rsidR="000114FE" w:rsidRDefault="000114FE" w:rsidP="00D95545">
      <w:pPr>
        <w:spacing w:line="360" w:lineRule="auto"/>
        <w:jc w:val="both"/>
      </w:pP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60F52ED6"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D95545">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946CA0" w:rsidRDefault="00663F35" w:rsidP="00D95545">
      <w:pPr>
        <w:spacing w:line="360" w:lineRule="auto"/>
        <w:jc w:val="both"/>
        <w:rPr>
          <w:szCs w:val="24"/>
        </w:rPr>
      </w:pPr>
      <w:r w:rsidRPr="00946CA0">
        <w:rPr>
          <w:szCs w:val="24"/>
        </w:rPr>
        <w:lastRenderedPageBreak/>
        <w:t xml:space="preserve">A recent development is Responsible Research and Innovation (RRI). Researchers can now use the principles of (RRI) to manage the ethical considerations of how their research impact on society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D95545">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D95545">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D95545">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194EBB2D" w:rsidR="00663F35" w:rsidRPr="00946CA0" w:rsidRDefault="00663F35" w:rsidP="00D95545">
      <w:pPr>
        <w:spacing w:line="360" w:lineRule="auto"/>
        <w:jc w:val="both"/>
        <w:rPr>
          <w:szCs w:val="24"/>
        </w:rPr>
      </w:pPr>
      <w:r w:rsidRPr="00946CA0">
        <w:rPr>
          <w:szCs w:val="24"/>
        </w:rPr>
        <w:lastRenderedPageBreak/>
        <w:t xml:space="preserve">A prominent theory is Luciano Floridi’s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Floridi’s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Floridi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6B6E1246"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 can differ between nationalities, groups or peoples. These ideas need to be openly discussed and reasoned about. But there needs to be agreement on what is regarded right or wrong.</w:t>
      </w:r>
    </w:p>
    <w:p w14:paraId="5F7AEAC9" w14:textId="77777777" w:rsidR="00663F35" w:rsidRPr="00946CA0" w:rsidRDefault="00663F35" w:rsidP="00D95545">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w:t>
      </w:r>
      <w:r w:rsidRPr="00946CA0">
        <w:rPr>
          <w:szCs w:val="24"/>
        </w:rPr>
        <w:lastRenderedPageBreak/>
        <w:t xml:space="preserve">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68E00E55"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w:t>
      </w:r>
      <w:r w:rsidR="00354CDD">
        <w:rPr>
          <w:szCs w:val="24"/>
        </w:rPr>
        <w:t xml:space="preserve">or less important requirements </w:t>
      </w:r>
      <w:r w:rsidRPr="00946CA0">
        <w:rPr>
          <w:szCs w:val="24"/>
        </w:rPr>
        <w:t>.</w:t>
      </w:r>
    </w:p>
    <w:p w14:paraId="1068F643" w14:textId="77777777" w:rsidR="00663F35" w:rsidRPr="00946CA0" w:rsidRDefault="00663F35" w:rsidP="00D95545">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w:t>
      </w:r>
      <w:r w:rsidRPr="00946CA0">
        <w:rPr>
          <w:szCs w:val="24"/>
        </w:rPr>
        <w:lastRenderedPageBreak/>
        <w:t xml:space="preserve">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D95545">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4DB734E4" w14:textId="49C1E554" w:rsidR="009E6787" w:rsidRDefault="009E6787" w:rsidP="00D95545">
      <w:pPr>
        <w:spacing w:line="360" w:lineRule="auto"/>
        <w:jc w:val="both"/>
      </w:pPr>
      <w:r>
        <w:t xml:space="preserve">This study will follow a </w:t>
      </w:r>
      <w:r w:rsidR="00B2169F">
        <w:t>utilitarian view of ethics i.e. implementing driverless haul trucks  will be considered ethical if it does the most good to the most amount of people.</w:t>
      </w:r>
    </w:p>
    <w:p w14:paraId="097EA93E" w14:textId="77777777" w:rsidR="009E6787" w:rsidRDefault="009E6787" w:rsidP="00D95545">
      <w:pPr>
        <w:spacing w:line="360" w:lineRule="auto"/>
        <w:jc w:val="both"/>
      </w:pPr>
    </w:p>
    <w:p w14:paraId="3AD219C7" w14:textId="04F796F1" w:rsidR="0011223A" w:rsidRDefault="009E6787" w:rsidP="00D95545">
      <w:pPr>
        <w:spacing w:line="360" w:lineRule="auto"/>
        <w:jc w:val="both"/>
      </w:pPr>
      <w:r>
        <w:t>We require information on how well workers in the South African mining industry understand the ethical consequences of introducing driverless haul truck onto South African open pit mines. This implies that we want</w:t>
      </w:r>
      <w:r w:rsidR="000114FE">
        <w:t xml:space="preserve"> to</w:t>
      </w:r>
      <w:r>
        <w:t xml:space="preserve"> gather information at one point in time and are not concerned with how the understanding of ethical concerns change over time. </w:t>
      </w:r>
      <w:r w:rsidR="00753AFB">
        <w:t>T</w:t>
      </w:r>
      <w:r>
        <w:t>his study will need to involve a wide selection of people from various socio-economic and educational backgrounds.</w:t>
      </w:r>
      <w:r w:rsidR="00753AFB">
        <w:t xml:space="preserve"> Also, getting various stakeholders to participate can be difficult in the mining industry </w:t>
      </w:r>
      <w:r w:rsidR="00753AFB">
        <w:fldChar w:fldCharType="begin" w:fldLock="1"/>
      </w:r>
      <w:r w:rsidR="00081C99">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rsidR="00753AFB">
        <w:fldChar w:fldCharType="separate"/>
      </w:r>
      <w:r w:rsidR="00753AFB" w:rsidRPr="00753AFB">
        <w:rPr>
          <w:noProof/>
        </w:rPr>
        <w:t>(Hermanus, 2017, p. 815; Gumede, 2018, p. 8)</w:t>
      </w:r>
      <w:r w:rsidR="00753AFB">
        <w:fldChar w:fldCharType="end"/>
      </w:r>
      <w:r w:rsidR="00753AFB">
        <w:t>.</w:t>
      </w:r>
      <w:r>
        <w:t xml:space="preserve"> For these reasons we will carry out a cross-sectional study rather than a longitudinal one.</w:t>
      </w:r>
    </w:p>
    <w:p w14:paraId="40881268" w14:textId="3F36E431" w:rsidR="0011223A" w:rsidRDefault="0011223A" w:rsidP="00D95545">
      <w:pPr>
        <w:spacing w:line="360" w:lineRule="auto"/>
        <w:jc w:val="both"/>
      </w:pPr>
    </w:p>
    <w:p w14:paraId="37DCFF6C" w14:textId="483F2E09" w:rsidR="0011223A" w:rsidRDefault="00CC7070" w:rsidP="00D95545">
      <w:pPr>
        <w:spacing w:line="360" w:lineRule="auto"/>
        <w:jc w:val="both"/>
      </w:pPr>
      <w:r>
        <w:t>Observational</w:t>
      </w:r>
    </w:p>
    <w:p w14:paraId="080FB9B8" w14:textId="14CC0624" w:rsidR="0011223A" w:rsidRDefault="0011658A" w:rsidP="00D95545">
      <w:pPr>
        <w:spacing w:line="360" w:lineRule="auto"/>
        <w:jc w:val="both"/>
      </w:pPr>
      <w:r>
        <w:t>Quatitative vs qualitative</w:t>
      </w:r>
    </w:p>
    <w:p w14:paraId="696511F6" w14:textId="77777777" w:rsidR="0011223A" w:rsidRPr="0011223A" w:rsidRDefault="0011223A" w:rsidP="00D95545">
      <w:pPr>
        <w:spacing w:line="360" w:lineRule="auto"/>
        <w:jc w:val="both"/>
      </w:pP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0C83F365" w:rsidR="00576066" w:rsidRPr="00576066" w:rsidRDefault="00576066" w:rsidP="00D95545">
      <w:pPr>
        <w:spacing w:line="360" w:lineRule="auto"/>
        <w:jc w:val="both"/>
      </w:pPr>
      <w:r>
        <w:t xml:space="preserve">There will be 2 efforts of data collection. The first will be gathering data from the mines on how they have been affected by the automation of haul trucks. Secondly </w:t>
      </w:r>
      <w:r>
        <w:t>several</w:t>
      </w:r>
      <w:r>
        <w:t xml:space="preserve"> individuals from the mines will be queried on how they have been personally affected.</w:t>
      </w:r>
    </w:p>
    <w:p w14:paraId="61D9FCD0" w14:textId="5614F8B2"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mines</w:t>
      </w:r>
    </w:p>
    <w:p w14:paraId="7D95AFE2" w14:textId="3B02920B" w:rsidR="00E84520" w:rsidRDefault="00CA72D9" w:rsidP="00D95545">
      <w:pPr>
        <w:spacing w:line="360" w:lineRule="auto"/>
        <w:jc w:val="both"/>
      </w:pPr>
      <w:r>
        <w:t>A mine representative from each min</w:t>
      </w:r>
      <w:r w:rsidR="00081C99">
        <w:t>e in the study will be asked questions in a survey including the following:</w:t>
      </w:r>
    </w:p>
    <w:p w14:paraId="4D2900B6" w14:textId="46D690CC" w:rsidR="00081C99" w:rsidRDefault="00081C99" w:rsidP="00D95545">
      <w:pPr>
        <w:pStyle w:val="ListParagraph"/>
        <w:numPr>
          <w:ilvl w:val="0"/>
          <w:numId w:val="5"/>
        </w:numPr>
        <w:spacing w:line="360" w:lineRule="auto"/>
        <w:jc w:val="both"/>
      </w:pPr>
      <w:r>
        <w:t xml:space="preserve">How many haul trucks do they operate and how many of them are driverless? This includes how many are operational and in use and not just the total number in the </w:t>
      </w:r>
      <w:r>
        <w:lastRenderedPageBreak/>
        <w:t xml:space="preserve">mines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02503F86" w:rsidR="00081C99" w:rsidRDefault="00081C99" w:rsidP="00D95545">
      <w:pPr>
        <w:pStyle w:val="ListParagraph"/>
        <w:numPr>
          <w:ilvl w:val="0"/>
          <w:numId w:val="5"/>
        </w:numPr>
        <w:spacing w:line="360" w:lineRule="auto"/>
        <w:jc w:val="both"/>
      </w:pPr>
      <w:r>
        <w:t xml:space="preserve">How many drivers are currently employed by the mine? This is to establish how many driver jobs were lost in the period surveyed.  </w:t>
      </w:r>
    </w:p>
    <w:p w14:paraId="70FDA776" w14:textId="6BF8B173" w:rsidR="00081C99" w:rsidRDefault="00081C99" w:rsidP="00D95545">
      <w:pPr>
        <w:pStyle w:val="ListParagraph"/>
        <w:numPr>
          <w:ilvl w:val="0"/>
          <w:numId w:val="5"/>
        </w:numPr>
        <w:spacing w:line="360" w:lineRule="auto"/>
        <w:jc w:val="both"/>
      </w:pPr>
      <w:r>
        <w:t xml:space="preserve">How many haul truck maintenance and operational personnel are employed by the mine?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These metrics will monitor the actual job creation</w:t>
      </w:r>
      <w:r w:rsidR="00B2169F">
        <w:t xml:space="preserve"> that took place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52A5116" w:rsidR="00B2169F" w:rsidRPr="00E84520" w:rsidRDefault="00B2169F" w:rsidP="00D95545">
      <w:pPr>
        <w:pStyle w:val="ListParagraph"/>
        <w:numPr>
          <w:ilvl w:val="0"/>
          <w:numId w:val="5"/>
        </w:numPr>
        <w:spacing w:line="360" w:lineRule="auto"/>
        <w:jc w:val="both"/>
      </w:pPr>
      <w:r>
        <w:t xml:space="preserve">Questions on safety. How many haul truck related accidents occurred in the last year? Also, how has the severity of these accidents changed? These are pertinent since one of the main believed benefits of automation is an increase in safety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153)"},"properties":{"noteIndex":0},"schema":"https://github.com/citation-style-language/schema/raw/master/csl-citation.json"}</w:instrText>
      </w:r>
      <w:r>
        <w:fldChar w:fldCharType="separate"/>
      </w:r>
      <w:r w:rsidRPr="00B2169F">
        <w:rPr>
          <w:noProof/>
        </w:rPr>
        <w:t>(Bellamy and Pravica, 2011, p. 153)</w:t>
      </w:r>
      <w:r>
        <w:fldChar w:fldCharType="end"/>
      </w:r>
      <w:r>
        <w:t>.</w:t>
      </w:r>
    </w:p>
    <w:p w14:paraId="02FA4FB8" w14:textId="2035E0F9"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miners</w:t>
      </w:r>
    </w:p>
    <w:p w14:paraId="6A44C40C" w14:textId="0DA4BE83" w:rsidR="000114FE" w:rsidRDefault="000114FE" w:rsidP="00D95545">
      <w:pPr>
        <w:spacing w:line="360" w:lineRule="auto"/>
        <w:jc w:val="both"/>
      </w:pPr>
      <w:r>
        <w:t xml:space="preserve">Miners will be given a standardized questionnaire relating to how they have been affected by driverless haul trucks. </w:t>
      </w:r>
      <w:r w:rsidR="00576066">
        <w:t xml:space="preserve">They will be given the same questionnaire annually for a period of 5 years. </w:t>
      </w:r>
      <w:r>
        <w:t>This questionnaire will be broken down into various sections.</w:t>
      </w:r>
    </w:p>
    <w:p w14:paraId="33286994" w14:textId="0BA72433" w:rsidR="000114FE" w:rsidRDefault="000114FE" w:rsidP="00D95545">
      <w:pPr>
        <w:spacing w:line="360" w:lineRule="auto"/>
        <w:jc w:val="both"/>
      </w:pPr>
      <w:r>
        <w:t>The first section will comprise of the socio-economic situation of the respondent</w:t>
      </w:r>
      <w:r w:rsidR="00583308">
        <w:t>.</w:t>
      </w:r>
      <w:r w:rsidR="00E84520">
        <w:t xml:space="preserve"> </w:t>
      </w:r>
    </w:p>
    <w:p w14:paraId="7E5B482E" w14:textId="3E1AAE83" w:rsidR="000114FE" w:rsidRDefault="00583308" w:rsidP="00D95545">
      <w:pPr>
        <w:pStyle w:val="ListParagraph"/>
        <w:numPr>
          <w:ilvl w:val="0"/>
          <w:numId w:val="6"/>
        </w:numPr>
        <w:spacing w:line="360" w:lineRule="auto"/>
        <w:jc w:val="both"/>
      </w:pPr>
      <w:r>
        <w:t>Is the mine worker still employed on the mine?</w:t>
      </w:r>
    </w:p>
    <w:p w14:paraId="0F49779A" w14:textId="2C352B12" w:rsidR="00583308" w:rsidRDefault="00583308" w:rsidP="00D95545">
      <w:pPr>
        <w:pStyle w:val="ListParagraph"/>
        <w:numPr>
          <w:ilvl w:val="0"/>
          <w:numId w:val="6"/>
        </w:numPr>
        <w:spacing w:line="360" w:lineRule="auto"/>
        <w:jc w:val="both"/>
      </w:pPr>
      <w:r>
        <w:t>What is the mine workers current salary?</w:t>
      </w:r>
      <w:bookmarkStart w:id="0" w:name="_GoBack"/>
      <w:bookmarkEnd w:id="0"/>
    </w:p>
    <w:p w14:paraId="09470620" w14:textId="04C2BF76" w:rsidR="000114FE" w:rsidRDefault="000114FE" w:rsidP="00D95545">
      <w:pPr>
        <w:spacing w:line="360" w:lineRule="auto"/>
        <w:jc w:val="both"/>
      </w:pP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3F43D502" w:rsidR="00F31BF1" w:rsidRDefault="0057475E" w:rsidP="00D95545">
      <w:pPr>
        <w:spacing w:line="360" w:lineRule="auto"/>
        <w:jc w:val="both"/>
      </w:pPr>
      <w:r>
        <w:t>Survey (Qua</w:t>
      </w:r>
      <w:r w:rsidR="00527877">
        <w:t>n</w:t>
      </w:r>
      <w:r>
        <w:t>tatative) vs interviews (Qualitative)</w:t>
      </w:r>
    </w:p>
    <w:p w14:paraId="3E020765" w14:textId="77777777" w:rsidR="00F31BF1" w:rsidRDefault="00F31BF1" w:rsidP="00D95545">
      <w:pPr>
        <w:spacing w:line="360" w:lineRule="auto"/>
        <w:jc w:val="both"/>
      </w:pPr>
    </w:p>
    <w:p w14:paraId="36565531" w14:textId="290F095A" w:rsidR="00F31BF1" w:rsidRDefault="00F31BF1" w:rsidP="00D95545">
      <w:pPr>
        <w:spacing w:line="360" w:lineRule="auto"/>
        <w:jc w:val="both"/>
      </w:pPr>
    </w:p>
    <w:p w14:paraId="40E67F49" w14:textId="77777777" w:rsidR="00F31BF1" w:rsidRPr="00F31BF1" w:rsidRDefault="00F31BF1" w:rsidP="00D95545">
      <w:pPr>
        <w:spacing w:line="360" w:lineRule="auto"/>
        <w:jc w:val="both"/>
      </w:pPr>
    </w:p>
    <w:p w14:paraId="2F5FD8EC" w14:textId="2734999B"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545DB390" w14:textId="28E0005A" w:rsidR="000114FE" w:rsidRDefault="00B2169F" w:rsidP="00D95545">
      <w:pPr>
        <w:spacing w:line="360" w:lineRule="auto"/>
      </w:pPr>
      <w:r>
        <w:t xml:space="preserve">This study will be able to determine how much more viable the surveyed mines have become due to automation. But it will not be able to gather information on mines, that were closed due to not being economically viable, that can be reopened when the cost per ton has dropped to the required levels. Because, these mines will not be part of the study and will not be known at the beginning of the study. The same holds for new mines. </w:t>
      </w:r>
    </w:p>
    <w:p w14:paraId="39833B18" w14:textId="77777777" w:rsidR="000114FE" w:rsidRDefault="000114FE" w:rsidP="00D95545">
      <w:pPr>
        <w:spacing w:line="360" w:lineRule="auto"/>
      </w:pPr>
    </w:p>
    <w:p w14:paraId="27F59CDC" w14:textId="37C67AB1" w:rsidR="0057475E" w:rsidRPr="0057475E" w:rsidRDefault="0057475E" w:rsidP="00D95545">
      <w:pPr>
        <w:spacing w:line="360" w:lineRule="auto"/>
      </w:pPr>
      <w:r>
        <w:t>Di</w:t>
      </w:r>
      <w:r w:rsidR="000114FE">
        <w:t>scuss any bias (measurement,sel</w:t>
      </w:r>
      <w:r>
        <w:t>ection,recall,interviewer)</w:t>
      </w:r>
    </w:p>
    <w:p w14:paraId="0762B095" w14:textId="29CE7A50" w:rsidR="00663F35" w:rsidRPr="00946CA0"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41438C73" w:rsidR="00663F35"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Ethical consideration</w:t>
      </w:r>
    </w:p>
    <w:p w14:paraId="576FFB6E" w14:textId="16814BEA" w:rsidR="000114FE" w:rsidRPr="00E816DB" w:rsidRDefault="000114FE" w:rsidP="00D95545">
      <w:pPr>
        <w:spacing w:line="360" w:lineRule="auto"/>
      </w:pPr>
      <w:r>
        <w:t xml:space="preserve">Sensitive information regarding miners financial and medical status will be gathered by this study. Efforts need to be made to ensure the security of this information. Before the data is given for data analysis, the data needs to be anonymized. Only then can the data be analyzed or published. Interviewers will facilitate the answering of the questionnaires and should hand over the questionnaires to the study leader as soon as possible. </w:t>
      </w:r>
      <w:r>
        <w:t>Access to the raw data i.e. questionnaires will be restricted.</w:t>
      </w:r>
      <w:r>
        <w:t xml:space="preserve"> After processing the questionnaires will be stored in a safe location </w:t>
      </w:r>
      <w:r w:rsidR="00E816DB">
        <w:t>with only the study leader and supervisor having access.</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0EFD0952" w14:textId="329BE292" w:rsidR="00B2169F" w:rsidRPr="00B2169F" w:rsidRDefault="00AF1F3C" w:rsidP="00D95545">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B2169F" w:rsidRPr="00B2169F">
        <w:rPr>
          <w:noProof/>
          <w:szCs w:val="24"/>
        </w:rPr>
        <w:t>Audi, R. (1999) ‘The Cambridge Dictionary of Philosophy, Second Edition’.</w:t>
      </w:r>
    </w:p>
    <w:p w14:paraId="1C5B4663"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Bellamy, D. and Pravica, L. (2011) ‘Assessing the impact of driverless haul trucks in Australian surface mining’, </w:t>
      </w:r>
      <w:r w:rsidRPr="00B2169F">
        <w:rPr>
          <w:i/>
          <w:iCs/>
          <w:noProof/>
          <w:szCs w:val="24"/>
        </w:rPr>
        <w:t>Resources Policy</w:t>
      </w:r>
      <w:r w:rsidRPr="00B2169F">
        <w:rPr>
          <w:noProof/>
          <w:szCs w:val="24"/>
        </w:rPr>
        <w:t>, 36(2), pp. 149–158. doi: 10.1016/j.resourpol.2010.09.002.</w:t>
      </w:r>
    </w:p>
    <w:p w14:paraId="74A8154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Bodin, U. </w:t>
      </w:r>
      <w:r w:rsidRPr="00B2169F">
        <w:rPr>
          <w:i/>
          <w:iCs/>
          <w:noProof/>
          <w:szCs w:val="24"/>
        </w:rPr>
        <w:t>et al.</w:t>
      </w:r>
      <w:r w:rsidRPr="00B2169F">
        <w:rPr>
          <w:noProof/>
          <w:szCs w:val="24"/>
        </w:rPr>
        <w:t xml:space="preserve"> (2015) ‘Remote controlled short-cycle loading of bulk material in mining applications’, </w:t>
      </w:r>
      <w:r w:rsidRPr="00B2169F">
        <w:rPr>
          <w:i/>
          <w:iCs/>
          <w:noProof/>
          <w:szCs w:val="24"/>
        </w:rPr>
        <w:t>IFAC-PapersOnLine</w:t>
      </w:r>
      <w:r w:rsidRPr="00B2169F">
        <w:rPr>
          <w:noProof/>
          <w:szCs w:val="24"/>
        </w:rPr>
        <w:t>, 48, pp. 54–59. doi: 10.1016/j.ifacol.2015.10.077.</w:t>
      </w:r>
    </w:p>
    <w:p w14:paraId="6F448840"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Bohlmann, H. R. </w:t>
      </w:r>
      <w:r w:rsidRPr="00B2169F">
        <w:rPr>
          <w:i/>
          <w:iCs/>
          <w:noProof/>
          <w:szCs w:val="24"/>
        </w:rPr>
        <w:t>et al.</w:t>
      </w:r>
      <w:r w:rsidRPr="00B2169F">
        <w:rPr>
          <w:noProof/>
          <w:szCs w:val="24"/>
        </w:rPr>
        <w:t xml:space="preserve"> (2014) </w:t>
      </w:r>
      <w:r w:rsidRPr="00B2169F">
        <w:rPr>
          <w:i/>
          <w:iCs/>
          <w:noProof/>
          <w:szCs w:val="24"/>
        </w:rPr>
        <w:t>The Impact of the 2014 Platinum Mining Strike in South Africa: An Economy-Wide Analysis</w:t>
      </w:r>
      <w:r w:rsidRPr="00B2169F">
        <w:rPr>
          <w:noProof/>
          <w:szCs w:val="24"/>
        </w:rPr>
        <w:t>. Available at: https://www.up.ac.za/media/shared/61/WP/wp_2014_72.zp39321.pdf (Accessed: 3 November 2018).</w:t>
      </w:r>
    </w:p>
    <w:p w14:paraId="332BE215"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de Bruin, B. and Floridi, L. (2017) ‘The Ethics of Cloud Computing’, </w:t>
      </w:r>
      <w:r w:rsidRPr="00B2169F">
        <w:rPr>
          <w:i/>
          <w:iCs/>
          <w:noProof/>
          <w:szCs w:val="24"/>
        </w:rPr>
        <w:t>Science and Engineering Ethics</w:t>
      </w:r>
      <w:r w:rsidRPr="00B2169F">
        <w:rPr>
          <w:noProof/>
          <w:szCs w:val="24"/>
        </w:rPr>
        <w:t>, 23(1), pp. 21–39. doi: 10.1007/s11948-016-9759-0.</w:t>
      </w:r>
    </w:p>
    <w:p w14:paraId="358D099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Bynum, T. (2016) </w:t>
      </w:r>
      <w:r w:rsidRPr="00B2169F">
        <w:rPr>
          <w:i/>
          <w:iCs/>
          <w:noProof/>
          <w:szCs w:val="24"/>
        </w:rPr>
        <w:t>Computer and Information Ethics</w:t>
      </w:r>
      <w:r w:rsidRPr="00B2169F">
        <w:rPr>
          <w:noProof/>
          <w:szCs w:val="24"/>
        </w:rPr>
        <w:t>. Winter 201. Edited by Edward N. Zalta. Metaphysics Research Lab, Stanford University. Available at: https://plato.stanford.edu/entries/ethics-computer/ (Accessed: 25 March 2018).</w:t>
      </w:r>
    </w:p>
    <w:p w14:paraId="7EB57DAE"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Carter, P., Laurie, G. T. and Dixon-Woods, M. (2015) ‘The social licence for research: why care.data ran into trouble’, </w:t>
      </w:r>
      <w:r w:rsidRPr="00B2169F">
        <w:rPr>
          <w:i/>
          <w:iCs/>
          <w:noProof/>
          <w:szCs w:val="24"/>
        </w:rPr>
        <w:t>J Med Ethics</w:t>
      </w:r>
      <w:r w:rsidRPr="00B2169F">
        <w:rPr>
          <w:noProof/>
          <w:szCs w:val="24"/>
        </w:rPr>
        <w:t>, 41, pp. 404–409. doi: 10.1136/medethics-2014-102374.</w:t>
      </w:r>
    </w:p>
    <w:p w14:paraId="13A3734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Chiou, W.-B., Wan, P.-H. and Wan, C.-S. (2012) ‘A new look at software piracy: Soft lifting primes an inauthentic sense of self, prompting further unethical behavior’, </w:t>
      </w:r>
      <w:r w:rsidRPr="00B2169F">
        <w:rPr>
          <w:i/>
          <w:iCs/>
          <w:noProof/>
          <w:szCs w:val="24"/>
        </w:rPr>
        <w:t>Int. J. Human-Computer Studies</w:t>
      </w:r>
      <w:r w:rsidRPr="00B2169F">
        <w:rPr>
          <w:noProof/>
          <w:szCs w:val="24"/>
        </w:rPr>
        <w:t>, 70, pp. 107–115. doi: 10.1016/j.ijhcs.2011.09.001.</w:t>
      </w:r>
    </w:p>
    <w:p w14:paraId="008A1009"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Eden, G., Jirotka, M. and Stahl, B. (2013) ‘Responsible research and innovation: Critical reflection into the potential social consequences of ICT’, in </w:t>
      </w:r>
      <w:r w:rsidRPr="00B2169F">
        <w:rPr>
          <w:i/>
          <w:iCs/>
          <w:noProof/>
          <w:szCs w:val="24"/>
        </w:rPr>
        <w:t>Proceedings - International Conference on Research Challenges in Information Science</w:t>
      </w:r>
      <w:r w:rsidRPr="00B2169F">
        <w:rPr>
          <w:noProof/>
          <w:szCs w:val="24"/>
        </w:rPr>
        <w:t>. doi: 10.1109/RCIS.2013.6577706.</w:t>
      </w:r>
    </w:p>
    <w:p w14:paraId="4B95E74F"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lastRenderedPageBreak/>
        <w:t xml:space="preserve">Ess, C. (2008) ‘Luciano Floridi’s philosophy of information and information ethics: Critical reflections and the state of the art’, </w:t>
      </w:r>
      <w:r w:rsidRPr="00B2169F">
        <w:rPr>
          <w:i/>
          <w:iCs/>
          <w:noProof/>
          <w:szCs w:val="24"/>
        </w:rPr>
        <w:t>Ethics and Information Technology</w:t>
      </w:r>
      <w:r w:rsidRPr="00B2169F">
        <w:rPr>
          <w:noProof/>
          <w:szCs w:val="24"/>
        </w:rPr>
        <w:t>, 10(2–3), pp. 89–96. doi: 10.1007/s10676-008-9172-8.</w:t>
      </w:r>
    </w:p>
    <w:p w14:paraId="50D7AAD3"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European Union (2012) ‘CHARTER OF FUNDAMENTAL RIGHTS OF THE EUROPEAN UNION’, </w:t>
      </w:r>
      <w:r w:rsidRPr="00B2169F">
        <w:rPr>
          <w:i/>
          <w:iCs/>
          <w:noProof/>
          <w:szCs w:val="24"/>
        </w:rPr>
        <w:t>Official Journal of the European Union (OJ)</w:t>
      </w:r>
      <w:r w:rsidRPr="00B2169F">
        <w:rPr>
          <w:noProof/>
          <w:szCs w:val="24"/>
        </w:rPr>
        <w:t>, 326(2), pp. 391–407. Available at: https://eur-lex.europa.eu/legal-content/EN/TXT/PDF/?uri=CELEX:C2012/326/02&amp;from=EN (Accessed: 10 June 2018).</w:t>
      </w:r>
    </w:p>
    <w:p w14:paraId="7CC13FE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European Union (2016) ‘Regulation 2016/679 of the European parliament and the Council of the European Union’, </w:t>
      </w:r>
      <w:r w:rsidRPr="00B2169F">
        <w:rPr>
          <w:i/>
          <w:iCs/>
          <w:noProof/>
          <w:szCs w:val="24"/>
        </w:rPr>
        <w:t>Official Journal of the European Union (OJ)</w:t>
      </w:r>
      <w:r w:rsidRPr="00B2169F">
        <w:rPr>
          <w:noProof/>
          <w:szCs w:val="24"/>
        </w:rPr>
        <w:t>, 119(59), pp. 1–88. doi: http://eur-lex.europa.eu/pri/en/oj/dat/2003/l_285/l_28520031101en00330037.pdf.</w:t>
      </w:r>
    </w:p>
    <w:p w14:paraId="1CBCBC23"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Floridi, L. (2008) ‘Information ethics: A Reappraisal’, </w:t>
      </w:r>
      <w:r w:rsidRPr="00B2169F">
        <w:rPr>
          <w:i/>
          <w:iCs/>
          <w:noProof/>
          <w:szCs w:val="24"/>
        </w:rPr>
        <w:t>Ethics and Information Technology</w:t>
      </w:r>
      <w:r w:rsidRPr="00B2169F">
        <w:rPr>
          <w:noProof/>
          <w:szCs w:val="24"/>
        </w:rPr>
        <w:t>, 10(2–3), pp. 189–204. doi: 10.1007/s10676-008-9176-4.</w:t>
      </w:r>
    </w:p>
    <w:p w14:paraId="0F8A481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Floridi, L. (2013) ‘Distributed Morality in an Information Society’, </w:t>
      </w:r>
      <w:r w:rsidRPr="00B2169F">
        <w:rPr>
          <w:i/>
          <w:iCs/>
          <w:noProof/>
          <w:szCs w:val="24"/>
        </w:rPr>
        <w:t>Science and Engineering Ethics</w:t>
      </w:r>
      <w:r w:rsidRPr="00B2169F">
        <w:rPr>
          <w:noProof/>
          <w:szCs w:val="24"/>
        </w:rPr>
        <w:t>, 19(3), pp. 727–743. doi: 10.1007/s11948-012-9413-4.</w:t>
      </w:r>
    </w:p>
    <w:p w14:paraId="46FC1E67"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Floridi, L. (2015) </w:t>
      </w:r>
      <w:r w:rsidRPr="00B2169F">
        <w:rPr>
          <w:i/>
          <w:iCs/>
          <w:noProof/>
          <w:szCs w:val="24"/>
        </w:rPr>
        <w:t>The onlife manifesto</w:t>
      </w:r>
      <w:r w:rsidRPr="00B2169F">
        <w:rPr>
          <w:noProof/>
          <w:szCs w:val="24"/>
        </w:rPr>
        <w:t>. Springer. doi: 10.1007/978-3-319-04093-6.</w:t>
      </w:r>
    </w:p>
    <w:p w14:paraId="512727EA"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Group World Bank (2016) </w:t>
      </w:r>
      <w:r w:rsidRPr="00B2169F">
        <w:rPr>
          <w:i/>
          <w:iCs/>
          <w:noProof/>
          <w:szCs w:val="24"/>
        </w:rPr>
        <w:t>Commodity Markets Outlook, January 2016</w:t>
      </w:r>
      <w:r w:rsidRPr="00B2169F">
        <w:rPr>
          <w:noProof/>
          <w:szCs w:val="24"/>
        </w:rPr>
        <w:t>. Washington, DC. Available at: https://openknowledge.worldbank.org/bitstream/handle/10986/23680/CMOJan2016FullReport.pdf?sequence=1&amp;isAllowed=y (Accessed: 3 November 2018).</w:t>
      </w:r>
    </w:p>
    <w:p w14:paraId="6633155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Gumede, H. (2018) ‘The socio-economic effects of mechanising and / or modernising hard rock mines in South Africa’, </w:t>
      </w:r>
      <w:r w:rsidRPr="00B2169F">
        <w:rPr>
          <w:i/>
          <w:iCs/>
          <w:noProof/>
          <w:szCs w:val="24"/>
        </w:rPr>
        <w:t>South African Journal of Economic and Management Sciences</w:t>
      </w:r>
      <w:r w:rsidRPr="00B2169F">
        <w:rPr>
          <w:noProof/>
          <w:szCs w:val="24"/>
        </w:rPr>
        <w:t>, 21(1), pp. 1–11. doi: 10.4102/sajems.v21i1.1848.</w:t>
      </w:r>
    </w:p>
    <w:p w14:paraId="50C5D869"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Hermanus, M. (2017) ‘Mining redesigned - innovation and technology needs for the future - a South African perspective’, </w:t>
      </w:r>
      <w:r w:rsidRPr="00B2169F">
        <w:rPr>
          <w:i/>
          <w:iCs/>
          <w:noProof/>
          <w:szCs w:val="24"/>
        </w:rPr>
        <w:t>Journal of the Southern African Institute of Mining and Metallurgy</w:t>
      </w:r>
      <w:r w:rsidRPr="00B2169F">
        <w:rPr>
          <w:noProof/>
          <w:szCs w:val="24"/>
        </w:rPr>
        <w:t>. scieloza, 117, pp. 811–818. doi: 10.17159/2411-9717/2017/v117n8a12.</w:t>
      </w:r>
    </w:p>
    <w:p w14:paraId="510C0404"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Hlatshwayo, S. and Saxegaard, M. (2016) </w:t>
      </w:r>
      <w:r w:rsidRPr="00B2169F">
        <w:rPr>
          <w:i/>
          <w:iCs/>
          <w:noProof/>
          <w:szCs w:val="24"/>
        </w:rPr>
        <w:t>The Consequences of Policy Uncertainty: Disconnects and Dilutions in the South African Real Effective Exchange Rate-Export Relationship</w:t>
      </w:r>
      <w:r w:rsidRPr="00B2169F">
        <w:rPr>
          <w:noProof/>
          <w:szCs w:val="24"/>
        </w:rPr>
        <w:t xml:space="preserve">. Available at: </w:t>
      </w:r>
      <w:r w:rsidRPr="00B2169F">
        <w:rPr>
          <w:noProof/>
          <w:szCs w:val="24"/>
        </w:rPr>
        <w:lastRenderedPageBreak/>
        <w:t>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5502FF6B"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Van Den Hoven, J. (2017) ‘Ethics for the Digital Age: Where Are the Moral Specs?’, in Werthner, H. and van Harmelen, F. (eds) </w:t>
      </w:r>
      <w:r w:rsidRPr="00B2169F">
        <w:rPr>
          <w:i/>
          <w:iCs/>
          <w:noProof/>
          <w:szCs w:val="24"/>
        </w:rPr>
        <w:t>Informatics in the Future</w:t>
      </w:r>
      <w:r w:rsidRPr="00B2169F">
        <w:rPr>
          <w:noProof/>
          <w:szCs w:val="24"/>
        </w:rPr>
        <w:t>, pp. 65–76. doi: 10.1007/978-3-319-55735-9_6.</w:t>
      </w:r>
    </w:p>
    <w:p w14:paraId="6F0D9046"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Hyder, Z., Siau, K. and Nah, F. F.-H. (2018) ‘Use of Artificial Intelligence , Machine Learning, and Autonomous Technologies in the Mining Industry’, in </w:t>
      </w:r>
      <w:r w:rsidRPr="00B2169F">
        <w:rPr>
          <w:i/>
          <w:iCs/>
          <w:noProof/>
          <w:szCs w:val="24"/>
        </w:rPr>
        <w:t>Thirteenth Midwest Association for Information Systems Conference (MWAIS)</w:t>
      </w:r>
      <w:r w:rsidRPr="00B2169F">
        <w:rPr>
          <w:noProof/>
          <w:szCs w:val="24"/>
        </w:rPr>
        <w:t>, pp. 1–5. doi: 10.17818/NM/2015/SI8.</w:t>
      </w:r>
    </w:p>
    <w:p w14:paraId="7664B68D"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Kraemer, F., van Overveld, K. and Peterson, M. (2011) ‘Is there an ethics of algorithms?’, </w:t>
      </w:r>
      <w:r w:rsidRPr="00B2169F">
        <w:rPr>
          <w:i/>
          <w:iCs/>
          <w:noProof/>
          <w:szCs w:val="24"/>
        </w:rPr>
        <w:t>Ethics and Information Technology</w:t>
      </w:r>
      <w:r w:rsidRPr="00B2169F">
        <w:rPr>
          <w:noProof/>
          <w:szCs w:val="24"/>
        </w:rPr>
        <w:t>, 13(3), pp. 251–260. doi: 10.1007/s10676-010-9233-7.</w:t>
      </w:r>
    </w:p>
    <w:p w14:paraId="10BC396F"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Leonelli, S. (2018) ‘Locating ethics in data science: responsibility and accountability in global and distributed knowledge production systems’. doi: 10.1098/rsta.2016.0122.</w:t>
      </w:r>
    </w:p>
    <w:p w14:paraId="1FF414B1"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Maner, W. (1980) ‘Starter kit in computer ethics’, </w:t>
      </w:r>
      <w:r w:rsidRPr="00B2169F">
        <w:rPr>
          <w:i/>
          <w:iCs/>
          <w:noProof/>
          <w:szCs w:val="24"/>
        </w:rPr>
        <w:t>Hyde Park, NY: Helvetia Press and the National Information and Resource Center for Teaching Philosophy</w:t>
      </w:r>
      <w:r w:rsidRPr="00B2169F">
        <w:rPr>
          <w:noProof/>
          <w:szCs w:val="24"/>
        </w:rPr>
        <w:t>.</w:t>
      </w:r>
    </w:p>
    <w:p w14:paraId="71CA9B1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Matthias, A. (2004) ‘The responsibility gap: Ascribing responsibility for the actions of learning automata’, </w:t>
      </w:r>
      <w:r w:rsidRPr="00B2169F">
        <w:rPr>
          <w:i/>
          <w:iCs/>
          <w:noProof/>
          <w:szCs w:val="24"/>
        </w:rPr>
        <w:t>Ethics and Information Technology</w:t>
      </w:r>
      <w:r w:rsidRPr="00B2169F">
        <w:rPr>
          <w:noProof/>
          <w:szCs w:val="24"/>
        </w:rPr>
        <w:t>, 6(3), pp. 175–183. doi: 10.1007/s10676-004-3422-1.</w:t>
      </w:r>
    </w:p>
    <w:p w14:paraId="04ABFA67"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Mizani, M. A. and Baykal, N. (2007) ‘A software platform to analyse the ethical issues of electronic patient privary policy: The S3P example’, </w:t>
      </w:r>
      <w:r w:rsidRPr="00B2169F">
        <w:rPr>
          <w:i/>
          <w:iCs/>
          <w:noProof/>
          <w:szCs w:val="24"/>
        </w:rPr>
        <w:t>Journal of Medical Ethics</w:t>
      </w:r>
      <w:r w:rsidRPr="00B2169F">
        <w:rPr>
          <w:noProof/>
          <w:szCs w:val="24"/>
        </w:rPr>
        <w:t>, 33(12), pp. 695–698. doi: 10.1136/jme.2006.018473.</w:t>
      </w:r>
    </w:p>
    <w:p w14:paraId="54B1F471"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Moolman, V. (2018) </w:t>
      </w:r>
      <w:r w:rsidRPr="00B2169F">
        <w:rPr>
          <w:i/>
          <w:iCs/>
          <w:noProof/>
          <w:szCs w:val="24"/>
        </w:rPr>
        <w:t>Autonomous mining vehicle test at SA coal mine successfully completed</w:t>
      </w:r>
      <w:r w:rsidRPr="00B2169F">
        <w:rPr>
          <w:noProof/>
          <w:szCs w:val="24"/>
        </w:rPr>
        <w:t xml:space="preserve">, </w:t>
      </w:r>
      <w:r w:rsidRPr="00B2169F">
        <w:rPr>
          <w:i/>
          <w:iCs/>
          <w:noProof/>
          <w:szCs w:val="24"/>
        </w:rPr>
        <w:t>MINING WEEKLY</w:t>
      </w:r>
      <w:r w:rsidRPr="00B2169F">
        <w:rPr>
          <w:noProof/>
          <w:szCs w:val="24"/>
        </w:rPr>
        <w:t>. Available at: http://m.miningweekly.com/article/autonomous-mining-vehicle-test-at-sa-coal-mine-successfully-completed-2018-05-11/rep_id:3861 (Accessed: 28 October 2018).</w:t>
      </w:r>
    </w:p>
    <w:p w14:paraId="49FB87A4"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Moor, J. H. (1985) ‘What is Computer Ethics?’, pp. 67–69. Available at: </w:t>
      </w:r>
      <w:r w:rsidRPr="00B2169F">
        <w:rPr>
          <w:noProof/>
          <w:szCs w:val="24"/>
        </w:rPr>
        <w:lastRenderedPageBreak/>
        <w:t>https://pdfs.semanticscholar.org/2b26/2968529c25ebc2647f58cbb50a46fffcce17.pdf (Accessed: 25 March 2018).</w:t>
      </w:r>
    </w:p>
    <w:p w14:paraId="518F6A54"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PWC (2014) ‘Highlighting trends in the South African mining industry’, </w:t>
      </w:r>
      <w:r w:rsidRPr="00B2169F">
        <w:rPr>
          <w:i/>
          <w:iCs/>
          <w:noProof/>
          <w:szCs w:val="24"/>
        </w:rPr>
        <w:t>SA Mine</w:t>
      </w:r>
      <w:r w:rsidRPr="00B2169F">
        <w:rPr>
          <w:noProof/>
          <w:szCs w:val="24"/>
        </w:rPr>
        <w:t>, 6(November). Available at: www.pwc.co.za/mining (Accessed: 3 November 2018).</w:t>
      </w:r>
    </w:p>
    <w:p w14:paraId="05EF0ADC"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Simon, J. (2016) ‘Value-Sensitive Design and Responsible Research and Innovation’, </w:t>
      </w:r>
      <w:r w:rsidRPr="00B2169F">
        <w:rPr>
          <w:i/>
          <w:iCs/>
          <w:noProof/>
          <w:szCs w:val="24"/>
        </w:rPr>
        <w:t>The Ethics of Technology: Methods and Approaches</w:t>
      </w:r>
      <w:r w:rsidRPr="00B2169F">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3E805471"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(2012) ‘Morality, Ethics, and Reflection: A Categorization of Normative IS Research’, </w:t>
      </w:r>
      <w:r w:rsidRPr="00B2169F">
        <w:rPr>
          <w:i/>
          <w:iCs/>
          <w:noProof/>
          <w:szCs w:val="24"/>
        </w:rPr>
        <w:t>Journal of the Association for Information Systems</w:t>
      </w:r>
      <w:r w:rsidRPr="00B2169F">
        <w:rPr>
          <w:noProof/>
          <w:szCs w:val="24"/>
        </w:rPr>
        <w:t>, 13(8), pp. 636–656. Available at: http://search.proquest.com.ezproxylocal.library.nova.edu/docview/1039704452?accountid=6579.</w:t>
      </w:r>
    </w:p>
    <w:p w14:paraId="5C344792"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(2013) ‘Responsible research and innovation: The role of privacy in an emerging framework’, </w:t>
      </w:r>
      <w:r w:rsidRPr="00B2169F">
        <w:rPr>
          <w:i/>
          <w:iCs/>
          <w:noProof/>
          <w:szCs w:val="24"/>
        </w:rPr>
        <w:t>Science and Public Policy</w:t>
      </w:r>
      <w:r w:rsidRPr="00B2169F">
        <w:rPr>
          <w:noProof/>
          <w:szCs w:val="24"/>
        </w:rPr>
        <w:t>, 40(6), pp. 708–716. doi: 10.1093/scipol/sct067.</w:t>
      </w:r>
    </w:p>
    <w:p w14:paraId="5CAA81AE"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w:t>
      </w:r>
      <w:r w:rsidRPr="00B2169F">
        <w:rPr>
          <w:i/>
          <w:iCs/>
          <w:noProof/>
          <w:szCs w:val="24"/>
        </w:rPr>
        <w:t>et al.</w:t>
      </w:r>
      <w:r w:rsidRPr="00B2169F">
        <w:rPr>
          <w:noProof/>
          <w:szCs w:val="24"/>
        </w:rPr>
        <w:t xml:space="preserve"> (2014) ‘From computer ethics to responsible research and innovation in ICT: The transition of reference discourses informing ethics-related research in information systems’, </w:t>
      </w:r>
      <w:r w:rsidRPr="00B2169F">
        <w:rPr>
          <w:i/>
          <w:iCs/>
          <w:noProof/>
          <w:szCs w:val="24"/>
        </w:rPr>
        <w:t>Information &amp; Management</w:t>
      </w:r>
      <w:r w:rsidRPr="00B2169F">
        <w:rPr>
          <w:noProof/>
          <w:szCs w:val="24"/>
        </w:rPr>
        <w:t>, 51, pp. 810–818. doi: 10.1016/j.im.2014.01.001.</w:t>
      </w:r>
    </w:p>
    <w:p w14:paraId="143DE1A8"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w:t>
      </w:r>
      <w:r w:rsidRPr="00B2169F">
        <w:rPr>
          <w:i/>
          <w:iCs/>
          <w:noProof/>
          <w:szCs w:val="24"/>
        </w:rPr>
        <w:t>et al.</w:t>
      </w:r>
      <w:r w:rsidRPr="00B2169F">
        <w:rPr>
          <w:noProof/>
          <w:szCs w:val="24"/>
        </w:rPr>
        <w:t xml:space="preserve"> (2016) ‘The Ethics of Computing: A Survey of the Computing-Oriented Literature’, </w:t>
      </w:r>
      <w:r w:rsidRPr="00B2169F">
        <w:rPr>
          <w:i/>
          <w:iCs/>
          <w:noProof/>
          <w:szCs w:val="24"/>
        </w:rPr>
        <w:t>ACM Computing Surveys</w:t>
      </w:r>
      <w:r w:rsidRPr="00B2169F">
        <w:rPr>
          <w:noProof/>
          <w:szCs w:val="24"/>
        </w:rPr>
        <w:t>, 48(4), pp. 1–38. doi: 10.1145/2871196.</w:t>
      </w:r>
    </w:p>
    <w:p w14:paraId="25069DA9"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t xml:space="preserve">Stahl, B. C., Eden, G. and Jirotka, M. (2013) ‘Responsible Research and Innovation in Information and Communication Technology: Identifying and Engaging with the Ethical Implications of ICTs’, in </w:t>
      </w:r>
      <w:r w:rsidRPr="00B2169F">
        <w:rPr>
          <w:i/>
          <w:iCs/>
          <w:noProof/>
          <w:szCs w:val="24"/>
        </w:rPr>
        <w:t>Responsible Innovation: Managing the Responsible Emergence of Science and Innovation in Society</w:t>
      </w:r>
      <w:r w:rsidRPr="00B2169F">
        <w:rPr>
          <w:noProof/>
          <w:szCs w:val="24"/>
        </w:rPr>
        <w:t>. Wiley-Blackwell, pp. 199–218. doi: 10.1002/9781118551424.ch11.</w:t>
      </w:r>
    </w:p>
    <w:p w14:paraId="09DB15A5" w14:textId="77777777" w:rsidR="00B2169F" w:rsidRPr="00B2169F" w:rsidRDefault="00B2169F" w:rsidP="00D95545">
      <w:pPr>
        <w:widowControl w:val="0"/>
        <w:autoSpaceDE w:val="0"/>
        <w:autoSpaceDN w:val="0"/>
        <w:adjustRightInd w:val="0"/>
        <w:spacing w:line="360" w:lineRule="auto"/>
        <w:rPr>
          <w:noProof/>
          <w:szCs w:val="24"/>
        </w:rPr>
      </w:pPr>
      <w:r w:rsidRPr="00B2169F">
        <w:rPr>
          <w:noProof/>
          <w:szCs w:val="24"/>
        </w:rPr>
        <w:lastRenderedPageBreak/>
        <w:t xml:space="preserve">Warren, S. D. and Brandeis, L. D. (1890) ‘The Right to Privacy’, </w:t>
      </w:r>
      <w:r w:rsidRPr="00B2169F">
        <w:rPr>
          <w:i/>
          <w:iCs/>
          <w:noProof/>
          <w:szCs w:val="24"/>
        </w:rPr>
        <w:t>Source: Harvard Law Review</w:t>
      </w:r>
      <w:r w:rsidRPr="00B2169F">
        <w:rPr>
          <w:noProof/>
          <w:szCs w:val="24"/>
        </w:rPr>
        <w:t>, 4(5), pp. 193–220. Available at: http://www.jstor.org/stable/1321160 (Accessed: 24 March 2018).</w:t>
      </w:r>
    </w:p>
    <w:p w14:paraId="34DA05BA" w14:textId="77777777" w:rsidR="00B2169F" w:rsidRPr="00B2169F" w:rsidRDefault="00B2169F" w:rsidP="00D95545">
      <w:pPr>
        <w:widowControl w:val="0"/>
        <w:autoSpaceDE w:val="0"/>
        <w:autoSpaceDN w:val="0"/>
        <w:adjustRightInd w:val="0"/>
        <w:spacing w:line="360" w:lineRule="auto"/>
        <w:rPr>
          <w:noProof/>
        </w:rPr>
      </w:pPr>
      <w:r w:rsidRPr="00B2169F">
        <w:rPr>
          <w:noProof/>
          <w:szCs w:val="24"/>
        </w:rPr>
        <w:t xml:space="preserve">Wiltshire, T. J. (2015) ‘A Prospective Framework for the Design of Ideal Artificial Moral Agents: Insights from the Science of Heroism in Humans’, </w:t>
      </w:r>
      <w:r w:rsidRPr="00B2169F">
        <w:rPr>
          <w:i/>
          <w:iCs/>
          <w:noProof/>
          <w:szCs w:val="24"/>
        </w:rPr>
        <w:t>Minds and Machines</w:t>
      </w:r>
      <w:r w:rsidRPr="00B2169F">
        <w:rPr>
          <w:noProof/>
          <w:szCs w:val="24"/>
        </w:rPr>
        <w:t>, 25(1), pp. 57–71. doi: 10.1007/s11023-015-9361-2.</w:t>
      </w:r>
    </w:p>
    <w:p w14:paraId="4E8D7F3A" w14:textId="79A894E1" w:rsidR="00451079" w:rsidRPr="00946CA0" w:rsidRDefault="00AF1F3C" w:rsidP="00D95545">
      <w:pPr>
        <w:spacing w:line="360" w:lineRule="auto"/>
        <w:jc w:val="both"/>
        <w:rPr>
          <w:b/>
          <w:szCs w:val="24"/>
        </w:rPr>
      </w:pPr>
      <w:r w:rsidRPr="00946CA0">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299A9" w14:textId="77777777" w:rsidR="00E46540" w:rsidRDefault="00E46540" w:rsidP="009144AB">
      <w:pPr>
        <w:spacing w:after="0" w:line="240" w:lineRule="auto"/>
      </w:pPr>
      <w:r>
        <w:separator/>
      </w:r>
    </w:p>
  </w:endnote>
  <w:endnote w:type="continuationSeparator" w:id="0">
    <w:p w14:paraId="7FFAE616" w14:textId="77777777" w:rsidR="00E46540" w:rsidRDefault="00E46540"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5E1BC7" w:rsidRPr="00AF1F3C" w:rsidRDefault="005E1BC7">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sidR="0057475E">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5E1BC7" w:rsidRPr="00AF1F3C" w:rsidRDefault="005E1BC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929F0" w14:textId="77777777" w:rsidR="00E46540" w:rsidRDefault="00E46540" w:rsidP="009144AB">
      <w:pPr>
        <w:spacing w:after="0" w:line="240" w:lineRule="auto"/>
      </w:pPr>
      <w:r>
        <w:separator/>
      </w:r>
    </w:p>
  </w:footnote>
  <w:footnote w:type="continuationSeparator" w:id="0">
    <w:p w14:paraId="01F63E6F" w14:textId="77777777" w:rsidR="00E46540" w:rsidRDefault="00E46540" w:rsidP="009144AB">
      <w:pPr>
        <w:spacing w:after="0" w:line="240" w:lineRule="auto"/>
      </w:pPr>
      <w:r>
        <w:continuationSeparator/>
      </w:r>
    </w:p>
  </w:footnote>
  <w:footnote w:id="1">
    <w:p w14:paraId="5D9250A8" w14:textId="4C1E0799" w:rsidR="00E84520" w:rsidRDefault="00E84520">
      <w:pPr>
        <w:pStyle w:val="FootnoteText"/>
      </w:pPr>
      <w:r>
        <w:rPr>
          <w:rStyle w:val="FootnoteReference"/>
        </w:rPr>
        <w:footnoteRef/>
      </w:r>
      <w:r>
        <w:t xml:space="preserve"> A platinum mine</w:t>
      </w:r>
    </w:p>
  </w:footnote>
  <w:footnote w:id="2">
    <w:p w14:paraId="498BAB9D" w14:textId="0FC308A2" w:rsidR="00E84520" w:rsidRDefault="00E84520">
      <w:pPr>
        <w:pStyle w:val="FootnoteText"/>
      </w:pPr>
      <w:r>
        <w:rPr>
          <w:rStyle w:val="FootnoteReference"/>
        </w:rPr>
        <w:footnoteRef/>
      </w:r>
      <w:r>
        <w:t xml:space="preserve"> A coal mine</w:t>
      </w:r>
    </w:p>
  </w:footnote>
  <w:footnote w:id="3">
    <w:p w14:paraId="576B2E29" w14:textId="3647D346" w:rsidR="00E84520" w:rsidRDefault="00E84520">
      <w:pPr>
        <w:pStyle w:val="FootnoteText"/>
      </w:pPr>
      <w:r>
        <w:rPr>
          <w:rStyle w:val="FootnoteReference"/>
        </w:rPr>
        <w:footnoteRef/>
      </w:r>
      <w:r>
        <w:t xml:space="preserve"> An iron ore mine</w:t>
      </w:r>
    </w:p>
  </w:footnote>
  <w:footnote w:id="4">
    <w:p w14:paraId="4A03B7FA" w14:textId="5D6C98B7" w:rsidR="005E1BC7" w:rsidRPr="00695A0A" w:rsidRDefault="005E1BC7">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33FF1812" w:rsidR="005E1BC7" w:rsidRPr="000114FE" w:rsidRDefault="000114FE">
    <w:pPr>
      <w:pStyle w:val="Header"/>
      <w:rPr>
        <w:sz w:val="18"/>
        <w:lang w:val="en-GB"/>
      </w:rPr>
    </w:pPr>
    <w:r w:rsidRPr="000114FE">
      <w:rPr>
        <w:sz w:val="18"/>
        <w:lang w:val="en-GB"/>
      </w:rPr>
      <w:t xml:space="preserve">Socio-economic consequences of </w:t>
    </w:r>
    <w:r w:rsidR="00E8552D" w:rsidRPr="000114FE">
      <w:rPr>
        <w:sz w:val="18"/>
        <w:lang w:val="en-GB"/>
      </w:rPr>
      <w:t>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6D388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94851"/>
    <w:rsid w:val="001A4464"/>
    <w:rsid w:val="001A4E5A"/>
    <w:rsid w:val="001A7A32"/>
    <w:rsid w:val="001B2B6F"/>
    <w:rsid w:val="001B73DD"/>
    <w:rsid w:val="00217FE6"/>
    <w:rsid w:val="00230E14"/>
    <w:rsid w:val="00240FBF"/>
    <w:rsid w:val="0026309E"/>
    <w:rsid w:val="00273FCC"/>
    <w:rsid w:val="00281BA6"/>
    <w:rsid w:val="0028283C"/>
    <w:rsid w:val="00285949"/>
    <w:rsid w:val="002913F1"/>
    <w:rsid w:val="002B5A61"/>
    <w:rsid w:val="002F7730"/>
    <w:rsid w:val="00330B2B"/>
    <w:rsid w:val="00333B80"/>
    <w:rsid w:val="00354CDD"/>
    <w:rsid w:val="0037542F"/>
    <w:rsid w:val="00397B70"/>
    <w:rsid w:val="003A5E0D"/>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27877"/>
    <w:rsid w:val="005302C5"/>
    <w:rsid w:val="00537BDD"/>
    <w:rsid w:val="00542F96"/>
    <w:rsid w:val="00545E5C"/>
    <w:rsid w:val="00554D77"/>
    <w:rsid w:val="005637A6"/>
    <w:rsid w:val="005707DC"/>
    <w:rsid w:val="0057475E"/>
    <w:rsid w:val="00576066"/>
    <w:rsid w:val="00577348"/>
    <w:rsid w:val="00583308"/>
    <w:rsid w:val="00595D2C"/>
    <w:rsid w:val="005C525B"/>
    <w:rsid w:val="005D32B6"/>
    <w:rsid w:val="005E1BC7"/>
    <w:rsid w:val="005E3DB1"/>
    <w:rsid w:val="0061254F"/>
    <w:rsid w:val="006362EA"/>
    <w:rsid w:val="00642EA2"/>
    <w:rsid w:val="00663F35"/>
    <w:rsid w:val="0068597B"/>
    <w:rsid w:val="00695A0A"/>
    <w:rsid w:val="006A76D2"/>
    <w:rsid w:val="006D21D0"/>
    <w:rsid w:val="006E4711"/>
    <w:rsid w:val="006E774C"/>
    <w:rsid w:val="00707CA8"/>
    <w:rsid w:val="00711AB1"/>
    <w:rsid w:val="0071774B"/>
    <w:rsid w:val="00735AB8"/>
    <w:rsid w:val="007531B1"/>
    <w:rsid w:val="00753AFB"/>
    <w:rsid w:val="00762491"/>
    <w:rsid w:val="00773927"/>
    <w:rsid w:val="007915C8"/>
    <w:rsid w:val="0079442B"/>
    <w:rsid w:val="0079637F"/>
    <w:rsid w:val="007A4979"/>
    <w:rsid w:val="007B774F"/>
    <w:rsid w:val="007B7A2B"/>
    <w:rsid w:val="007C1410"/>
    <w:rsid w:val="008022A5"/>
    <w:rsid w:val="00807E6C"/>
    <w:rsid w:val="00826CDB"/>
    <w:rsid w:val="0085178E"/>
    <w:rsid w:val="00863DB6"/>
    <w:rsid w:val="0086603B"/>
    <w:rsid w:val="00881576"/>
    <w:rsid w:val="008831A2"/>
    <w:rsid w:val="008C544A"/>
    <w:rsid w:val="008C634E"/>
    <w:rsid w:val="009144AB"/>
    <w:rsid w:val="0092028D"/>
    <w:rsid w:val="0092217A"/>
    <w:rsid w:val="009466A4"/>
    <w:rsid w:val="00946CA0"/>
    <w:rsid w:val="009641A9"/>
    <w:rsid w:val="00986E8E"/>
    <w:rsid w:val="009B062C"/>
    <w:rsid w:val="009B52DF"/>
    <w:rsid w:val="009B7658"/>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91EEF"/>
    <w:rsid w:val="00A964A6"/>
    <w:rsid w:val="00AA1BE6"/>
    <w:rsid w:val="00AA33E2"/>
    <w:rsid w:val="00AB2934"/>
    <w:rsid w:val="00AD69AF"/>
    <w:rsid w:val="00AE32BF"/>
    <w:rsid w:val="00AF15B6"/>
    <w:rsid w:val="00AF1F3C"/>
    <w:rsid w:val="00AF29CE"/>
    <w:rsid w:val="00B055C4"/>
    <w:rsid w:val="00B068A9"/>
    <w:rsid w:val="00B11C6C"/>
    <w:rsid w:val="00B2169F"/>
    <w:rsid w:val="00B2368F"/>
    <w:rsid w:val="00B54587"/>
    <w:rsid w:val="00B87281"/>
    <w:rsid w:val="00BA1097"/>
    <w:rsid w:val="00BC4C99"/>
    <w:rsid w:val="00C109CB"/>
    <w:rsid w:val="00C42D01"/>
    <w:rsid w:val="00C53FD5"/>
    <w:rsid w:val="00C60275"/>
    <w:rsid w:val="00C628A5"/>
    <w:rsid w:val="00CA382B"/>
    <w:rsid w:val="00CA6B61"/>
    <w:rsid w:val="00CA72D9"/>
    <w:rsid w:val="00CC5D61"/>
    <w:rsid w:val="00CC7070"/>
    <w:rsid w:val="00CD7998"/>
    <w:rsid w:val="00CD7B49"/>
    <w:rsid w:val="00D00214"/>
    <w:rsid w:val="00D057D6"/>
    <w:rsid w:val="00D13901"/>
    <w:rsid w:val="00D20A52"/>
    <w:rsid w:val="00D2643E"/>
    <w:rsid w:val="00D32913"/>
    <w:rsid w:val="00D402D1"/>
    <w:rsid w:val="00D65348"/>
    <w:rsid w:val="00D85723"/>
    <w:rsid w:val="00D95545"/>
    <w:rsid w:val="00DA3F4E"/>
    <w:rsid w:val="00DA6E30"/>
    <w:rsid w:val="00DB51EE"/>
    <w:rsid w:val="00DD1BBD"/>
    <w:rsid w:val="00DD1DBD"/>
    <w:rsid w:val="00DE72FA"/>
    <w:rsid w:val="00DF4165"/>
    <w:rsid w:val="00E24B4D"/>
    <w:rsid w:val="00E302B0"/>
    <w:rsid w:val="00E46540"/>
    <w:rsid w:val="00E55498"/>
    <w:rsid w:val="00E57530"/>
    <w:rsid w:val="00E669DC"/>
    <w:rsid w:val="00E719AE"/>
    <w:rsid w:val="00E7540C"/>
    <w:rsid w:val="00E816DB"/>
    <w:rsid w:val="00E84520"/>
    <w:rsid w:val="00E8552D"/>
    <w:rsid w:val="00EA299E"/>
    <w:rsid w:val="00EA77FB"/>
    <w:rsid w:val="00EC14B8"/>
    <w:rsid w:val="00EE4D6B"/>
    <w:rsid w:val="00F1356C"/>
    <w:rsid w:val="00F22034"/>
    <w:rsid w:val="00F22238"/>
    <w:rsid w:val="00F22A0C"/>
    <w:rsid w:val="00F235F7"/>
    <w:rsid w:val="00F237C5"/>
    <w:rsid w:val="00F26E11"/>
    <w:rsid w:val="00F31145"/>
    <w:rsid w:val="00F31BF1"/>
    <w:rsid w:val="00F45D2E"/>
    <w:rsid w:val="00F46AE2"/>
    <w:rsid w:val="00F6246C"/>
    <w:rsid w:val="00F76A6E"/>
    <w:rsid w:val="00F94BC5"/>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B6945-CDB1-434E-B692-96DCFFDB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28318</TotalTime>
  <Pages>19</Pages>
  <Words>25821</Words>
  <Characters>147184</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61</cp:revision>
  <dcterms:created xsi:type="dcterms:W3CDTF">2018-03-27T15:03:00Z</dcterms:created>
  <dcterms:modified xsi:type="dcterms:W3CDTF">2018-11-10T11:54:00Z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