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11.) Deliveries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Deliveries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DID CHAR(40),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recipient 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item 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(DID),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 (recipient) REFERENCES RegisteredUsers (username)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ON DELETE NO ACTION,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 (item) REFERENCES Items (IID)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635"/>
        <w:gridCol w:w="1050"/>
        <w:tblGridChange w:id="0">
          <w:tblGrid>
            <w:gridCol w:w="1290"/>
            <w:gridCol w:w="1635"/>
            <w:gridCol w:w="1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recipient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447675</wp:posOffset>
                </wp:positionH>
                <wp:positionV relativeFrom="paragraph">
                  <wp:posOffset>47625</wp:posOffset>
                </wp:positionV>
                <wp:extent cx="1409700" cy="3524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81175" y="1914600"/>
                          <a:ext cx="1409700" cy="352425"/>
                          <a:chOff x="2981175" y="1914600"/>
                          <a:chExt cx="1390800" cy="333300"/>
                        </a:xfrm>
                      </wpg:grpSpPr>
                      <wps:wsp>
                        <wps:cNvCnPr/>
                        <wps:spPr>
                          <a:xfrm rot="10800000">
                            <a:off x="2981175" y="2247900"/>
                            <a:ext cx="139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343400" y="1981200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686175" y="1952625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019425" y="1914600"/>
                            <a:ext cx="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447675</wp:posOffset>
                </wp:positionH>
                <wp:positionV relativeFrom="paragraph">
                  <wp:posOffset>47625</wp:posOffset>
                </wp:positionV>
                <wp:extent cx="1409700" cy="352425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