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left"/>
      </w:pPr>
      <w:r>
        <w:rPr>
          <w:rFonts w:ascii="Arial" w:cs="Arial" w:eastAsia="Arial" w:hAnsi="Arial"/>
          <w:b/>
          <w:bCs/>
          <w:color w:val="1B3A5C"/>
          <w:sz w:val="52"/>
          <w:szCs w:val="52"/>
        </w:rPr>
        <w:t xml:space="preserve">Share Purchase Agreement</w:t>
      </w:r>
    </w:p>
    <w:p>
      <w:pPr>
        <w:spacing w:before="200"/>
      </w:pPr>
      <w:r>
        <w:rPr>
          <w:rFonts w:ascii="Arial" w:cs="Arial" w:eastAsia="Arial" w:hAnsi="Arial"/>
          <w:color w:val="666666"/>
          <w:sz w:val="28"/>
          <w:szCs w:val="28"/>
        </w:rPr>
        <w:t xml:space="preserve">Project Kingfisher - Draft for Discussion</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January 2026</w:t>
      </w:r>
    </w:p>
    <w:p>
      <w:r>
        <w:rPr>
          <w:rFonts w:ascii="Arial" w:cs="Arial" w:eastAsia="Arial" w:hAnsi="Arial"/>
          <w:b/>
          <w:bCs/>
          <w:sz w:val="22"/>
          <w:szCs w:val="22"/>
        </w:rPr>
        <w:t xml:space="preserve">Project Code: </w:t>
      </w:r>
      <w:r>
        <w:rPr>
          <w:rFonts w:ascii="Arial" w:cs="Arial" w:eastAsia="Arial" w:hAnsi="Arial"/>
          <w:sz w:val="22"/>
          <w:szCs w:val="22"/>
        </w:rPr>
        <w:t xml:space="preserve">WES-PKF-SPA-001</w:t>
      </w:r>
    </w:p>
    <w:p>
      <w:r>
        <w:rPr>
          <w:rFonts w:ascii="Arial" w:cs="Arial" w:eastAsia="Arial" w:hAnsi="Arial"/>
          <w:b/>
          <w:bCs/>
          <w:sz w:val="22"/>
          <w:szCs w:val="22"/>
        </w:rPr>
        <w:t xml:space="preserve">Prepared by: </w:t>
      </w:r>
      <w:r>
        <w:rPr>
          <w:rFonts w:ascii="Arial" w:cs="Arial" w:eastAsia="Arial" w:hAnsi="Arial"/>
          <w:sz w:val="22"/>
          <w:szCs w:val="22"/>
        </w:rPr>
        <w:t xml:space="preserve">Gilbert + Tobin</w:t>
      </w:r>
    </w:p>
    <w:p>
      <w:r>
        <w:rPr>
          <w:rFonts w:ascii="Arial" w:cs="Arial" w:eastAsia="Arial" w:hAnsi="Arial"/>
          <w:b/>
          <w:bCs/>
          <w:sz w:val="22"/>
          <w:szCs w:val="22"/>
        </w:rPr>
        <w:t xml:space="preserve">Lead Partner: </w:t>
      </w:r>
      <w:r>
        <w:rPr>
          <w:rFonts w:ascii="Arial" w:cs="Arial" w:eastAsia="Arial" w:hAnsi="Arial"/>
          <w:sz w:val="22"/>
          <w:szCs w:val="22"/>
        </w:rPr>
        <w:t xml:space="preserve">Andrew Chen</w:t>
      </w:r>
    </w:p>
    <w:p>
      <w:r>
        <w:rPr>
          <w:rFonts w:ascii="Arial" w:cs="Arial" w:eastAsia="Arial" w:hAnsi="Arial"/>
          <w:b/>
          <w:bCs/>
          <w:sz w:val="22"/>
          <w:szCs w:val="22"/>
        </w:rPr>
        <w:t xml:space="preserve">Status: </w:t>
      </w:r>
      <w:r>
        <w:rPr>
          <w:rFonts w:ascii="Arial" w:cs="Arial" w:eastAsia="Arial" w:hAnsi="Arial"/>
          <w:sz w:val="22"/>
          <w:szCs w:val="22"/>
        </w:rPr>
        <w:t xml:space="preserve">DRAFT - Subject to Board Approval</w:t>
      </w:r>
    </w:p>
    <w:p>
      <w:pPr>
        <w:spacing w:before="1200"/>
        <w:jc w:val="center"/>
      </w:pPr>
      <w:r>
        <w:rPr>
          <w:rFonts w:ascii="Arial" w:cs="Arial" w:eastAsia="Arial" w:hAnsi="Arial"/>
          <w:b/>
          <w:bCs/>
          <w:color w:val="C8102E"/>
          <w:sz w:val="18"/>
          <w:szCs w:val="18"/>
        </w:rPr>
        <w:t xml:space="preserve">STRICTLY PRIVATE &amp; CONFIDENTIAL</w:t>
      </w:r>
    </w:p>
    <w:p>
      <w:pPr>
        <w:spacing w:before="200"/>
      </w:pPr>
      <w:r>
        <w:rPr>
          <w:rFonts w:ascii="Arial" w:cs="Arial" w:eastAsia="Arial" w:hAnsi="Arial"/>
          <w:i/>
          <w:iCs/>
          <w:color w:val="666666"/>
          <w:sz w:val="16"/>
          <w:szCs w:val="16"/>
        </w:rPr>
        <w:t xml:space="preserve">This document has been prepared solely for the use of authorised parties in connection with Project Kingfisher. Distribution, reproduction, or use of this document without prior written consent is strictly prohibited.</w:t>
      </w:r>
    </w:p>
    <w:p>
      <w:r>
        <w:br w:type="page"/>
      </w:r>
    </w:p>
    <w:p>
      <w:pPr>
        <w:pStyle w:val="Heading1"/>
      </w:pPr>
      <w:r>
        <w:rPr>
          <w:rFonts w:ascii="Arial" w:cs="Arial" w:eastAsia="Arial" w:hAnsi="Arial"/>
          <w:color w:val="333333"/>
          <w:sz w:val="22"/>
          <w:szCs w:val="22"/>
        </w:rPr>
        <w:t xml:space="preserve">SHARE PURCHASE AGREEMENT</w:t>
      </w:r>
    </w:p>
    <w:p>
      <w:pPr>
        <w:spacing w:before="200"/>
      </w:pPr>
      <w:r>
        <w:rPr>
          <w:rFonts w:ascii="Arial" w:cs="Arial" w:eastAsia="Arial" w:hAnsi="Arial"/>
          <w:color w:val="333333"/>
          <w:sz w:val="22"/>
          <w:szCs w:val="22"/>
        </w:rPr>
        <w:t xml:space="preserve">THIS AGREEMENT is made on [          ] 2026</w:t>
      </w:r>
    </w:p>
    <w:p>
      <w:pPr>
        <w:spacing w:before="200"/>
      </w:pPr>
      <w:r>
        <w:rPr>
          <w:rFonts w:ascii="Arial" w:cs="Arial" w:eastAsia="Arial" w:hAnsi="Arial"/>
          <w:b/>
          <w:bCs/>
          <w:color w:val="333333"/>
          <w:sz w:val="22"/>
          <w:szCs w:val="22"/>
        </w:rPr>
        <w:t xml:space="preserve">BETWEEN:</w:t>
      </w:r>
    </w:p>
    <w:p>
      <w:pPr>
        <w:pStyle w:val="ListParagraph"/>
        <w:numPr>
          <w:ilvl w:val="0"/>
          <w:numId w:val="2"/>
        </w:numPr>
      </w:pPr>
      <w:r>
        <w:rPr>
          <w:rFonts w:ascii="Arial" w:cs="Arial" w:eastAsia="Arial" w:hAnsi="Arial"/>
          <w:color w:val="333333"/>
          <w:sz w:val="22"/>
          <w:szCs w:val="22"/>
        </w:rPr>
        <w:t xml:space="preserve">(1) Wesfarmers Limited (ACN 008 984 049) of Level 14, Brookfield Place Tower 2, 123 St Georges Terrace, Perth WA 6000 ("Buyer");</w:t>
      </w:r>
    </w:p>
    <w:p>
      <w:pPr>
        <w:pStyle w:val="ListParagraph"/>
        <w:numPr>
          <w:ilvl w:val="0"/>
          <w:numId w:val="2"/>
        </w:numPr>
      </w:pPr>
      <w:r>
        <w:rPr>
          <w:rFonts w:ascii="Arial" w:cs="Arial" w:eastAsia="Arial" w:hAnsi="Arial"/>
          <w:color w:val="333333"/>
          <w:sz w:val="22"/>
          <w:szCs w:val="22"/>
        </w:rPr>
        <w:t xml:space="preserve">(2) Michael Chen and Sarah Chen as trustees for the Chen Family Trust (ABN 45 123 456 789) of Level 8, 600 Bourke Street, Melbourne VIC 3000 ("Sellers"); and</w:t>
      </w:r>
    </w:p>
    <w:p>
      <w:pPr>
        <w:pStyle w:val="ListParagraph"/>
        <w:numPr>
          <w:ilvl w:val="0"/>
          <w:numId w:val="2"/>
        </w:numPr>
      </w:pPr>
      <w:r>
        <w:rPr>
          <w:rFonts w:ascii="Arial" w:cs="Arial" w:eastAsia="Arial" w:hAnsi="Arial"/>
          <w:color w:val="333333"/>
          <w:sz w:val="22"/>
          <w:szCs w:val="22"/>
        </w:rPr>
        <w:t xml:space="preserve">(3) Target Co Pty Ltd (ACN 123 456 789) of 42 Innovation Drive, Cremorne VIC 3121 (the "Company").</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RECITALS</w:t>
      </w:r>
    </w:p>
    <w:p>
      <w:r>
        <w:rPr>
          <w:rFonts w:ascii="Arial" w:cs="Arial" w:eastAsia="Arial" w:hAnsi="Arial"/>
          <w:color w:val="333333"/>
          <w:sz w:val="22"/>
          <w:szCs w:val="22"/>
        </w:rPr>
        <w:t xml:space="preserve">The Sellers are the registered holders and beneficial owners of all of the issued shares in the Company, being 100,000,000 fully paid ordinary shares (the "Sale Shares").</w:t>
      </w:r>
    </w:p>
    <w:p>
      <w:r>
        <w:rPr>
          <w:rFonts w:ascii="Arial" w:cs="Arial" w:eastAsia="Arial" w:hAnsi="Arial"/>
          <w:color w:val="333333"/>
          <w:sz w:val="22"/>
          <w:szCs w:val="22"/>
        </w:rPr>
        <w:t xml:space="preserve">The Sellers have agreed to sell, and the Buyer has agreed to purchase, the Sale Shares on the terms and conditions set out in this Agreement.</w:t>
      </w:r>
    </w:p>
    <w:p>
      <w:r>
        <w:rPr>
          <w:rFonts w:ascii="Arial" w:cs="Arial" w:eastAsia="Arial" w:hAnsi="Arial"/>
          <w:color w:val="333333"/>
          <w:sz w:val="22"/>
          <w:szCs w:val="22"/>
        </w:rPr>
        <w:t xml:space="preserve">The parties have agreed that the acquisition will be structured as a share purchase of 100% of the issued capital of the Company on a cash-free, debt-free basis, subject to a normalised level of working capital.</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1. DEFINITIONS AND INTERPRETATION</w:t>
      </w:r>
    </w:p>
    <w:p>
      <w:pPr>
        <w:pStyle w:val="Heading2"/>
      </w:pPr>
      <w:r>
        <w:rPr>
          <w:rFonts w:ascii="Arial" w:cs="Arial" w:eastAsia="Arial" w:hAnsi="Arial"/>
          <w:color w:val="333333"/>
          <w:sz w:val="22"/>
          <w:szCs w:val="22"/>
        </w:rPr>
        <w:t xml:space="preserve">1.1 Definitions</w:t>
      </w:r>
    </w:p>
    <w:p>
      <w:r>
        <w:rPr>
          <w:rFonts w:ascii="Arial" w:cs="Arial" w:eastAsia="Arial" w:hAnsi="Arial"/>
          <w:color w:val="333333"/>
          <w:sz w:val="22"/>
          <w:szCs w:val="22"/>
        </w:rPr>
        <w:t xml:space="preserve">In this Agreement, unless the context otherwise requires:</w:t>
      </w:r>
    </w:p>
    <w:p>
      <w:r>
        <w:rPr>
          <w:rFonts w:ascii="Arial" w:cs="Arial" w:eastAsia="Arial" w:hAnsi="Arial"/>
          <w:color w:val="333333"/>
          <w:sz w:val="22"/>
          <w:szCs w:val="22"/>
        </w:rPr>
        <w:t xml:space="preserve">"Accounts Date" means 30 June 2025;</w:t>
      </w:r>
    </w:p>
    <w:p>
      <w:r>
        <w:rPr>
          <w:rFonts w:ascii="Arial" w:cs="Arial" w:eastAsia="Arial" w:hAnsi="Arial"/>
          <w:color w:val="333333"/>
          <w:sz w:val="22"/>
          <w:szCs w:val="22"/>
        </w:rPr>
        <w:t xml:space="preserve">"Business" means the business carried on by the Company as at the date of this Agreement, being the retail sale of home and lifestyle products under the "HomeStyle" brand;</w:t>
      </w:r>
    </w:p>
    <w:p>
      <w:r>
        <w:rPr>
          <w:rFonts w:ascii="Arial" w:cs="Arial" w:eastAsia="Arial" w:hAnsi="Arial"/>
          <w:color w:val="333333"/>
          <w:sz w:val="22"/>
          <w:szCs w:val="22"/>
        </w:rPr>
        <w:t xml:space="preserve">"Completion" means completion of the sale and purchase of the Sale Shares in accordance with clause 6;</w:t>
      </w:r>
    </w:p>
    <w:p>
      <w:r>
        <w:rPr>
          <w:rFonts w:ascii="Arial" w:cs="Arial" w:eastAsia="Arial" w:hAnsi="Arial"/>
          <w:color w:val="333333"/>
          <w:sz w:val="22"/>
          <w:szCs w:val="22"/>
        </w:rPr>
        <w:t xml:space="preserve">"Completion Date" means the date that is 5 Business Days after the satisfaction or waiver of the last of the Conditions Precedent to be satisfied or waived;</w:t>
      </w:r>
    </w:p>
    <w:p>
      <w:r>
        <w:rPr>
          <w:rFonts w:ascii="Arial" w:cs="Arial" w:eastAsia="Arial" w:hAnsi="Arial"/>
          <w:color w:val="333333"/>
          <w:sz w:val="22"/>
          <w:szCs w:val="22"/>
        </w:rPr>
        <w:t xml:space="preserve">"Conditions Precedent" has the meaning given in clause 3.1;</w:t>
      </w:r>
    </w:p>
    <w:p>
      <w:r>
        <w:rPr>
          <w:rFonts w:ascii="Arial" w:cs="Arial" w:eastAsia="Arial" w:hAnsi="Arial"/>
          <w:color w:val="333333"/>
          <w:sz w:val="22"/>
          <w:szCs w:val="22"/>
        </w:rPr>
        <w:t xml:space="preserve">"Earn-Out Amount" means the amount (if any) calculated in accordance with Schedule 3;</w:t>
      </w:r>
    </w:p>
    <w:p>
      <w:r>
        <w:rPr>
          <w:rFonts w:ascii="Arial" w:cs="Arial" w:eastAsia="Arial" w:hAnsi="Arial"/>
          <w:color w:val="333333"/>
          <w:sz w:val="22"/>
          <w:szCs w:val="22"/>
        </w:rPr>
        <w:t xml:space="preserve">"Enterprise Value" means $[2,600,000,000] (two billion six hundred million Australian dollars);</w:t>
      </w:r>
    </w:p>
    <w:p>
      <w:r>
        <w:rPr>
          <w:rFonts w:ascii="Arial" w:cs="Arial" w:eastAsia="Arial" w:hAnsi="Arial"/>
          <w:color w:val="333333"/>
          <w:sz w:val="22"/>
          <w:szCs w:val="22"/>
        </w:rPr>
        <w:t xml:space="preserve">"Material Adverse Change" has the meaning given in clause 3.4;</w:t>
      </w:r>
    </w:p>
    <w:p>
      <w:r>
        <w:rPr>
          <w:rFonts w:ascii="Arial" w:cs="Arial" w:eastAsia="Arial" w:hAnsi="Arial"/>
          <w:color w:val="333333"/>
          <w:sz w:val="22"/>
          <w:szCs w:val="22"/>
        </w:rPr>
        <w:t xml:space="preserve">"Net Debt" means, as at Completion, the aggregate of all Financial Indebtedness of the Company less the aggregate of all Cash and Cash Equivalents;</w:t>
      </w:r>
    </w:p>
    <w:p>
      <w:r>
        <w:rPr>
          <w:rFonts w:ascii="Arial" w:cs="Arial" w:eastAsia="Arial" w:hAnsi="Arial"/>
          <w:color w:val="333333"/>
          <w:sz w:val="22"/>
          <w:szCs w:val="22"/>
        </w:rPr>
        <w:t xml:space="preserve">"Target Working Capital" means $137,700,000;</w:t>
      </w:r>
    </w:p>
    <w:p>
      <w:r>
        <w:rPr>
          <w:rFonts w:ascii="Arial" w:cs="Arial" w:eastAsia="Arial" w:hAnsi="Arial"/>
          <w:color w:val="333333"/>
          <w:sz w:val="22"/>
          <w:szCs w:val="22"/>
        </w:rPr>
        <w:t xml:space="preserve">"Working Capital Adjustment" means the amount (positive or negative) equal to the Actual Working Capital minus the Target Working Capital;</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SALE AND PURCHASE</w:t>
      </w:r>
    </w:p>
    <w:p>
      <w:pPr>
        <w:pStyle w:val="Heading2"/>
      </w:pPr>
      <w:r>
        <w:rPr>
          <w:rFonts w:ascii="Arial" w:cs="Arial" w:eastAsia="Arial" w:hAnsi="Arial"/>
          <w:color w:val="333333"/>
          <w:sz w:val="22"/>
          <w:szCs w:val="22"/>
        </w:rPr>
        <w:t xml:space="preserve">2.1 Agreement to sell and purchase</w:t>
      </w:r>
    </w:p>
    <w:p>
      <w:r>
        <w:rPr>
          <w:rFonts w:ascii="Arial" w:cs="Arial" w:eastAsia="Arial" w:hAnsi="Arial"/>
          <w:color w:val="333333"/>
          <w:sz w:val="22"/>
          <w:szCs w:val="22"/>
        </w:rPr>
        <w:t xml:space="preserve">Subject to the terms of this Agreement, on Completion:</w:t>
      </w:r>
    </w:p>
    <w:p>
      <w:pPr>
        <w:pStyle w:val="ListParagraph"/>
        <w:numPr>
          <w:ilvl w:val="0"/>
          <w:numId w:val="3"/>
        </w:numPr>
      </w:pPr>
      <w:r>
        <w:rPr>
          <w:rFonts w:ascii="Arial" w:cs="Arial" w:eastAsia="Arial" w:hAnsi="Arial"/>
          <w:color w:val="333333"/>
          <w:sz w:val="22"/>
          <w:szCs w:val="22"/>
        </w:rPr>
        <w:t xml:space="preserve">the Sellers agree to sell and the Buyer agrees to purchase the Sale Shares;</w:t>
      </w:r>
    </w:p>
    <w:p>
      <w:pPr>
        <w:pStyle w:val="ListParagraph"/>
        <w:numPr>
          <w:ilvl w:val="0"/>
          <w:numId w:val="3"/>
        </w:numPr>
      </w:pPr>
      <w:r>
        <w:rPr>
          <w:rFonts w:ascii="Arial" w:cs="Arial" w:eastAsia="Arial" w:hAnsi="Arial"/>
          <w:color w:val="333333"/>
          <w:sz w:val="22"/>
          <w:szCs w:val="22"/>
        </w:rPr>
        <w:t xml:space="preserve">the Sellers agree to transfer, or procure the transfer of, all right, title and interest in and to the Sale Shares to the Buyer, free from all Encumbrances and with all rights attaching to those shares; and</w:t>
      </w:r>
    </w:p>
    <w:p>
      <w:pPr>
        <w:pStyle w:val="ListParagraph"/>
        <w:numPr>
          <w:ilvl w:val="0"/>
          <w:numId w:val="3"/>
        </w:numPr>
      </w:pPr>
      <w:r>
        <w:rPr>
          <w:rFonts w:ascii="Arial" w:cs="Arial" w:eastAsia="Arial" w:hAnsi="Arial"/>
          <w:color w:val="333333"/>
          <w:sz w:val="22"/>
          <w:szCs w:val="22"/>
        </w:rPr>
        <w:t xml:space="preserve">the Buyer agrees to pay the Purchase Price to the Sellers (or as the Sellers direct) in accordance with clause 5.</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CONDITIONS PRECEDENT</w:t>
      </w:r>
    </w:p>
    <w:p>
      <w:pPr>
        <w:pStyle w:val="Heading2"/>
      </w:pPr>
      <w:r>
        <w:rPr>
          <w:rFonts w:ascii="Arial" w:cs="Arial" w:eastAsia="Arial" w:hAnsi="Arial"/>
          <w:color w:val="333333"/>
          <w:sz w:val="22"/>
          <w:szCs w:val="22"/>
        </w:rPr>
        <w:t xml:space="preserve">3.1 Conditions</w:t>
      </w:r>
    </w:p>
    <w:p>
      <w:r>
        <w:rPr>
          <w:rFonts w:ascii="Arial" w:cs="Arial" w:eastAsia="Arial" w:hAnsi="Arial"/>
          <w:color w:val="333333"/>
          <w:sz w:val="22"/>
          <w:szCs w:val="22"/>
        </w:rPr>
        <w:t xml:space="preserve">Completion is conditional upon satisfaction or waiver of each of the following conditions:</w:t>
      </w:r>
    </w:p>
    <w:p>
      <w:pPr>
        <w:pStyle w:val="ListParagraph"/>
        <w:numPr>
          <w:ilvl w:val="0"/>
          <w:numId w:val="3"/>
        </w:numPr>
      </w:pPr>
      <w:r>
        <w:rPr>
          <w:rFonts w:ascii="Arial" w:cs="Arial" w:eastAsia="Arial" w:hAnsi="Arial"/>
          <w:color w:val="333333"/>
          <w:sz w:val="22"/>
          <w:szCs w:val="22"/>
        </w:rPr>
        <w:t xml:space="preserve">ACCC Clearance: the ACCC issuing a letter indicating that it does not intend to oppose the acquisition, or the expiry of the ACCC review period without the ACCC issuing a Statement of Issues (the "ACCC Condition");</w:t>
      </w:r>
    </w:p>
    <w:p>
      <w:pPr>
        <w:pStyle w:val="ListParagraph"/>
        <w:numPr>
          <w:ilvl w:val="0"/>
          <w:numId w:val="3"/>
        </w:numPr>
      </w:pPr>
      <w:r>
        <w:rPr>
          <w:rFonts w:ascii="Arial" w:cs="Arial" w:eastAsia="Arial" w:hAnsi="Arial"/>
          <w:color w:val="333333"/>
          <w:sz w:val="22"/>
          <w:szCs w:val="22"/>
        </w:rPr>
        <w:t xml:space="preserve">FIRB Approval: the Treasurer of the Commonwealth of Australia providing a written no objection notification in respect of the acquisition, or the Treasurer being deemed to have provided such notification under the Foreign Acquisitions and Takeovers Act 1975 (Cth);</w:t>
      </w:r>
    </w:p>
    <w:p>
      <w:pPr>
        <w:pStyle w:val="ListParagraph"/>
        <w:numPr>
          <w:ilvl w:val="0"/>
          <w:numId w:val="3"/>
        </w:numPr>
      </w:pPr>
      <w:r>
        <w:rPr>
          <w:rFonts w:ascii="Arial" w:cs="Arial" w:eastAsia="Arial" w:hAnsi="Arial"/>
          <w:color w:val="333333"/>
          <w:sz w:val="22"/>
          <w:szCs w:val="22"/>
        </w:rPr>
        <w:t xml:space="preserve">No Material Adverse Change: no Material Adverse Change having occurred between the date of this Agreement and Completion;</w:t>
      </w:r>
    </w:p>
    <w:p>
      <w:pPr>
        <w:pStyle w:val="ListParagraph"/>
        <w:numPr>
          <w:ilvl w:val="0"/>
          <w:numId w:val="3"/>
        </w:numPr>
      </w:pPr>
      <w:r>
        <w:rPr>
          <w:rFonts w:ascii="Arial" w:cs="Arial" w:eastAsia="Arial" w:hAnsi="Arial"/>
          <w:color w:val="333333"/>
          <w:sz w:val="22"/>
          <w:szCs w:val="22"/>
        </w:rPr>
        <w:t xml:space="preserve">Third Party Consents: all consents, approvals, and waivers set out in Schedule 2 having been obtained on terms reasonably satisfactory to the Buyer; and</w:t>
      </w:r>
    </w:p>
    <w:p>
      <w:pPr>
        <w:pStyle w:val="ListParagraph"/>
        <w:numPr>
          <w:ilvl w:val="0"/>
          <w:numId w:val="3"/>
        </w:numPr>
      </w:pPr>
      <w:r>
        <w:rPr>
          <w:rFonts w:ascii="Arial" w:cs="Arial" w:eastAsia="Arial" w:hAnsi="Arial"/>
          <w:color w:val="333333"/>
          <w:sz w:val="22"/>
          <w:szCs w:val="22"/>
        </w:rPr>
        <w:t xml:space="preserve">Key Employee Retention: each Key Employee identified in Schedule 4 having entered into a new employment agreement with the Company on terms acceptable to the Buyer.</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PURCHASE PRICE</w:t>
      </w:r>
    </w:p>
    <w:p>
      <w:pPr>
        <w:pStyle w:val="Heading2"/>
      </w:pPr>
      <w:r>
        <w:rPr>
          <w:rFonts w:ascii="Arial" w:cs="Arial" w:eastAsia="Arial" w:hAnsi="Arial"/>
          <w:color w:val="333333"/>
          <w:sz w:val="22"/>
          <w:szCs w:val="22"/>
        </w:rPr>
        <w:t xml:space="preserve">5.1 Calculation</w:t>
      </w:r>
    </w:p>
    <w:p>
      <w:r>
        <w:rPr>
          <w:rFonts w:ascii="Arial" w:cs="Arial" w:eastAsia="Arial" w:hAnsi="Arial"/>
          <w:color w:val="333333"/>
          <w:sz w:val="22"/>
          <w:szCs w:val="22"/>
        </w:rPr>
        <w:t xml:space="preserve">The purchase price for the Sale Shares ("Purchase Price") shall be calculated as follows:</w:t>
      </w:r>
    </w:p>
    <w:p>
      <w:r>
        <w:rPr>
          <w:rFonts w:ascii="Arial" w:cs="Arial" w:eastAsia="Arial" w:hAnsi="Arial"/>
          <w:color w:val="333333"/>
          <w:sz w:val="22"/>
          <w:szCs w:val="22"/>
        </w:rPr>
        <w:t xml:space="preserve">Purchase Price = Enterprise Value - Net Debt +/- Working Capital Adjustment - Transaction Expenses Amount</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5.2 Payment</w:t>
      </w:r>
    </w:p>
    <w:p>
      <w:r>
        <w:rPr>
          <w:rFonts w:ascii="Arial" w:cs="Arial" w:eastAsia="Arial" w:hAnsi="Arial"/>
          <w:color w:val="333333"/>
          <w:sz w:val="22"/>
          <w:szCs w:val="22"/>
        </w:rPr>
        <w:t xml:space="preserve">The Purchase Price shall be paid as follows:</w:t>
      </w:r>
    </w:p>
    <w:p>
      <w:pPr>
        <w:pStyle w:val="ListParagraph"/>
        <w:numPr>
          <w:ilvl w:val="0"/>
          <w:numId w:val="3"/>
        </w:numPr>
      </w:pPr>
      <w:r>
        <w:rPr>
          <w:rFonts w:ascii="Arial" w:cs="Arial" w:eastAsia="Arial" w:hAnsi="Arial"/>
          <w:color w:val="333333"/>
          <w:sz w:val="22"/>
          <w:szCs w:val="22"/>
        </w:rPr>
        <w:t xml:space="preserve">90% of the Estimated Purchase Price payable at Completion by electronic transfer of immediately available funds to the Sellers' nominated bank account; and</w:t>
      </w:r>
    </w:p>
    <w:p>
      <w:pPr>
        <w:pStyle w:val="ListParagraph"/>
        <w:numPr>
          <w:ilvl w:val="0"/>
          <w:numId w:val="3"/>
        </w:numPr>
      </w:pPr>
      <w:r>
        <w:rPr>
          <w:rFonts w:ascii="Arial" w:cs="Arial" w:eastAsia="Arial" w:hAnsi="Arial"/>
          <w:color w:val="333333"/>
          <w:sz w:val="22"/>
          <w:szCs w:val="22"/>
        </w:rPr>
        <w:t xml:space="preserve">10% of the Estimated Purchase Price payable into the Escrow Account, to be held and released in accordance with the Escrow Deed.</w:t>
      </w:r>
    </w:p>
    <w:p>
      <w:r>
        <w:rPr>
          <w:rFonts w:ascii="Arial" w:cs="Arial" w:eastAsia="Arial" w:hAnsi="Arial"/>
          <w:color w:val="333333"/>
          <w:sz w:val="22"/>
          <w:szCs w:val="22"/>
        </w:rPr>
        <w:t xml:space="preserve"/>
      </w:r>
    </w:p>
    <w:p>
      <w:pPr>
        <w:spacing w:before="400"/>
      </w:pPr>
      <w:r>
        <w:rPr>
          <w:rFonts w:ascii="Arial" w:cs="Arial" w:eastAsia="Arial" w:hAnsi="Arial"/>
          <w:b/>
          <w:bCs/>
          <w:color w:val="333333"/>
          <w:sz w:val="22"/>
          <w:szCs w:val="22"/>
        </w:rPr>
        <w:t xml:space="preserve">[REMAINDER OF CLAUSES TO BE DRAFTED]</w:t>
      </w:r>
    </w:p>
    <w:p>
      <w:pPr>
        <w:spacing w:before="200"/>
      </w:pPr>
      <w:r>
        <w:rPr>
          <w:rFonts w:ascii="Arial" w:cs="Arial" w:eastAsia="Arial" w:hAnsi="Arial"/>
          <w:color w:val="333333"/>
          <w:sz w:val="22"/>
          <w:szCs w:val="22"/>
        </w:rPr>
        <w:t xml:space="preserve">Note: This is a preliminary draft for discussion purposes. Key commercial terms including warranty and indemnity provisions, earn-out mechanics, restrictive covenants, and schedules remain subject to negotiation.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Share Purchase Agreement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2026-02-09T23:15:01.944Z</dcterms:created>
  <dcterms:modified xsi:type="dcterms:W3CDTF">2026-02-09T23:15:01.945Z</dcterms:modified>
</cp:coreProperties>
</file>

<file path=docProps/custom.xml><?xml version="1.0" encoding="utf-8"?>
<Properties xmlns="http://schemas.openxmlformats.org/officeDocument/2006/custom-properties" xmlns:vt="http://schemas.openxmlformats.org/officeDocument/2006/docPropsVTypes"/>
</file>