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left"/>
      </w:pPr>
      <w:r>
        <w:rPr>
          <w:rFonts w:ascii="Arial" w:cs="Arial" w:eastAsia="Arial" w:hAnsi="Arial"/>
          <w:b/>
          <w:bCs/>
          <w:color w:val="1B3A5C"/>
          <w:sz w:val="52"/>
          <w:szCs w:val="52"/>
        </w:rPr>
        <w:t xml:space="preserve">Management Presentation Briefing Pack</w:t>
      </w:r>
    </w:p>
    <w:p>
      <w:pPr>
        <w:spacing w:before="200"/>
      </w:pPr>
      <w:r>
        <w:rPr>
          <w:rFonts w:ascii="Arial" w:cs="Arial" w:eastAsia="Arial" w:hAnsi="Arial"/>
          <w:color w:val="666666"/>
          <w:sz w:val="28"/>
          <w:szCs w:val="28"/>
        </w:rPr>
        <w:t xml:space="preserve">Project Kingfisher - Preparation Materials for Phase 2</w:t>
      </w:r>
    </w:p>
    <w:p>
      <w:pPr>
        <w:spacing w:before="600"/>
      </w:pPr>
      <w:r>
        <w:rPr>
          <w:rFonts w:ascii="Arial" w:cs="Arial" w:eastAsia="Arial" w:hAnsi="Arial"/>
          <w:b/>
          <w:bCs/>
          <w:sz w:val="22"/>
          <w:szCs w:val="22"/>
        </w:rPr>
        <w:t xml:space="preserve">Date: </w:t>
      </w:r>
      <w:r>
        <w:rPr>
          <w:rFonts w:ascii="Arial" w:cs="Arial" w:eastAsia="Arial" w:hAnsi="Arial"/>
          <w:sz w:val="22"/>
          <w:szCs w:val="22"/>
        </w:rPr>
        <w:t xml:space="preserve">February 2026</w:t>
      </w:r>
    </w:p>
    <w:p>
      <w:r>
        <w:rPr>
          <w:rFonts w:ascii="Arial" w:cs="Arial" w:eastAsia="Arial" w:hAnsi="Arial"/>
          <w:b/>
          <w:bCs/>
          <w:sz w:val="22"/>
          <w:szCs w:val="22"/>
        </w:rPr>
        <w:t xml:space="preserve">Project Code: </w:t>
      </w:r>
      <w:r>
        <w:rPr>
          <w:rFonts w:ascii="Arial" w:cs="Arial" w:eastAsia="Arial" w:hAnsi="Arial"/>
          <w:sz w:val="22"/>
          <w:szCs w:val="22"/>
        </w:rPr>
        <w:t xml:space="preserve">WES-PKF-MGMT-001</w:t>
      </w:r>
    </w:p>
    <w:p>
      <w:r>
        <w:rPr>
          <w:rFonts w:ascii="Arial" w:cs="Arial" w:eastAsia="Arial" w:hAnsi="Arial"/>
          <w:b/>
          <w:bCs/>
          <w:sz w:val="22"/>
          <w:szCs w:val="22"/>
        </w:rPr>
        <w:t xml:space="preserve">Prepared by: </w:t>
      </w:r>
      <w:r>
        <w:rPr>
          <w:rFonts w:ascii="Arial" w:cs="Arial" w:eastAsia="Arial" w:hAnsi="Arial"/>
          <w:sz w:val="22"/>
          <w:szCs w:val="22"/>
        </w:rPr>
        <w:t xml:space="preserve">Wesfarmers Corporate Development</w:t>
      </w:r>
    </w:p>
    <w:p>
      <w:r>
        <w:rPr>
          <w:rFonts w:ascii="Arial" w:cs="Arial" w:eastAsia="Arial" w:hAnsi="Arial"/>
          <w:b/>
          <w:bCs/>
          <w:sz w:val="22"/>
          <w:szCs w:val="22"/>
        </w:rPr>
        <w:t xml:space="preserve">Distribution: </w:t>
      </w:r>
      <w:r>
        <w:rPr>
          <w:rFonts w:ascii="Arial" w:cs="Arial" w:eastAsia="Arial" w:hAnsi="Arial"/>
          <w:sz w:val="22"/>
          <w:szCs w:val="22"/>
        </w:rPr>
        <w:t xml:space="preserve">Bid Team Only - Do Not Forward</w:t>
      </w:r>
    </w:p>
    <w:p>
      <w:pPr>
        <w:spacing w:before="1200"/>
        <w:jc w:val="center"/>
      </w:pPr>
      <w:r>
        <w:rPr>
          <w:rFonts w:ascii="Arial" w:cs="Arial" w:eastAsia="Arial" w:hAnsi="Arial"/>
          <w:b/>
          <w:bCs/>
          <w:color w:val="C8102E"/>
          <w:sz w:val="18"/>
          <w:szCs w:val="18"/>
        </w:rPr>
        <w:t xml:space="preserve">STRICTLY PRIVATE &amp; CONFIDENTIAL</w:t>
      </w:r>
    </w:p>
    <w:p>
      <w:pPr>
        <w:spacing w:before="200"/>
      </w:pPr>
      <w:r>
        <w:rPr>
          <w:rFonts w:ascii="Arial" w:cs="Arial" w:eastAsia="Arial" w:hAnsi="Arial"/>
          <w:i/>
          <w:iCs/>
          <w:color w:val="666666"/>
          <w:sz w:val="16"/>
          <w:szCs w:val="16"/>
        </w:rPr>
        <w:t xml:space="preserve">This document has been prepared solely for the use of authorised parties in connection with Project Kingfisher. Distribution, reproduction, or use of this document without prior written consent is strictly prohibited.</w:t>
      </w:r>
    </w:p>
    <w:p>
      <w:r>
        <w:br w:type="page"/>
      </w:r>
    </w:p>
    <w:p>
      <w:pPr>
        <w:pStyle w:val="Heading1"/>
      </w:pPr>
      <w:r>
        <w:rPr>
          <w:rFonts w:ascii="Arial" w:cs="Arial" w:eastAsia="Arial" w:hAnsi="Arial"/>
          <w:color w:val="333333"/>
          <w:sz w:val="22"/>
          <w:szCs w:val="22"/>
        </w:rPr>
        <w:t xml:space="preserve">1. PURPOSE</w:t>
      </w:r>
    </w:p>
    <w:p>
      <w:r>
        <w:rPr>
          <w:rFonts w:ascii="Arial" w:cs="Arial" w:eastAsia="Arial" w:hAnsi="Arial"/>
          <w:color w:val="333333"/>
          <w:sz w:val="22"/>
          <w:szCs w:val="22"/>
        </w:rPr>
        <w:t xml:space="preserve">This briefing pack has been prepared to support the Wesfarmers bid team in advance of the management presentation sessions scheduled for 3-5 March 2026 at the Company's head office in Cremorne, Melbourne. The presentations will be led by the Target's senior management team and will cover operational performance, growth strategy, and key business drivers.</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2. PRESENTATION AGENDA</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1200"/>
      </w:tblGrid>
      <w:tr>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Time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Session</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Presenter(s)</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Duration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9:00 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Welcome &amp; Company Overview</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Michael Chen (MD)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 min</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9:45 AM</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Financial Performance Deep-Dive</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Rachel Wong (CFO)</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60 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10:45 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Morning Tea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15 min</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11:00 AM</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Merchandising &amp; Product Strategy</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Sarah Chen (Exec Dir)</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 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11:45 AM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Supply Chain &amp; Operations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David Park (COO)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 min</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12:30 PM</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Lunch (Working)</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 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1:15 PM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Digital &amp; E-Commerce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Aisha Patel (CTO)</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 min</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2:00 PM</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People, Culture &amp; ESG</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Tom Richards (CPO)</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30 min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2:30 PM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Growth Strategy &amp; Pipeline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Michael Chen (MD)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 min</w:t>
            </w:r>
          </w:p>
        </w:tc>
      </w:tr>
      <w:tr>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3:15 PM</w:t>
            </w:r>
          </w:p>
        </w:tc>
        <w:tc>
          <w:tcPr>
            <w:tcW w:type="dxa" w:w="30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Q&amp;A and Wrap-Up</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Full Management Team</w:t>
            </w:r>
          </w:p>
        </w:tc>
        <w:tc>
          <w:tcPr>
            <w:tcW w:type="dxa" w:w="1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45 min</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3. KEY QUESTIONS AND AREAS OF FOCUS</w:t>
      </w:r>
    </w:p>
    <w:p>
      <w:r>
        <w:rPr>
          <w:rFonts w:ascii="Arial" w:cs="Arial" w:eastAsia="Arial" w:hAnsi="Arial"/>
          <w:color w:val="333333"/>
          <w:sz w:val="22"/>
          <w:szCs w:val="22"/>
        </w:rPr>
        <w:t xml:space="preserve">Based on our Phase 1 due diligence findings, the following areas should be prioritised during the management presentations:</w:t>
      </w:r>
    </w:p>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3.1 Financial Performance</w:t>
      </w:r>
    </w:p>
    <w:p>
      <w:pPr>
        <w:pStyle w:val="ListParagraph"/>
        <w:numPr>
          <w:ilvl w:val="0"/>
          <w:numId w:val="2"/>
        </w:numPr>
      </w:pPr>
      <w:r>
        <w:rPr>
          <w:rFonts w:ascii="Arial" w:cs="Arial" w:eastAsia="Arial" w:hAnsi="Arial"/>
          <w:color w:val="333333"/>
          <w:sz w:val="22"/>
          <w:szCs w:val="22"/>
        </w:rPr>
        <w:t xml:space="preserve">Detailed explanation of like-for-like sales growth methodology and performance by cohort (mature vs. new stores)</w:t>
      </w:r>
    </w:p>
    <w:p>
      <w:pPr>
        <w:pStyle w:val="ListParagraph"/>
        <w:numPr>
          <w:ilvl w:val="0"/>
          <w:numId w:val="2"/>
        </w:numPr>
      </w:pPr>
      <w:r>
        <w:rPr>
          <w:rFonts w:ascii="Arial" w:cs="Arial" w:eastAsia="Arial" w:hAnsi="Arial"/>
          <w:color w:val="333333"/>
          <w:sz w:val="22"/>
          <w:szCs w:val="22"/>
        </w:rPr>
        <w:t xml:space="preserve">Gross margin trajectory by category, particularly the own-brand vs. third-party split</w:t>
      </w:r>
    </w:p>
    <w:p>
      <w:pPr>
        <w:pStyle w:val="ListParagraph"/>
        <w:numPr>
          <w:ilvl w:val="0"/>
          <w:numId w:val="2"/>
        </w:numPr>
      </w:pPr>
      <w:r>
        <w:rPr>
          <w:rFonts w:ascii="Arial" w:cs="Arial" w:eastAsia="Arial" w:hAnsi="Arial"/>
          <w:color w:val="333333"/>
          <w:sz w:val="22"/>
          <w:szCs w:val="22"/>
        </w:rPr>
        <w:t xml:space="preserve">Working capital seasonality patterns and inventory management approach during peak periods (November-January)</w:t>
      </w:r>
    </w:p>
    <w:p>
      <w:pPr>
        <w:pStyle w:val="ListParagraph"/>
        <w:numPr>
          <w:ilvl w:val="0"/>
          <w:numId w:val="2"/>
        </w:numPr>
      </w:pPr>
      <w:r>
        <w:rPr>
          <w:rFonts w:ascii="Arial" w:cs="Arial" w:eastAsia="Arial" w:hAnsi="Arial"/>
          <w:color w:val="333333"/>
          <w:sz w:val="22"/>
          <w:szCs w:val="22"/>
        </w:rPr>
        <w:t xml:space="preserve">Explanation of the $12.8m ATO transfer pricing provision and current status of discussions with the ATO</w:t>
      </w:r>
    </w:p>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3.2 Operational</w:t>
      </w:r>
    </w:p>
    <w:p>
      <w:pPr>
        <w:pStyle w:val="ListParagraph"/>
        <w:numPr>
          <w:ilvl w:val="0"/>
          <w:numId w:val="2"/>
        </w:numPr>
      </w:pPr>
      <w:r>
        <w:rPr>
          <w:rFonts w:ascii="Arial" w:cs="Arial" w:eastAsia="Arial" w:hAnsi="Arial"/>
          <w:color w:val="333333"/>
          <w:sz w:val="22"/>
          <w:szCs w:val="22"/>
        </w:rPr>
        <w:t xml:space="preserve">Store rollout pipeline: committed leases, sites under negotiation, and greenfield vs. refurbishment capex breakdown</w:t>
      </w:r>
    </w:p>
    <w:p>
      <w:pPr>
        <w:pStyle w:val="ListParagraph"/>
        <w:numPr>
          <w:ilvl w:val="0"/>
          <w:numId w:val="2"/>
        </w:numPr>
      </w:pPr>
      <w:r>
        <w:rPr>
          <w:rFonts w:ascii="Arial" w:cs="Arial" w:eastAsia="Arial" w:hAnsi="Arial"/>
          <w:color w:val="333333"/>
          <w:sz w:val="22"/>
          <w:szCs w:val="22"/>
        </w:rPr>
        <w:t xml:space="preserve">Supply chain resilience: single-source supplier dependencies and contingency planning</w:t>
      </w:r>
    </w:p>
    <w:p>
      <w:pPr>
        <w:pStyle w:val="ListParagraph"/>
        <w:numPr>
          <w:ilvl w:val="0"/>
          <w:numId w:val="2"/>
        </w:numPr>
      </w:pPr>
      <w:r>
        <w:rPr>
          <w:rFonts w:ascii="Arial" w:cs="Arial" w:eastAsia="Arial" w:hAnsi="Arial"/>
          <w:color w:val="333333"/>
          <w:sz w:val="22"/>
          <w:szCs w:val="22"/>
        </w:rPr>
        <w:t xml:space="preserve">Distribution centre capacity utilisation and plans for the proposed third DC in Brisbane</w:t>
      </w:r>
    </w:p>
    <w:p>
      <w:pPr>
        <w:pStyle w:val="ListParagraph"/>
        <w:numPr>
          <w:ilvl w:val="0"/>
          <w:numId w:val="2"/>
        </w:numPr>
      </w:pPr>
      <w:r>
        <w:rPr>
          <w:rFonts w:ascii="Arial" w:cs="Arial" w:eastAsia="Arial" w:hAnsi="Arial"/>
          <w:color w:val="333333"/>
          <w:sz w:val="22"/>
          <w:szCs w:val="22"/>
        </w:rPr>
        <w:t xml:space="preserve">Status of the SAP ECC 6.0 to S/4HANA migration planning</w:t>
      </w:r>
    </w:p>
    <w:p>
      <w:r>
        <w:rPr>
          <w:rFonts w:ascii="Arial" w:cs="Arial" w:eastAsia="Arial" w:hAnsi="Arial"/>
          <w:color w:val="333333"/>
          <w:sz w:val="22"/>
          <w:szCs w:val="22"/>
        </w:rPr>
        <w:t xml:space="preserve"/>
      </w:r>
    </w:p>
    <w:p>
      <w:pPr>
        <w:pStyle w:val="Heading2"/>
      </w:pPr>
      <w:r>
        <w:rPr>
          <w:rFonts w:ascii="Arial" w:cs="Arial" w:eastAsia="Arial" w:hAnsi="Arial"/>
          <w:color w:val="333333"/>
          <w:sz w:val="22"/>
          <w:szCs w:val="22"/>
        </w:rPr>
        <w:t xml:space="preserve">3.3 Strategic</w:t>
      </w:r>
    </w:p>
    <w:p>
      <w:pPr>
        <w:pStyle w:val="ListParagraph"/>
        <w:numPr>
          <w:ilvl w:val="0"/>
          <w:numId w:val="2"/>
        </w:numPr>
      </w:pPr>
      <w:r>
        <w:rPr>
          <w:rFonts w:ascii="Arial" w:cs="Arial" w:eastAsia="Arial" w:hAnsi="Arial"/>
          <w:color w:val="333333"/>
          <w:sz w:val="22"/>
          <w:szCs w:val="22"/>
        </w:rPr>
        <w:t xml:space="preserve">Management's view on addressable market size and long-term store count potential</w:t>
      </w:r>
    </w:p>
    <w:p>
      <w:pPr>
        <w:pStyle w:val="ListParagraph"/>
        <w:numPr>
          <w:ilvl w:val="0"/>
          <w:numId w:val="2"/>
        </w:numPr>
      </w:pPr>
      <w:r>
        <w:rPr>
          <w:rFonts w:ascii="Arial" w:cs="Arial" w:eastAsia="Arial" w:hAnsi="Arial"/>
          <w:color w:val="333333"/>
          <w:sz w:val="22"/>
          <w:szCs w:val="22"/>
        </w:rPr>
        <w:t xml:space="preserve">Competitive positioning vs. IKEA's announced expansion into premium homewares</w:t>
      </w:r>
    </w:p>
    <w:p>
      <w:pPr>
        <w:pStyle w:val="ListParagraph"/>
        <w:numPr>
          <w:ilvl w:val="0"/>
          <w:numId w:val="2"/>
        </w:numPr>
      </w:pPr>
      <w:r>
        <w:rPr>
          <w:rFonts w:ascii="Arial" w:cs="Arial" w:eastAsia="Arial" w:hAnsi="Arial"/>
          <w:color w:val="333333"/>
          <w:sz w:val="22"/>
          <w:szCs w:val="22"/>
        </w:rPr>
        <w:t xml:space="preserve">Online growth strategy: marketplace model vs. direct-to-consumer, and customer acquisition cost trends</w:t>
      </w:r>
    </w:p>
    <w:p>
      <w:pPr>
        <w:pStyle w:val="ListParagraph"/>
        <w:numPr>
          <w:ilvl w:val="0"/>
          <w:numId w:val="2"/>
        </w:numPr>
      </w:pPr>
      <w:r>
        <w:rPr>
          <w:rFonts w:ascii="Arial" w:cs="Arial" w:eastAsia="Arial" w:hAnsi="Arial"/>
          <w:color w:val="333333"/>
          <w:sz w:val="22"/>
          <w:szCs w:val="22"/>
        </w:rPr>
        <w:t xml:space="preserve">International expansion appetite (management has previously explored NZ entry)</w:t>
      </w:r>
    </w:p>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4. ATTENDEE LIST (WESFARMERS)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80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Name</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Title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 in Project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Rob Scott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Managing Director &amp; CEO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Executive Sponsor</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Anthony Gianotti</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CFO</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Financial Oversight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Sarah Mitchell</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Director, Corporate Development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Bid Team Lead</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James Thornton</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VP, Integration</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Integration Planning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Dr. Lisa Chen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Director, Digital &amp; Data</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Technology Assessment</w:t>
            </w:r>
          </w:p>
        </w:tc>
      </w:tr>
      <w:tr>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Mark Sullivan</w:t>
            </w:r>
          </w:p>
        </w:tc>
        <w:tc>
          <w:tcPr>
            <w:tcW w:type="dxa" w:w="32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GM, Retail Operations (Kmart)</w:t>
            </w:r>
          </w:p>
        </w:tc>
        <w:tc>
          <w:tcPr>
            <w:tcW w:type="dxa" w:w="2800"/>
            <w:tcBorders>
              <w:top w:val="single" w:color="CCCCCC" w:sz="1"/>
              <w:left w:val="single" w:color="CCCCCC" w:sz="1"/>
              <w:bottom w:val="single" w:color="CCCCCC" w:sz="1"/>
              <w:right w:val="single" w:color="CCCCCC" w:sz="1"/>
            </w:tcBorders>
            <w:shd w:fill="EDF2F7"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Operational Assessment</w:t>
            </w:r>
          </w:p>
        </w:tc>
      </w:tr>
    </w:tbl>
    <w:p>
      <w:r>
        <w:rPr>
          <w:rFonts w:ascii="Arial" w:cs="Arial" w:eastAsia="Arial" w:hAnsi="Arial"/>
          <w:color w:val="333333"/>
          <w:sz w:val="22"/>
          <w:szCs w:val="22"/>
        </w:rPr>
        <w:t xml:space="preserve"/>
      </w:r>
    </w:p>
    <w:p>
      <w:pPr>
        <w:pStyle w:val="Heading1"/>
      </w:pPr>
      <w:r>
        <w:rPr>
          <w:rFonts w:ascii="Arial" w:cs="Arial" w:eastAsia="Arial" w:hAnsi="Arial"/>
          <w:color w:val="333333"/>
          <w:sz w:val="22"/>
          <w:szCs w:val="22"/>
        </w:rPr>
        <w:t xml:space="preserve">5. LOGISTICS</w:t>
      </w:r>
    </w:p>
    <w:p>
      <w:r>
        <w:rPr>
          <w:rFonts w:ascii="Arial" w:cs="Arial" w:eastAsia="Arial" w:hAnsi="Arial"/>
          <w:color w:val="333333"/>
          <w:sz w:val="22"/>
          <w:szCs w:val="22"/>
        </w:rPr>
        <w:t xml:space="preserve">Venue: Target Co Head Office, Level 3, 42 Innovation Drive, Cremorne VIC 3121</w:t>
      </w:r>
    </w:p>
    <w:p>
      <w:r>
        <w:rPr>
          <w:rFonts w:ascii="Arial" w:cs="Arial" w:eastAsia="Arial" w:hAnsi="Arial"/>
          <w:color w:val="333333"/>
          <w:sz w:val="22"/>
          <w:szCs w:val="22"/>
        </w:rPr>
        <w:t xml:space="preserve">Parking: Visitor parking available in basement (enter via side street). Alternatively, Cremorne station is a 5-minute walk.</w:t>
      </w:r>
    </w:p>
    <w:p>
      <w:r>
        <w:rPr>
          <w:rFonts w:ascii="Arial" w:cs="Arial" w:eastAsia="Arial" w:hAnsi="Arial"/>
          <w:color w:val="333333"/>
          <w:sz w:val="22"/>
          <w:szCs w:val="22"/>
        </w:rPr>
        <w:t xml:space="preserve">Security: All attendees must sign the VDR access register and NDA acknowledgement upon arrival. No photography permitted in operational areas.</w:t>
      </w:r>
    </w:p>
    <w:p>
      <w:r>
        <w:rPr>
          <w:rFonts w:ascii="Arial" w:cs="Arial" w:eastAsia="Arial" w:hAnsi="Arial"/>
          <w:color w:val="333333"/>
          <w:sz w:val="22"/>
          <w:szCs w:val="22"/>
        </w:rPr>
        <w:t xml:space="preserve">Materials: Hard copies of the management presentation will be distributed on arrival and must be returned at the conclusion of the session. Electronic copies will be uploaded to the VDR within 48 hours.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4"/>
        <w:szCs w:val="14"/>
      </w:rPr>
      <w:t xml:space="preserve">Project Kingfisher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C8102E"/>
        <w:sz w:val="14"/>
        <w:szCs w:val="14"/>
      </w:rPr>
      <w:t xml:space="preserve">STRICTLY PRIVATE &amp; CONFIDENTIAL</w:t>
    </w:r>
    <w:r>
      <w:rPr>
        <w:rFonts w:ascii="Arial" w:cs="Arial" w:eastAsia="Arial" w:hAnsi="Arial"/>
        <w:color w:val="666666"/>
        <w:sz w:val="14"/>
        <w:szCs w:val="14"/>
      </w:rPr>
      <w:t xml:space="preserve">  |  Management Presentation Briefing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B3A5C"/>
      <w:sz w:val="30"/>
      <w:szCs w:val="30"/>
    </w:rPr>
  </w:style>
  <w:style w:type="paragraph" w:styleId="Heading2">
    <w:name w:val="Heading 2"/>
    <w:basedOn w:val="Normal"/>
    <w:next w:val="Normal"/>
    <w:qFormat/>
    <w:pPr>
      <w:spacing w:before="20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2026-02-09T23:15:02.006Z</dcterms:created>
  <dcterms:modified xsi:type="dcterms:W3CDTF">2026-02-09T23:15:02.006Z</dcterms:modified>
</cp:coreProperties>
</file>

<file path=docProps/custom.xml><?xml version="1.0" encoding="utf-8"?>
<Properties xmlns="http://schemas.openxmlformats.org/officeDocument/2006/custom-properties" xmlns:vt="http://schemas.openxmlformats.org/officeDocument/2006/docPropsVTypes"/>
</file>