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left"/>
      </w:pPr>
      <w:r>
        <w:rPr>
          <w:rFonts w:ascii="Arial" w:cs="Arial" w:eastAsia="Arial" w:hAnsi="Arial"/>
          <w:b/>
          <w:bCs/>
          <w:color w:val="1B3A5C"/>
          <w:sz w:val="52"/>
          <w:szCs w:val="52"/>
        </w:rPr>
        <w:t xml:space="preserve">Synergy Assessment Working Paper</w:t>
      </w:r>
    </w:p>
    <w:p>
      <w:pPr>
        <w:spacing w:before="200"/>
      </w:pPr>
      <w:r>
        <w:rPr>
          <w:rFonts w:ascii="Arial" w:cs="Arial" w:eastAsia="Arial" w:hAnsi="Arial"/>
          <w:color w:val="666666"/>
          <w:sz w:val="28"/>
          <w:szCs w:val="28"/>
        </w:rPr>
        <w:t xml:space="preserve">Project Kingfisher - Integration &amp; Value Creation</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January 2026</w:t>
      </w:r>
    </w:p>
    <w:p>
      <w:r>
        <w:rPr>
          <w:rFonts w:ascii="Arial" w:cs="Arial" w:eastAsia="Arial" w:hAnsi="Arial"/>
          <w:b/>
          <w:bCs/>
          <w:sz w:val="22"/>
          <w:szCs w:val="22"/>
        </w:rPr>
        <w:t xml:space="preserve">Project Code: </w:t>
      </w:r>
      <w:r>
        <w:rPr>
          <w:rFonts w:ascii="Arial" w:cs="Arial" w:eastAsia="Arial" w:hAnsi="Arial"/>
          <w:sz w:val="22"/>
          <w:szCs w:val="22"/>
        </w:rPr>
        <w:t xml:space="preserve">WES-PKF-SYN-001</w:t>
      </w:r>
    </w:p>
    <w:p>
      <w:r>
        <w:rPr>
          <w:rFonts w:ascii="Arial" w:cs="Arial" w:eastAsia="Arial" w:hAnsi="Arial"/>
          <w:b/>
          <w:bCs/>
          <w:sz w:val="22"/>
          <w:szCs w:val="22"/>
        </w:rPr>
        <w:t xml:space="preserve">Prepared by: </w:t>
      </w:r>
      <w:r>
        <w:rPr>
          <w:rFonts w:ascii="Arial" w:cs="Arial" w:eastAsia="Arial" w:hAnsi="Arial"/>
          <w:sz w:val="22"/>
          <w:szCs w:val="22"/>
        </w:rPr>
        <w:t xml:space="preserve">Wesfarmers Integration Team</w:t>
      </w:r>
    </w:p>
    <w:p>
      <w:r>
        <w:rPr>
          <w:rFonts w:ascii="Arial" w:cs="Arial" w:eastAsia="Arial" w:hAnsi="Arial"/>
          <w:b/>
          <w:bCs/>
          <w:sz w:val="22"/>
          <w:szCs w:val="22"/>
        </w:rPr>
        <w:t xml:space="preserve">Reviewed by: </w:t>
      </w:r>
      <w:r>
        <w:rPr>
          <w:rFonts w:ascii="Arial" w:cs="Arial" w:eastAsia="Arial" w:hAnsi="Arial"/>
          <w:sz w:val="22"/>
          <w:szCs w:val="22"/>
        </w:rPr>
        <w:t xml:space="preserve">Anthony Gianotti, CFO</w:t>
      </w:r>
    </w:p>
    <w:p>
      <w:pPr>
        <w:spacing w:before="1200"/>
        <w:jc w:val="center"/>
      </w:pPr>
      <w:r>
        <w:rPr>
          <w:rFonts w:ascii="Arial" w:cs="Arial" w:eastAsia="Arial" w:hAnsi="Arial"/>
          <w:b/>
          <w:bCs/>
          <w:color w:val="C8102E"/>
          <w:sz w:val="18"/>
          <w:szCs w:val="18"/>
        </w:rPr>
        <w:t xml:space="preserve">STRICTLY PRIVATE &amp; CONFIDENTIAL</w:t>
      </w:r>
    </w:p>
    <w:p>
      <w:pPr>
        <w:spacing w:before="200"/>
      </w:pPr>
      <w:r>
        <w:rPr>
          <w:rFonts w:ascii="Arial" w:cs="Arial" w:eastAsia="Arial" w:hAnsi="Arial"/>
          <w:i/>
          <w:iCs/>
          <w:color w:val="666666"/>
          <w:sz w:val="16"/>
          <w:szCs w:val="16"/>
        </w:rPr>
        <w:t xml:space="preserve">This document has been prepared solely for the use of authorised parties in connection with Project Kingfisher. Distribution, reproduction, or use of this document without prior written consent is strictly prohibited.</w:t>
      </w:r>
    </w:p>
    <w:p>
      <w:r>
        <w:br w:type="page"/>
      </w:r>
    </w:p>
    <w:p>
      <w:pPr>
        <w:pStyle w:val="Heading1"/>
      </w:pPr>
      <w:r>
        <w:rPr>
          <w:rFonts w:ascii="Arial" w:cs="Arial" w:eastAsia="Arial" w:hAnsi="Arial"/>
          <w:color w:val="333333"/>
          <w:sz w:val="22"/>
          <w:szCs w:val="22"/>
        </w:rPr>
        <w:t xml:space="preserve">1. EXECUTIVE SUMMARY</w:t>
      </w:r>
    </w:p>
    <w:p>
      <w:r>
        <w:rPr>
          <w:rFonts w:ascii="Arial" w:cs="Arial" w:eastAsia="Arial" w:hAnsi="Arial"/>
          <w:color w:val="333333"/>
          <w:sz w:val="22"/>
          <w:szCs w:val="22"/>
        </w:rPr>
        <w:t xml:space="preserve">This working paper presents the detailed synergy assessment for the proposed acquisition of Target Co Pty Ltd. Total identified synergies are estimated at $45-65 million per annum on a run-rate basis, expected to be substantially achieved within 24 months of completion. One-off implementation costs are estimated at $35-45 million.</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SYNERGY SUMMARY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80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Low ($m p.a.)</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High ($m p.a.)</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Procurement &amp; Sourcing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12-18 months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Supply Chain &amp; Logistics</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$18.0</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Medium-High</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18-24 months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Corporate Overhead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6-12 months</w:t>
            </w:r>
          </w:p>
        </w:tc>
      </w:tr>
      <w:tr>
        <w:tc>
          <w:tcPr>
            <w:tcW w:type="dxa" w:w="24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Synergies</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$0.0</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c>
          <w:tcPr>
            <w:tcW w:type="dxa" w:w="1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24-36 months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Run-Rate Synergies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PROCUREMENT &amp; SOURCING ($20-28m)</w:t>
      </w:r>
    </w:p>
    <w:p>
      <w:pPr>
        <w:pStyle w:val="Heading2"/>
      </w:pPr>
      <w:r>
        <w:rPr>
          <w:rFonts w:ascii="Arial" w:cs="Arial" w:eastAsia="Arial" w:hAnsi="Arial"/>
          <w:color w:val="333333"/>
          <w:sz w:val="22"/>
          <w:szCs w:val="22"/>
        </w:rPr>
        <w:t xml:space="preserve">3.1 Direct Procurement</w:t>
      </w:r>
    </w:p>
    <w:p>
      <w:r>
        <w:rPr>
          <w:rFonts w:ascii="Arial" w:cs="Arial" w:eastAsia="Arial" w:hAnsi="Arial"/>
          <w:color w:val="333333"/>
          <w:sz w:val="22"/>
          <w:szCs w:val="22"/>
        </w:rPr>
        <w:t xml:space="preserve">The combined Wesfarmers group (including Kmart and Bunnings) sources approximately $12 billion of product annually from overlapping geographies (China, Vietnam, Indonesia). Consolidation of shipping, freight forwarding, and raw material purchasing is expected to deliver unit cost reductions of 2-4% across applicable categories.</w:t>
      </w:r>
    </w:p>
    <w:p>
      <w:r>
        <w:rPr>
          <w:rFonts w:ascii="Arial" w:cs="Arial" w:eastAsia="Arial" w:hAnsi="Arial"/>
          <w:color w:val="333333"/>
          <w:sz w:val="22"/>
          <w:szCs w:val="22"/>
        </w:rPr>
        <w:t xml:space="preserve"/>
      </w:r>
    </w:p>
    <w:p>
      <w:r>
        <w:rPr>
          <w:rFonts w:ascii="Arial" w:cs="Arial" w:eastAsia="Arial" w:hAnsi="Arial"/>
          <w:b/>
          <w:bCs/>
          <w:color w:val="333333"/>
          <w:sz w:val="22"/>
          <w:szCs w:val="22"/>
        </w:rPr>
        <w:t xml:space="preserve">Specific opportunities identified:</w:t>
      </w:r>
    </w:p>
    <w:p>
      <w:pPr>
        <w:pStyle w:val="ListParagraph"/>
        <w:numPr>
          <w:ilvl w:val="0"/>
          <w:numId w:val="2"/>
        </w:numPr>
      </w:pPr>
      <w:r>
        <w:rPr>
          <w:rFonts w:ascii="Arial" w:cs="Arial" w:eastAsia="Arial" w:hAnsi="Arial"/>
          <w:color w:val="333333"/>
          <w:sz w:val="22"/>
          <w:szCs w:val="22"/>
        </w:rPr>
        <w:t xml:space="preserve">Freight consolidation: Combining container volumes across Kmart and HomeStyle shipments from Vietnam and China. Current separate freight arrangements result in estimated $8-10m of avoidable costs.</w:t>
      </w:r>
    </w:p>
    <w:p>
      <w:pPr>
        <w:pStyle w:val="ListParagraph"/>
        <w:numPr>
          <w:ilvl w:val="0"/>
          <w:numId w:val="2"/>
        </w:numPr>
      </w:pPr>
      <w:r>
        <w:rPr>
          <w:rFonts w:ascii="Arial" w:cs="Arial" w:eastAsia="Arial" w:hAnsi="Arial"/>
          <w:color w:val="333333"/>
          <w:sz w:val="22"/>
          <w:szCs w:val="22"/>
        </w:rPr>
        <w:t xml:space="preserve">Raw materials: Timber and textile sourcing consolidation with existing Bunnings and Kmart supplier relationships. Estimated saving of $5-8m based on volume rebate modelling.</w:t>
      </w:r>
    </w:p>
    <w:p>
      <w:pPr>
        <w:pStyle w:val="ListParagraph"/>
        <w:numPr>
          <w:ilvl w:val="0"/>
          <w:numId w:val="2"/>
        </w:numPr>
      </w:pPr>
      <w:r>
        <w:rPr>
          <w:rFonts w:ascii="Arial" w:cs="Arial" w:eastAsia="Arial" w:hAnsi="Arial"/>
          <w:color w:val="333333"/>
          <w:sz w:val="22"/>
          <w:szCs w:val="22"/>
        </w:rPr>
        <w:t xml:space="preserve">Packaging and consumables: Centralised procurement of packaging, point-of-sale materials, and store consumables. Estimated saving of $3-5m.</w:t>
      </w:r>
    </w:p>
    <w:p>
      <w:pPr>
        <w:pStyle w:val="ListParagraph"/>
        <w:numPr>
          <w:ilvl w:val="0"/>
          <w:numId w:val="2"/>
        </w:numPr>
      </w:pPr>
      <w:r>
        <w:rPr>
          <w:rFonts w:ascii="Arial" w:cs="Arial" w:eastAsia="Arial" w:hAnsi="Arial"/>
          <w:color w:val="333333"/>
          <w:sz w:val="22"/>
          <w:szCs w:val="22"/>
        </w:rPr>
        <w:t xml:space="preserve">Insurance: Inclusion in Wesfarmers group insurance program. Estimated premium saving of $2-3m.</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4. SUPPLY CHAIN &amp; LOGISTICS ($12-18m)</w:t>
      </w:r>
    </w:p>
    <w:p>
      <w:r>
        <w:rPr>
          <w:rFonts w:ascii="Arial" w:cs="Arial" w:eastAsia="Arial" w:hAnsi="Arial"/>
          <w:color w:val="333333"/>
          <w:sz w:val="22"/>
          <w:szCs w:val="22"/>
        </w:rPr>
        <w:t xml:space="preserve">HomeStyle currently operates two distribution centres (Melbourne and Sydney) with a combined capacity of 85,000 sqm. Integration with the Wesfarmers logistics network presents several optimisation opportunities:</w:t>
      </w:r>
    </w:p>
    <w:p>
      <w:r>
        <w:rPr>
          <w:rFonts w:ascii="Arial" w:cs="Arial" w:eastAsia="Arial" w:hAnsi="Arial"/>
          <w:color w:val="333333"/>
          <w:sz w:val="22"/>
          <w:szCs w:val="22"/>
        </w:rPr>
        <w:t xml:space="preserve"/>
      </w:r>
    </w:p>
    <w:p>
      <w:pPr>
        <w:pStyle w:val="ListParagraph"/>
        <w:numPr>
          <w:ilvl w:val="0"/>
          <w:numId w:val="2"/>
        </w:numPr>
      </w:pPr>
      <w:r>
        <w:rPr>
          <w:rFonts w:ascii="Arial" w:cs="Arial" w:eastAsia="Arial" w:hAnsi="Arial"/>
          <w:color w:val="333333"/>
          <w:sz w:val="22"/>
          <w:szCs w:val="22"/>
        </w:rPr>
        <w:t xml:space="preserve">Last-mile delivery: Integration with the Bunnings home delivery network (operated by Toll/Linfox) for bulky goods, replacing HomeStyle's current fragmented arrangement with five regional carriers. Estimated saving: $6-9m.</w:t>
      </w:r>
    </w:p>
    <w:p>
      <w:pPr>
        <w:pStyle w:val="ListParagraph"/>
        <w:numPr>
          <w:ilvl w:val="0"/>
          <w:numId w:val="2"/>
        </w:numPr>
      </w:pPr>
      <w:r>
        <w:rPr>
          <w:rFonts w:ascii="Arial" w:cs="Arial" w:eastAsia="Arial" w:hAnsi="Arial"/>
          <w:color w:val="333333"/>
          <w:sz w:val="22"/>
          <w:szCs w:val="22"/>
        </w:rPr>
        <w:t xml:space="preserve">DC consolidation: Potential to co-locate HomeStyle's planned Brisbane DC within the existing Kmart DC footprint at Larapinta. Capex avoidance of $25-30m (one-off) plus ongoing opex saving of $3-5m p.a.</w:t>
      </w:r>
    </w:p>
    <w:p>
      <w:pPr>
        <w:pStyle w:val="ListParagraph"/>
        <w:numPr>
          <w:ilvl w:val="0"/>
          <w:numId w:val="2"/>
        </w:numPr>
      </w:pPr>
      <w:r>
        <w:rPr>
          <w:rFonts w:ascii="Arial" w:cs="Arial" w:eastAsia="Arial" w:hAnsi="Arial"/>
          <w:color w:val="333333"/>
          <w:sz w:val="22"/>
          <w:szCs w:val="22"/>
        </w:rPr>
        <w:t xml:space="preserve">Returns processing: Centralisation of returns handling through Wesfarmers' existing reverse logistics infrastructure. Estimated saving: $2-3m.</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CORPORATE OVERHEAD ($13-19m)</w:t>
      </w:r>
    </w:p>
    <w:p>
      <w:r>
        <w:rPr>
          <w:rFonts w:ascii="Arial" w:cs="Arial" w:eastAsia="Arial" w:hAnsi="Arial"/>
          <w:color w:val="333333"/>
          <w:sz w:val="22"/>
          <w:szCs w:val="22"/>
        </w:rPr>
        <w:t xml:space="preserve">Elimination of duplicated corporate functions following integration into the Wesfarmers group:</w:t>
      </w:r>
    </w:p>
    <w:p>
      <w:r>
        <w:rPr>
          <w:rFonts w:ascii="Arial" w:cs="Arial" w:eastAsia="Arial" w:hAnsi="Arial"/>
          <w:color w:val="333333"/>
          <w:sz w:val="22"/>
          <w:szCs w:val="22"/>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 Cost ($m)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Saving ($m)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Headcount Impact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Finance &amp; Accounting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$4.0 - $5.5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 FTE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Legal &amp; Company Secretary</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 $2.5</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 FTE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HR &amp; Payroll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$2.5 - $3.5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FTE</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Infrastructure &amp; Support</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$2.5 - $4.0</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 FTE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Board &amp;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$2.0 - $2.4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r>
      <w:tr>
        <w:tc>
          <w:tcPr>
            <w:tcW w:type="dxa" w:w="2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$13.0 - $17.9</w:t>
            </w:r>
          </w:p>
        </w:tc>
        <w:tc>
          <w:tcPr>
            <w:tcW w:type="dxa" w:w="1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 FTE</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6. IMPLEMENTATION COSTS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00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Low ($m)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High ($m)</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IT systems integration &amp; migration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w:t>
            </w:r>
          </w:p>
        </w:tc>
      </w:tr>
      <w:tr>
        <w:tc>
          <w:tcPr>
            <w:tcW w:type="dxa" w:w="4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Redundancy and restructuring costs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Re-branding and signage (if applicable)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r>
      <w:tr>
        <w:tc>
          <w:tcPr>
            <w:tcW w:type="dxa" w:w="4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Supply chain reconfiguration</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Project management and advisory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r>
      <w:tr>
        <w:tc>
          <w:tcPr>
            <w:tcW w:type="dxa" w:w="45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One-Off Costs</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$45.0</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7. SYNERGY PHASING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Period</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Cumulative Run-Rate (Mid)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of Total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Completion + 6 months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$15.0m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Completion + 12 months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$33.0m</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Completion + 18 months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$46.0m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84%</w:t>
            </w:r>
          </w:p>
        </w:tc>
      </w:tr>
      <w:tr>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Completion + 24 months</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$55.0m</w:t>
            </w:r>
          </w:p>
        </w:tc>
        <w:tc>
          <w:tcPr>
            <w:tcW w:type="dxa" w:w="2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Synergy Assessment Working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2026-02-09T23:15:02.040Z</dcterms:created>
  <dcterms:modified xsi:type="dcterms:W3CDTF">2026-02-09T23:15:02.040Z</dcterms:modified>
</cp:coreProperties>
</file>

<file path=docProps/custom.xml><?xml version="1.0" encoding="utf-8"?>
<Properties xmlns="http://schemas.openxmlformats.org/officeDocument/2006/custom-properties" xmlns:vt="http://schemas.openxmlformats.org/officeDocument/2006/docPropsVTypes"/>
</file>