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left"/>
      </w:pPr>
      <w:r>
        <w:rPr>
          <w:rFonts w:ascii="Arial" w:cs="Arial" w:eastAsia="Arial" w:hAnsi="Arial"/>
          <w:b/>
          <w:bCs/>
          <w:color w:val="1B3A5C"/>
          <w:sz w:val="52"/>
          <w:szCs w:val="52"/>
        </w:rPr>
        <w:t xml:space="preserve">Key Employee Retention Framework</w:t>
      </w:r>
    </w:p>
    <w:p>
      <w:pPr>
        <w:spacing w:before="200"/>
      </w:pPr>
      <w:r>
        <w:rPr>
          <w:rFonts w:ascii="Arial" w:cs="Arial" w:eastAsia="Arial" w:hAnsi="Arial"/>
          <w:color w:val="666666"/>
          <w:sz w:val="28"/>
          <w:szCs w:val="28"/>
        </w:rPr>
        <w:t xml:space="preserve">Project Kingfisher - People &amp; Transition</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January 2026</w:t>
      </w:r>
    </w:p>
    <w:p>
      <w:r>
        <w:rPr>
          <w:rFonts w:ascii="Arial" w:cs="Arial" w:eastAsia="Arial" w:hAnsi="Arial"/>
          <w:b/>
          <w:bCs/>
          <w:sz w:val="22"/>
          <w:szCs w:val="22"/>
        </w:rPr>
        <w:t xml:space="preserve">Project Code: </w:t>
      </w:r>
      <w:r>
        <w:rPr>
          <w:rFonts w:ascii="Arial" w:cs="Arial" w:eastAsia="Arial" w:hAnsi="Arial"/>
          <w:sz w:val="22"/>
          <w:szCs w:val="22"/>
        </w:rPr>
        <w:t xml:space="preserve">WES-PKF-HR-001</w:t>
      </w:r>
    </w:p>
    <w:p>
      <w:r>
        <w:rPr>
          <w:rFonts w:ascii="Arial" w:cs="Arial" w:eastAsia="Arial" w:hAnsi="Arial"/>
          <w:b/>
          <w:bCs/>
          <w:sz w:val="22"/>
          <w:szCs w:val="22"/>
        </w:rPr>
        <w:t xml:space="preserve">Prepared by: </w:t>
      </w:r>
      <w:r>
        <w:rPr>
          <w:rFonts w:ascii="Arial" w:cs="Arial" w:eastAsia="Arial" w:hAnsi="Arial"/>
          <w:sz w:val="22"/>
          <w:szCs w:val="22"/>
        </w:rPr>
        <w:t xml:space="preserve">Wesfarmers People &amp; Culture</w:t>
      </w:r>
    </w:p>
    <w:p>
      <w:r>
        <w:rPr>
          <w:rFonts w:ascii="Arial" w:cs="Arial" w:eastAsia="Arial" w:hAnsi="Arial"/>
          <w:b/>
          <w:bCs/>
          <w:sz w:val="22"/>
          <w:szCs w:val="22"/>
        </w:rPr>
        <w:t xml:space="preserve">Reviewed by: </w:t>
      </w:r>
      <w:r>
        <w:rPr>
          <w:rFonts w:ascii="Arial" w:cs="Arial" w:eastAsia="Arial" w:hAnsi="Arial"/>
          <w:sz w:val="22"/>
          <w:szCs w:val="22"/>
        </w:rPr>
        <w:t xml:space="preserve">Wesfarmers Remuneration Committee</w:t>
      </w:r>
    </w:p>
    <w:p>
      <w:pPr>
        <w:spacing w:before="1200"/>
        <w:jc w:val="center"/>
      </w:pPr>
      <w:r>
        <w:rPr>
          <w:rFonts w:ascii="Arial" w:cs="Arial" w:eastAsia="Arial" w:hAnsi="Arial"/>
          <w:b/>
          <w:bCs/>
          <w:color w:val="C8102E"/>
          <w:sz w:val="18"/>
          <w:szCs w:val="18"/>
        </w:rPr>
        <w:t xml:space="preserve">STRICTLY PRIVATE &amp; CONFIDENTIAL</w:t>
      </w:r>
    </w:p>
    <w:p>
      <w:pPr>
        <w:spacing w:before="200"/>
      </w:pPr>
      <w:r>
        <w:rPr>
          <w:rFonts w:ascii="Arial" w:cs="Arial" w:eastAsia="Arial" w:hAnsi="Arial"/>
          <w:i/>
          <w:iCs/>
          <w:color w:val="666666"/>
          <w:sz w:val="16"/>
          <w:szCs w:val="16"/>
        </w:rPr>
        <w:t xml:space="preserve">This document has been prepared solely for the use of authorised parties in connection with Project Kingfisher. Distribution, reproduction, or use of this document without prior written consent is strictly prohibited.</w:t>
      </w:r>
    </w:p>
    <w:p>
      <w:r>
        <w:br w:type="page"/>
      </w:r>
    </w:p>
    <w:p>
      <w:pPr>
        <w:pStyle w:val="Heading1"/>
      </w:pPr>
      <w:r>
        <w:rPr>
          <w:rFonts w:ascii="Arial" w:cs="Arial" w:eastAsia="Arial" w:hAnsi="Arial"/>
          <w:color w:val="333333"/>
          <w:sz w:val="22"/>
          <w:szCs w:val="22"/>
        </w:rPr>
        <w:t xml:space="preserve">1. PURPOSE</w:t>
      </w:r>
    </w:p>
    <w:p>
      <w:r>
        <w:rPr>
          <w:rFonts w:ascii="Arial" w:cs="Arial" w:eastAsia="Arial" w:hAnsi="Arial"/>
          <w:color w:val="333333"/>
          <w:sz w:val="22"/>
          <w:szCs w:val="22"/>
        </w:rPr>
        <w:t xml:space="preserve">This document outlines the proposed retention framework for key employees of Target Co Pty Ltd identified as critical to maintaining business continuity and value preservation during the post-acquisition transition period. Retention of key talent has been identified as a Condition Precedent in the draft Share Purchase Agreement (Schedule 4).</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KEY EMPLOYEE IDENTIFICATION</w:t>
      </w:r>
    </w:p>
    <w:p>
      <w:r>
        <w:rPr>
          <w:rFonts w:ascii="Arial" w:cs="Arial" w:eastAsia="Arial" w:hAnsi="Arial"/>
          <w:color w:val="333333"/>
          <w:sz w:val="22"/>
          <w:szCs w:val="22"/>
        </w:rPr>
        <w:t xml:space="preserve">The following individuals have been classified as Tier 1 (Critical) for retention purposes:</w:t>
      </w:r>
    </w:p>
    <w:p>
      <w:r>
        <w:rPr>
          <w:rFonts w:ascii="Arial" w:cs="Arial" w:eastAsia="Arial" w:hAnsi="Arial"/>
          <w:color w:val="333333"/>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200"/>
        <w:gridCol w:w="12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 Role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Tenure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Criticality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Flight Risk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Rachel Wong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Chief Financial Officer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Sarah Chen*</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Chief Merchandising Officer</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 years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David Park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Chief Operating Officer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Aisha Patel</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Chief Technology Officer</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years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James Liu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 of Own-Brand Sourcing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Emma Walsh</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National Retail Operations Director</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 years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Important</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Ben Torres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 of E-Commerce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Lisa Nakamura</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 of Customer Analytics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years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Important</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r>
    </w:tbl>
    <w:p>
      <w:pPr>
        <w:spacing w:before="100"/>
      </w:pPr>
      <w:r>
        <w:rPr>
          <w:rFonts w:ascii="Arial" w:cs="Arial" w:eastAsia="Arial" w:hAnsi="Arial"/>
          <w:color w:val="333333"/>
          <w:sz w:val="22"/>
          <w:szCs w:val="22"/>
        </w:rPr>
        <w:t xml:space="preserve">* Sarah Chen is a founding shareholder. Her retention is addressed separately under the SPA non-compete / consulting arrangement.</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PROPOSED RETENTION STRUCTURE</w:t>
      </w:r>
    </w:p>
    <w:p>
      <w:pPr>
        <w:pStyle w:val="Heading2"/>
      </w:pPr>
      <w:r>
        <w:rPr>
          <w:rFonts w:ascii="Arial" w:cs="Arial" w:eastAsia="Arial" w:hAnsi="Arial"/>
          <w:color w:val="333333"/>
          <w:sz w:val="22"/>
          <w:szCs w:val="22"/>
        </w:rPr>
        <w:t xml:space="preserve">3.1 Retention Bonuses</w:t>
      </w:r>
    </w:p>
    <w:p>
      <w:r>
        <w:rPr>
          <w:rFonts w:ascii="Arial" w:cs="Arial" w:eastAsia="Arial" w:hAnsi="Arial"/>
          <w:color w:val="333333"/>
          <w:sz w:val="22"/>
          <w:szCs w:val="22"/>
        </w:rPr>
        <w:t xml:space="preserve">Cash retention bonuses are proposed for Tier 1 and Tier 2 key employees, structured as follows:</w:t>
      </w:r>
    </w:p>
    <w:p>
      <w:r>
        <w:rPr>
          <w:rFonts w:ascii="Arial" w:cs="Arial" w:eastAsia="Arial" w:hAnsi="Arial"/>
          <w:color w:val="333333"/>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Retention Bonus</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Payment Schedule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Clawback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Tier 1 (Critical)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75-100% of base salary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 at 12 months, 50% at 24 months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 clawback if voluntary departure within 24 months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Tier 2 (Important)</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40-60% of base salary</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 at 12 months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Pro-rata clawback if voluntary departure within 12 months</w:t>
            </w:r>
          </w:p>
        </w:tc>
      </w:tr>
    </w:tbl>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3.2 Estimated Retention Cost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80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Employees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Total Cost ($m)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Tier 1 (Critical)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$3.8 - $4.5</w:t>
            </w:r>
          </w:p>
        </w:tc>
      </w:tr>
      <w:tr>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Tier 2 (Important)</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$2.1 - $2.8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Tier 3 (Broader Retention Pool)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$1.5 - $2.0</w:t>
            </w:r>
          </w:p>
        </w:tc>
      </w:tr>
      <w:tr>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$7.4 - $9.3</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4. CULTURAL INTEGRATION CONSIDERATIONS</w:t>
      </w:r>
    </w:p>
    <w:p>
      <w:r>
        <w:rPr>
          <w:rFonts w:ascii="Arial" w:cs="Arial" w:eastAsia="Arial" w:hAnsi="Arial"/>
          <w:color w:val="333333"/>
          <w:sz w:val="22"/>
          <w:szCs w:val="22"/>
        </w:rPr>
        <w:t xml:space="preserve">Target Co has a distinctive entrepreneurial culture that differs significantly from the Wesfarmers corporate environment. Key cultural attributes that should be preserved include:</w:t>
      </w:r>
    </w:p>
    <w:p>
      <w:r>
        <w:rPr>
          <w:rFonts w:ascii="Arial" w:cs="Arial" w:eastAsia="Arial" w:hAnsi="Arial"/>
          <w:color w:val="333333"/>
          <w:sz w:val="22"/>
          <w:szCs w:val="22"/>
        </w:rPr>
        <w:t xml:space="preserve"/>
      </w:r>
    </w:p>
    <w:p>
      <w:pPr>
        <w:pStyle w:val="ListParagraph"/>
        <w:numPr>
          <w:ilvl w:val="0"/>
          <w:numId w:val="2"/>
        </w:numPr>
      </w:pPr>
      <w:r>
        <w:rPr>
          <w:rFonts w:ascii="Arial" w:cs="Arial" w:eastAsia="Arial" w:hAnsi="Arial"/>
          <w:color w:val="333333"/>
          <w:sz w:val="22"/>
          <w:szCs w:val="22"/>
        </w:rPr>
        <w:t xml:space="preserve">Speed of decision-making: The Company operates with a flat hierarchy and empowers store managers with significant merchandising and operational autonomy. This has been identified as a key competitive advantage.</w:t>
      </w:r>
    </w:p>
    <w:p>
      <w:pPr>
        <w:pStyle w:val="ListParagraph"/>
        <w:numPr>
          <w:ilvl w:val="0"/>
          <w:numId w:val="2"/>
        </w:numPr>
      </w:pPr>
      <w:r>
        <w:rPr>
          <w:rFonts w:ascii="Arial" w:cs="Arial" w:eastAsia="Arial" w:hAnsi="Arial"/>
          <w:color w:val="333333"/>
          <w:sz w:val="22"/>
          <w:szCs w:val="22"/>
        </w:rPr>
        <w:t xml:space="preserve">Design-led culture: The own-brand product development team operates as a semi-autonomous creative studio. Over-integration with Wesfarmers' centralised processes could undermine the brand's design differentiation.</w:t>
      </w:r>
    </w:p>
    <w:p>
      <w:pPr>
        <w:pStyle w:val="ListParagraph"/>
        <w:numPr>
          <w:ilvl w:val="0"/>
          <w:numId w:val="2"/>
        </w:numPr>
      </w:pPr>
      <w:r>
        <w:rPr>
          <w:rFonts w:ascii="Arial" w:cs="Arial" w:eastAsia="Arial" w:hAnsi="Arial"/>
          <w:color w:val="333333"/>
          <w:sz w:val="22"/>
          <w:szCs w:val="22"/>
        </w:rPr>
        <w:t xml:space="preserve">Founder influence: Michael and Sarah Chen have established strong personal relationships with key suppliers, particularly in Vietnam. A structured handover program of at least 12 months is recommended.</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RECOMMENDED APPROACH</w:t>
      </w:r>
    </w:p>
    <w:p>
      <w:r>
        <w:rPr>
          <w:rFonts w:ascii="Arial" w:cs="Arial" w:eastAsia="Arial" w:hAnsi="Arial"/>
          <w:color w:val="333333"/>
          <w:sz w:val="22"/>
          <w:szCs w:val="22"/>
        </w:rPr>
        <w:t xml:space="preserve">We recommend a "light touch" integration approach for the first 12 months, maintaining HomeStyle as a distinct business unit within the Wesfarmers portfolio (similar to the Officeworks model). This preserves cultural autonomy while enabling back-office synergy capture.</w:t>
      </w:r>
    </w:p>
    <w:p>
      <w:r>
        <w:rPr>
          <w:rFonts w:ascii="Arial" w:cs="Arial" w:eastAsia="Arial" w:hAnsi="Arial"/>
          <w:color w:val="333333"/>
          <w:sz w:val="22"/>
          <w:szCs w:val="22"/>
        </w:rPr>
        <w:t xml:space="preserve">The integration should be managed through a dedicated Integration Management Office (IMO) with representation from both organisations, reporting to a Steering Committee chaired by the Wesfarmers CFO.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Key Employee Retention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2026-02-09T23:15:02.071Z</dcterms:created>
  <dcterms:modified xsi:type="dcterms:W3CDTF">2026-02-09T23:15:02.071Z</dcterms:modified>
</cp:coreProperties>
</file>

<file path=docProps/custom.xml><?xml version="1.0" encoding="utf-8"?>
<Properties xmlns="http://schemas.openxmlformats.org/officeDocument/2006/custom-properties" xmlns:vt="http://schemas.openxmlformats.org/officeDocument/2006/docPropsVTypes"/>
</file>