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Due Diligence Q&amp;A Log</w:t>
      </w:r>
    </w:p>
    <w:p>
      <w:pPr>
        <w:spacing w:before="20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Project Kingfisher - Consolidated Question Register</w:t>
      </w:r>
    </w:p>
    <w:p>
      <w:pPr>
        <w:spacing w:before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31 January 2026 (Extract)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Project Code: </w:t>
      </w:r>
      <w:r>
        <w:rPr>
          <w:rFonts w:ascii="Arial" w:cs="Arial" w:eastAsia="Arial" w:hAnsi="Arial"/>
          <w:sz w:val="22"/>
          <w:szCs w:val="22"/>
        </w:rPr>
        <w:t xml:space="preserve">WES-PKF-QA-001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VDR Platform: </w:t>
      </w:r>
      <w:r>
        <w:rPr>
          <w:rFonts w:ascii="Arial" w:cs="Arial" w:eastAsia="Arial" w:hAnsi="Arial"/>
          <w:sz w:val="22"/>
          <w:szCs w:val="22"/>
        </w:rPr>
        <w:t xml:space="preserve">Ansarada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178 Questions Submitted | 142 Answered | 36 Pending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C8102E"/>
          <w:sz w:val="18"/>
          <w:szCs w:val="18"/>
        </w:rPr>
        <w:t xml:space="preserve">STRICTLY PRIVATE &amp;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Due Diligence Question &amp; Answer Register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This document contains an extract of the Q&amp;A log from the Project Kingfisher Virtual Data Room. Questions have been submitted by Wesfarmers and its advisers through the Ansarada Q&amp;A module.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Financial Questions (Section 2.0)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80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Summary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revenue by store for FY24 and H1 FY25, by product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KPMG (FDD)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Uploaded to VDR Folder 2.05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Basis for the $12.8m ATO transfer pricing provision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PwC (Tax)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ATO Position Paper issued (not formal assessment). Correspondence in Folder 2.10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Treatment of $25m vendor loan from Chen Family Trust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KPMG (FDD)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Interest rate 4.5% p.a. vs benchmark 6.35%. Below-market rate noted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Earn-Out arrangement mechanics (draft SPA)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Wesfarmers Corp Dev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Terms under negotiation. Expected w/c 10 Feb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Reconciliation of management EBITDA to statutory EBITDA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KPMG (FDD)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Uploaded to Folder 2.03A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FY25 capex budget by category (maintenance vs growth)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Wesfarmers Corp Dev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FY25: $82m ($34m maint, $48m growth). Detail in Folder 2.08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Accounting treatment for store fit-out costs under AASB 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KPMG (FDD)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Landlord contributions netted against ROU asset. $4.2m in FY24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Aged inventory analysis as at 31 December 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KPMG (FDD)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compilation in progress. Expected 5 February</w:t>
            </w:r>
          </w:p>
        </w:tc>
      </w:tr>
    </w:tbl>
    <w:p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Legal &amp; Compliance Questions (Section 3.0)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80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Summary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of control consents in top 20 supplier agreements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Gilbert + Tobin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of 20 have CoC provisions. 5 require consent, 3 notification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or threatened litigation matters &gt;$500k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Herbert Smith Freehills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 matters: customer PI claim ($1.2m, insured) and unfair dismissal ($85k, mediation Feb)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HOMESTYLE trademark ownership transfer from Singapore 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Spruson &amp; Ferguson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Legal advisers reviewing. Response expected w/c 3 February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Restrictive covenants in founders' employment agreements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Gilbert + Tobin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12-month non-compete. Will be superseded by SPA restraint (3yr/5yr)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processing agreements with third-party service providers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Herbert Smith Freehills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 identified, 9 uploaded, 5 being collated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Modern Slavery Act compliance gap remediation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EY (ESG)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82% Tier 1 assessed (up from 68%). Two Indonesian factories in active remediation</w:t>
            </w:r>
          </w:p>
        </w:tc>
      </w:tr>
    </w:tbl>
    <w:p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Property Questions (Section 4.0)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400"/>
        <w:gridCol w:w="8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Summary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of renewal negotiations for 8 holdover leases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Cushman &amp; Wakefield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in active negotiation. Landlords seeking 10-15% increases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Environmental site assessments for DC sites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EY (ESG)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 ESAs complete. No contamination. Reports in Folder 4.05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Make-good obligations and estimated costs by 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Cushman &amp; Wakefield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$6.2m aggregate. Store breakdown being prepared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Related party landlord leases (founder-owned properties)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Gilbert + Tobin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One: head office (Chen Holdings). At market rent per Knight Frank valuation</w:t>
            </w:r>
          </w:p>
        </w:tc>
      </w:tr>
    </w:tbl>
    <w:p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&amp; Technology Questions (Section 6.0)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400"/>
        <w:gridCol w:w="8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Summary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SAP ECC 6.0 customisations - number of custom ABAP objects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Deloitte (IT DD)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~340 custom objects, ~120 actively used. Catalogue in Folder 6.03A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data in loyalty database - classification and encryption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Herbert Smith Freehills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2.1m members. AES-256 at rest, TLS 1.3 in transit. AWS Sydney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Annual IT spend breakdown (run vs change) FY24 and FY25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Deloitte (IT DD)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FY24: $28.4m. FY25 budget: $32.1m. Increase from POS and cyber projects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Penetration test results (last 12 months)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Deloitte (IT DD)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 2025 by CyberCX. Executive summary being prepared for VDR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Project Kingfisher  |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8102E"/>
        <w:sz w:val="14"/>
        <w:szCs w:val="14"/>
      </w:rPr>
      <w:t xml:space="preserve">STRICTLY PRIVATE &amp; CONFIDENTIAL</w:t>
    </w:r>
    <w:r>
      <w:rPr>
        <w:rFonts w:ascii="Arial" w:cs="Arial" w:eastAsia="Arial" w:hAnsi="Arial"/>
        <w:color w:val="666666"/>
        <w:sz w:val="14"/>
        <w:szCs w:val="14"/>
      </w:rPr>
      <w:t xml:space="preserve">  |  Q&amp;A Log Extract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2026-02-10T23:03:40.446Z</dcterms:created>
  <dcterms:modified xsi:type="dcterms:W3CDTF">2026-02-10T23:03:40.446Z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