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4000"/>
      </w:pPr>
    </w:p>
    <w:p>
      <w:r>
        <w:rPr>
          <w:rFonts w:ascii="Arial" w:cs="Arial" w:eastAsia="Arial" w:hAnsi="Arial"/>
          <w:b/>
          <w:bCs/>
          <w:color w:val="1B3A5C"/>
          <w:sz w:val="52"/>
          <w:szCs w:val="52"/>
        </w:rPr>
        <w:t xml:space="preserve">Integration Planning Framework</w:t>
      </w:r>
    </w:p>
    <w:p>
      <w:pPr>
        <w:spacing w:before="200"/>
      </w:pPr>
      <w:r>
        <w:rPr>
          <w:rFonts w:ascii="Arial" w:cs="Arial" w:eastAsia="Arial" w:hAnsi="Arial"/>
          <w:color w:val="666666"/>
          <w:sz w:val="28"/>
          <w:szCs w:val="28"/>
        </w:rPr>
        <w:t xml:space="preserve">Project Kingfisher - Day 1 Readiness &amp; 100-Day Plan</w:t>
      </w:r>
    </w:p>
    <w:p>
      <w:pPr>
        <w:spacing w:before="600"/>
      </w:pPr>
      <w:r>
        <w:rPr>
          <w:rFonts w:ascii="Arial" w:cs="Arial" w:eastAsia="Arial" w:hAnsi="Arial"/>
          <w:b/>
          <w:bCs/>
          <w:sz w:val="22"/>
          <w:szCs w:val="22"/>
        </w:rPr>
        <w:t xml:space="preserve">Date: </w:t>
      </w:r>
      <w:r>
        <w:rPr>
          <w:rFonts w:ascii="Arial" w:cs="Arial" w:eastAsia="Arial" w:hAnsi="Arial"/>
          <w:sz w:val="22"/>
          <w:szCs w:val="22"/>
        </w:rPr>
        <w:t xml:space="preserve">January 2026</w:t>
      </w:r>
    </w:p>
    <w:p>
      <w:r>
        <w:rPr>
          <w:rFonts w:ascii="Arial" w:cs="Arial" w:eastAsia="Arial" w:hAnsi="Arial"/>
          <w:b/>
          <w:bCs/>
          <w:sz w:val="22"/>
          <w:szCs w:val="22"/>
        </w:rPr>
        <w:t xml:space="preserve">Project Code: </w:t>
      </w:r>
      <w:r>
        <w:rPr>
          <w:rFonts w:ascii="Arial" w:cs="Arial" w:eastAsia="Arial" w:hAnsi="Arial"/>
          <w:sz w:val="22"/>
          <w:szCs w:val="22"/>
        </w:rPr>
        <w:t xml:space="preserve">WES-PKF-INT-001</w:t>
      </w:r>
    </w:p>
    <w:p>
      <w:r>
        <w:rPr>
          <w:rFonts w:ascii="Arial" w:cs="Arial" w:eastAsia="Arial" w:hAnsi="Arial"/>
          <w:b/>
          <w:bCs/>
          <w:sz w:val="22"/>
          <w:szCs w:val="22"/>
        </w:rPr>
        <w:t xml:space="preserve">Prepared by: </w:t>
      </w:r>
      <w:r>
        <w:rPr>
          <w:rFonts w:ascii="Arial" w:cs="Arial" w:eastAsia="Arial" w:hAnsi="Arial"/>
          <w:sz w:val="22"/>
          <w:szCs w:val="22"/>
        </w:rPr>
        <w:t xml:space="preserve">Wesfarmers Integration Management Office</w:t>
      </w:r>
    </w:p>
    <w:p>
      <w:r>
        <w:rPr>
          <w:rFonts w:ascii="Arial" w:cs="Arial" w:eastAsia="Arial" w:hAnsi="Arial"/>
          <w:b/>
          <w:bCs/>
          <w:sz w:val="22"/>
          <w:szCs w:val="22"/>
        </w:rPr>
        <w:t xml:space="preserve">Sponsor: </w:t>
      </w:r>
      <w:r>
        <w:rPr>
          <w:rFonts w:ascii="Arial" w:cs="Arial" w:eastAsia="Arial" w:hAnsi="Arial"/>
          <w:sz w:val="22"/>
          <w:szCs w:val="22"/>
        </w:rPr>
        <w:t xml:space="preserve">Anthony Gianotti, CFO</w:t>
      </w:r>
    </w:p>
    <w:p>
      <w:pPr>
        <w:spacing w:before="1200"/>
        <w:jc w:val="center"/>
      </w:pPr>
      <w:r>
        <w:rPr>
          <w:rFonts w:ascii="Arial" w:cs="Arial" w:eastAsia="Arial" w:hAnsi="Arial"/>
          <w:b/>
          <w:bCs/>
          <w:color w:val="C8102E"/>
          <w:sz w:val="18"/>
          <w:szCs w:val="18"/>
        </w:rPr>
        <w:t xml:space="preserve">STRICTLY PRIVATE &amp; CONFIDENTIAL</w:t>
      </w:r>
    </w:p>
    <w:p>
      <w:r>
        <w:br w:type="page"/>
      </w:r>
    </w:p>
    <w:p>
      <w:pPr>
        <w:pStyle w:val="Heading1"/>
      </w:pPr>
      <w:r>
        <w:rPr>
          <w:rFonts w:ascii="Arial" w:cs="Arial" w:eastAsia="Arial" w:hAnsi="Arial"/>
          <w:color w:val="333333"/>
          <w:sz w:val="22"/>
          <w:szCs w:val="22"/>
        </w:rPr>
        <w:t xml:space="preserve">1. INTEGRATION GOVERNANCE</w:t>
      </w:r>
    </w:p>
    <w:p>
      <w:r>
        <w:rPr>
          <w:rFonts w:ascii="Arial" w:cs="Arial" w:eastAsia="Arial" w:hAnsi="Arial"/>
          <w:color w:val="333333"/>
          <w:sz w:val="22"/>
          <w:szCs w:val="22"/>
        </w:rPr>
        <w:t xml:space="preserve">The integration of Target Co will be managed through a dedicated Integration Management Office (IMO) reporting to the Integration Steering Committee.</w:t>
      </w:r>
    </w:p>
    <w:p>
      <w:r>
        <w:rPr>
          <w:rFonts w:ascii="Arial" w:cs="Arial" w:eastAsia="Arial" w:hAnsi="Arial"/>
          <w:color w:val="333333"/>
          <w:sz w:val="22"/>
          <w:szCs w:val="22"/>
        </w:rPr>
        <w:t xml:space="preserve"/>
      </w:r>
    </w:p>
    <w:tbl>
      <w:tblPr>
        <w:tblW w:type="dxa" w:w="8500"/>
        <w:tblBorders>
          <w:top w:val="single" w:color="auto" w:sz="4"/>
          <w:left w:val="single" w:color="auto" w:sz="4"/>
          <w:bottom w:val="single" w:color="auto" w:sz="4"/>
          <w:right w:val="single" w:color="auto" w:sz="4"/>
          <w:insideH w:val="single" w:color="auto" w:sz="4"/>
          <w:insideV w:val="single" w:color="auto" w:sz="4"/>
        </w:tblBorders>
      </w:tblPr>
      <w:tblGrid>
        <w:gridCol w:w="2200"/>
        <w:gridCol w:w="2800"/>
        <w:gridCol w:w="3500"/>
      </w:tblGrid>
      <w:tr>
        <w:tc>
          <w:tcPr>
            <w:tcW w:type="dxa" w:w="2200"/>
            <w:tcBorders>
              <w:top w:val="single" w:color="CCCCCC" w:sz="1"/>
              <w:left w:val="single" w:color="CCCCCC" w:sz="1"/>
              <w:bottom w:val="single" w:color="CCCCCC" w:sz="1"/>
              <w:right w:val="single" w:color="CCCCCC" w:sz="1"/>
            </w:tcBorders>
            <w:shd w:fill="1B3A5C" w:val="clear"/>
            <w:tcMar>
              <w:top w:type="dxa" w:w="60"/>
              <w:left w:type="dxa" w:w="100"/>
              <w:bottom w:type="dxa" w:w="60"/>
              <w:right w:type="dxa" w:w="100"/>
            </w:tcMar>
          </w:tcPr>
          <w:p>
            <w:r>
              <w:rPr>
                <w:rFonts w:ascii="Arial" w:cs="Arial" w:eastAsia="Arial" w:hAnsi="Arial"/>
                <w:b/>
                <w:bCs/>
                <w:color w:val="FFFFFF"/>
                <w:sz w:val="18"/>
                <w:szCs w:val="18"/>
              </w:rPr>
              <w:t xml:space="preserve">Name</w:t>
            </w:r>
          </w:p>
        </w:tc>
        <w:tc>
          <w:tcPr>
            <w:tcW w:type="dxa" w:w="2800"/>
            <w:tcBorders>
              <w:top w:val="single" w:color="CCCCCC" w:sz="1"/>
              <w:left w:val="single" w:color="CCCCCC" w:sz="1"/>
              <w:bottom w:val="single" w:color="CCCCCC" w:sz="1"/>
              <w:right w:val="single" w:color="CCCCCC" w:sz="1"/>
            </w:tcBorders>
            <w:shd w:fill="1B3A5C" w:val="clear"/>
            <w:tcMar>
              <w:top w:type="dxa" w:w="60"/>
              <w:left w:type="dxa" w:w="100"/>
              <w:bottom w:type="dxa" w:w="60"/>
              <w:right w:type="dxa" w:w="100"/>
            </w:tcMar>
          </w:tcPr>
          <w:p>
            <w:r>
              <w:rPr>
                <w:rFonts w:ascii="Arial" w:cs="Arial" w:eastAsia="Arial" w:hAnsi="Arial"/>
                <w:b/>
                <w:bCs/>
                <w:color w:val="FFFFFF"/>
                <w:sz w:val="18"/>
                <w:szCs w:val="18"/>
              </w:rPr>
              <w:t xml:space="preserve">Role</w:t>
            </w:r>
          </w:p>
        </w:tc>
        <w:tc>
          <w:tcPr>
            <w:tcW w:type="dxa" w:w="3500"/>
            <w:tcBorders>
              <w:top w:val="single" w:color="CCCCCC" w:sz="1"/>
              <w:left w:val="single" w:color="CCCCCC" w:sz="1"/>
              <w:bottom w:val="single" w:color="CCCCCC" w:sz="1"/>
              <w:right w:val="single" w:color="CCCCCC" w:sz="1"/>
            </w:tcBorders>
            <w:shd w:fill="1B3A5C" w:val="clear"/>
            <w:tcMar>
              <w:top w:type="dxa" w:w="60"/>
              <w:left w:type="dxa" w:w="100"/>
              <w:bottom w:type="dxa" w:w="60"/>
              <w:right w:type="dxa" w:w="100"/>
            </w:tcMar>
          </w:tcPr>
          <w:p>
            <w:r>
              <w:rPr>
                <w:rFonts w:ascii="Arial" w:cs="Arial" w:eastAsia="Arial" w:hAnsi="Arial"/>
                <w:b/>
                <w:bCs/>
                <w:color w:val="FFFFFF"/>
                <w:sz w:val="18"/>
                <w:szCs w:val="18"/>
              </w:rPr>
              <w:t xml:space="preserve">Responsibility</w:t>
            </w:r>
          </w:p>
        </w:tc>
      </w:tr>
      <w:tr>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18"/>
                <w:szCs w:val="18"/>
              </w:rPr>
              <w:t xml:space="preserve">Anthony Gianotti</w:t>
            </w:r>
          </w:p>
        </w:tc>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18"/>
                <w:szCs w:val="18"/>
              </w:rPr>
              <w:t xml:space="preserve">Chair (Wesfarmers CFO)</w:t>
            </w:r>
          </w:p>
        </w:tc>
        <w:tc>
          <w:tcPr>
            <w:tcW w:type="dxa" w:w="3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18"/>
                <w:szCs w:val="18"/>
              </w:rPr>
              <w:t xml:space="preserve">Overall integration oversight and escalation</w:t>
            </w:r>
          </w:p>
        </w:tc>
      </w:tr>
      <w:tr>
        <w:tc>
          <w:tcPr>
            <w:tcW w:type="dxa" w:w="2200"/>
            <w:tcBorders>
              <w:top w:val="single" w:color="CCCCCC" w:sz="1"/>
              <w:left w:val="single" w:color="CCCCCC" w:sz="1"/>
              <w:bottom w:val="single" w:color="CCCCCC" w:sz="1"/>
              <w:right w:val="single" w:color="CCCCCC" w:sz="1"/>
            </w:tcBorders>
            <w:shd w:fill="EDF2F7" w:val="clear"/>
            <w:tcMar>
              <w:top w:type="dxa" w:w="60"/>
              <w:left w:type="dxa" w:w="100"/>
              <w:bottom w:type="dxa" w:w="60"/>
              <w:right w:type="dxa" w:w="100"/>
            </w:tcMar>
          </w:tcPr>
          <w:p>
            <w:r>
              <w:rPr>
                <w:rFonts w:ascii="Arial" w:cs="Arial" w:eastAsia="Arial" w:hAnsi="Arial"/>
                <w:b w:val="false"/>
                <w:bCs w:val="false"/>
                <w:color w:val="333333"/>
                <w:sz w:val="18"/>
                <w:szCs w:val="18"/>
              </w:rPr>
              <w:t xml:space="preserve">Sarah Mitchell</w:t>
            </w:r>
          </w:p>
        </w:tc>
        <w:tc>
          <w:tcPr>
            <w:tcW w:type="dxa" w:w="2800"/>
            <w:tcBorders>
              <w:top w:val="single" w:color="CCCCCC" w:sz="1"/>
              <w:left w:val="single" w:color="CCCCCC" w:sz="1"/>
              <w:bottom w:val="single" w:color="CCCCCC" w:sz="1"/>
              <w:right w:val="single" w:color="CCCCCC" w:sz="1"/>
            </w:tcBorders>
            <w:shd w:fill="EDF2F7" w:val="clear"/>
            <w:tcMar>
              <w:top w:type="dxa" w:w="60"/>
              <w:left w:type="dxa" w:w="100"/>
              <w:bottom w:type="dxa" w:w="60"/>
              <w:right w:type="dxa" w:w="100"/>
            </w:tcMar>
          </w:tcPr>
          <w:p>
            <w:r>
              <w:rPr>
                <w:rFonts w:ascii="Arial" w:cs="Arial" w:eastAsia="Arial" w:hAnsi="Arial"/>
                <w:b w:val="false"/>
                <w:bCs w:val="false"/>
                <w:color w:val="333333"/>
                <w:sz w:val="18"/>
                <w:szCs w:val="18"/>
              </w:rPr>
              <w:t xml:space="preserve">IMO Director</w:t>
            </w:r>
          </w:p>
        </w:tc>
        <w:tc>
          <w:tcPr>
            <w:tcW w:type="dxa" w:w="3500"/>
            <w:tcBorders>
              <w:top w:val="single" w:color="CCCCCC" w:sz="1"/>
              <w:left w:val="single" w:color="CCCCCC" w:sz="1"/>
              <w:bottom w:val="single" w:color="CCCCCC" w:sz="1"/>
              <w:right w:val="single" w:color="CCCCCC" w:sz="1"/>
            </w:tcBorders>
            <w:shd w:fill="EDF2F7" w:val="clear"/>
            <w:tcMar>
              <w:top w:type="dxa" w:w="60"/>
              <w:left w:type="dxa" w:w="100"/>
              <w:bottom w:type="dxa" w:w="60"/>
              <w:right w:type="dxa" w:w="100"/>
            </w:tcMar>
          </w:tcPr>
          <w:p>
            <w:r>
              <w:rPr>
                <w:rFonts w:ascii="Arial" w:cs="Arial" w:eastAsia="Arial" w:hAnsi="Arial"/>
                <w:b w:val="false"/>
                <w:bCs w:val="false"/>
                <w:color w:val="333333"/>
                <w:sz w:val="18"/>
                <w:szCs w:val="18"/>
              </w:rPr>
              <w:t xml:space="preserve">Day-to-day integration leadership</w:t>
            </w:r>
          </w:p>
        </w:tc>
      </w:tr>
      <w:tr>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18"/>
                <w:szCs w:val="18"/>
              </w:rPr>
              <w:t xml:space="preserve">Rachel Wong</w:t>
            </w:r>
          </w:p>
        </w:tc>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18"/>
                <w:szCs w:val="18"/>
              </w:rPr>
              <w:t xml:space="preserve">Target Co CFO (Retained)</w:t>
            </w:r>
          </w:p>
        </w:tc>
        <w:tc>
          <w:tcPr>
            <w:tcW w:type="dxa" w:w="3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18"/>
                <w:szCs w:val="18"/>
              </w:rPr>
              <w:t xml:space="preserve">Target-side coordination and business continuity</w:t>
            </w:r>
          </w:p>
        </w:tc>
      </w:tr>
      <w:tr>
        <w:tc>
          <w:tcPr>
            <w:tcW w:type="dxa" w:w="2200"/>
            <w:tcBorders>
              <w:top w:val="single" w:color="CCCCCC" w:sz="1"/>
              <w:left w:val="single" w:color="CCCCCC" w:sz="1"/>
              <w:bottom w:val="single" w:color="CCCCCC" w:sz="1"/>
              <w:right w:val="single" w:color="CCCCCC" w:sz="1"/>
            </w:tcBorders>
            <w:shd w:fill="EDF2F7" w:val="clear"/>
            <w:tcMar>
              <w:top w:type="dxa" w:w="60"/>
              <w:left w:type="dxa" w:w="100"/>
              <w:bottom w:type="dxa" w:w="60"/>
              <w:right w:type="dxa" w:w="100"/>
            </w:tcMar>
          </w:tcPr>
          <w:p>
            <w:r>
              <w:rPr>
                <w:rFonts w:ascii="Arial" w:cs="Arial" w:eastAsia="Arial" w:hAnsi="Arial"/>
                <w:b w:val="false"/>
                <w:bCs w:val="false"/>
                <w:color w:val="333333"/>
                <w:sz w:val="18"/>
                <w:szCs w:val="18"/>
              </w:rPr>
              <w:t xml:space="preserve">James Thornton</w:t>
            </w:r>
          </w:p>
        </w:tc>
        <w:tc>
          <w:tcPr>
            <w:tcW w:type="dxa" w:w="2800"/>
            <w:tcBorders>
              <w:top w:val="single" w:color="CCCCCC" w:sz="1"/>
              <w:left w:val="single" w:color="CCCCCC" w:sz="1"/>
              <w:bottom w:val="single" w:color="CCCCCC" w:sz="1"/>
              <w:right w:val="single" w:color="CCCCCC" w:sz="1"/>
            </w:tcBorders>
            <w:shd w:fill="EDF2F7" w:val="clear"/>
            <w:tcMar>
              <w:top w:type="dxa" w:w="60"/>
              <w:left w:type="dxa" w:w="100"/>
              <w:bottom w:type="dxa" w:w="60"/>
              <w:right w:type="dxa" w:w="100"/>
            </w:tcMar>
          </w:tcPr>
          <w:p>
            <w:r>
              <w:rPr>
                <w:rFonts w:ascii="Arial" w:cs="Arial" w:eastAsia="Arial" w:hAnsi="Arial"/>
                <w:b w:val="false"/>
                <w:bCs w:val="false"/>
                <w:color w:val="333333"/>
                <w:sz w:val="18"/>
                <w:szCs w:val="18"/>
              </w:rPr>
              <w:t xml:space="preserve">Integration Program Manager</w:t>
            </w:r>
          </w:p>
        </w:tc>
        <w:tc>
          <w:tcPr>
            <w:tcW w:type="dxa" w:w="3500"/>
            <w:tcBorders>
              <w:top w:val="single" w:color="CCCCCC" w:sz="1"/>
              <w:left w:val="single" w:color="CCCCCC" w:sz="1"/>
              <w:bottom w:val="single" w:color="CCCCCC" w:sz="1"/>
              <w:right w:val="single" w:color="CCCCCC" w:sz="1"/>
            </w:tcBorders>
            <w:shd w:fill="EDF2F7" w:val="clear"/>
            <w:tcMar>
              <w:top w:type="dxa" w:w="60"/>
              <w:left w:type="dxa" w:w="100"/>
              <w:bottom w:type="dxa" w:w="60"/>
              <w:right w:type="dxa" w:w="100"/>
            </w:tcMar>
          </w:tcPr>
          <w:p>
            <w:r>
              <w:rPr>
                <w:rFonts w:ascii="Arial" w:cs="Arial" w:eastAsia="Arial" w:hAnsi="Arial"/>
                <w:b w:val="false"/>
                <w:bCs w:val="false"/>
                <w:color w:val="333333"/>
                <w:sz w:val="18"/>
                <w:szCs w:val="18"/>
              </w:rPr>
              <w:t xml:space="preserve">Workstream coordination and reporting</w:t>
            </w:r>
          </w:p>
        </w:tc>
      </w:tr>
    </w:tbl>
    <w:p>
      <w:r>
        <w:rPr>
          <w:rFonts w:ascii="Arial" w:cs="Arial" w:eastAsia="Arial" w:hAnsi="Arial"/>
          <w:color w:val="333333"/>
          <w:sz w:val="22"/>
          <w:szCs w:val="22"/>
        </w:rPr>
        <w:t xml:space="preserve"/>
      </w:r>
    </w:p>
    <w:p>
      <w:pPr>
        <w:pStyle w:val="Heading1"/>
      </w:pPr>
      <w:r>
        <w:rPr>
          <w:rFonts w:ascii="Arial" w:cs="Arial" w:eastAsia="Arial" w:hAnsi="Arial"/>
          <w:color w:val="333333"/>
          <w:sz w:val="22"/>
          <w:szCs w:val="22"/>
        </w:rPr>
        <w:t xml:space="preserve">2. INTEGRATION WORKSTREAMS</w:t>
      </w:r>
    </w:p>
    <w:tbl>
      <w:tblPr>
        <w:tblW w:type="dxa" w:w="8000"/>
        <w:tblBorders>
          <w:top w:val="single" w:color="auto" w:sz="4"/>
          <w:left w:val="single" w:color="auto" w:sz="4"/>
          <w:bottom w:val="single" w:color="auto" w:sz="4"/>
          <w:right w:val="single" w:color="auto" w:sz="4"/>
          <w:insideH w:val="single" w:color="auto" w:sz="4"/>
          <w:insideV w:val="single" w:color="auto" w:sz="4"/>
        </w:tblBorders>
      </w:tblPr>
      <w:tblGrid>
        <w:gridCol w:w="400"/>
        <w:gridCol w:w="1800"/>
        <w:gridCol w:w="2200"/>
        <w:gridCol w:w="2600"/>
        <w:gridCol w:w="1000"/>
      </w:tblGrid>
      <w:tr>
        <w:tc>
          <w:tcPr>
            <w:tcW w:type="dxa" w:w="400"/>
            <w:tcBorders>
              <w:top w:val="single" w:color="CCCCCC" w:sz="1"/>
              <w:left w:val="single" w:color="CCCCCC" w:sz="1"/>
              <w:bottom w:val="single" w:color="CCCCCC" w:sz="1"/>
              <w:right w:val="single" w:color="CCCCCC" w:sz="1"/>
            </w:tcBorders>
            <w:shd w:fill="1B3A5C" w:val="clear"/>
            <w:tcMar>
              <w:top w:type="dxa" w:w="60"/>
              <w:left w:type="dxa" w:w="100"/>
              <w:bottom w:type="dxa" w:w="60"/>
              <w:right w:type="dxa" w:w="100"/>
            </w:tcMar>
          </w:tcPr>
          <w:p>
            <w:r>
              <w:rPr>
                <w:rFonts w:ascii="Arial" w:cs="Arial" w:eastAsia="Arial" w:hAnsi="Arial"/>
                <w:b/>
                <w:bCs/>
                <w:color w:val="FFFFFF"/>
                <w:sz w:val="18"/>
                <w:szCs w:val="18"/>
              </w:rPr>
              <w:t xml:space="preserve">#</w:t>
            </w:r>
          </w:p>
        </w:tc>
        <w:tc>
          <w:tcPr>
            <w:tcW w:type="dxa" w:w="1800"/>
            <w:tcBorders>
              <w:top w:val="single" w:color="CCCCCC" w:sz="1"/>
              <w:left w:val="single" w:color="CCCCCC" w:sz="1"/>
              <w:bottom w:val="single" w:color="CCCCCC" w:sz="1"/>
              <w:right w:val="single" w:color="CCCCCC" w:sz="1"/>
            </w:tcBorders>
            <w:shd w:fill="1B3A5C" w:val="clear"/>
            <w:tcMar>
              <w:top w:type="dxa" w:w="60"/>
              <w:left w:type="dxa" w:w="100"/>
              <w:bottom w:type="dxa" w:w="60"/>
              <w:right w:type="dxa" w:w="100"/>
            </w:tcMar>
          </w:tcPr>
          <w:p>
            <w:r>
              <w:rPr>
                <w:rFonts w:ascii="Arial" w:cs="Arial" w:eastAsia="Arial" w:hAnsi="Arial"/>
                <w:b/>
                <w:bCs/>
                <w:color w:val="FFFFFF"/>
                <w:sz w:val="18"/>
                <w:szCs w:val="18"/>
              </w:rPr>
              <w:t xml:space="preserve">Workstream</w:t>
            </w:r>
          </w:p>
        </w:tc>
        <w:tc>
          <w:tcPr>
            <w:tcW w:type="dxa" w:w="2200"/>
            <w:tcBorders>
              <w:top w:val="single" w:color="CCCCCC" w:sz="1"/>
              <w:left w:val="single" w:color="CCCCCC" w:sz="1"/>
              <w:bottom w:val="single" w:color="CCCCCC" w:sz="1"/>
              <w:right w:val="single" w:color="CCCCCC" w:sz="1"/>
            </w:tcBorders>
            <w:shd w:fill="1B3A5C" w:val="clear"/>
            <w:tcMar>
              <w:top w:type="dxa" w:w="60"/>
              <w:left w:type="dxa" w:w="100"/>
              <w:bottom w:type="dxa" w:w="60"/>
              <w:right w:type="dxa" w:w="100"/>
            </w:tcMar>
          </w:tcPr>
          <w:p>
            <w:r>
              <w:rPr>
                <w:rFonts w:ascii="Arial" w:cs="Arial" w:eastAsia="Arial" w:hAnsi="Arial"/>
                <w:b/>
                <w:bCs/>
                <w:color w:val="FFFFFF"/>
                <w:sz w:val="18"/>
                <w:szCs w:val="18"/>
              </w:rPr>
              <w:t xml:space="preserve">Lead</w:t>
            </w:r>
          </w:p>
        </w:tc>
        <w:tc>
          <w:tcPr>
            <w:tcW w:type="dxa" w:w="2600"/>
            <w:tcBorders>
              <w:top w:val="single" w:color="CCCCCC" w:sz="1"/>
              <w:left w:val="single" w:color="CCCCCC" w:sz="1"/>
              <w:bottom w:val="single" w:color="CCCCCC" w:sz="1"/>
              <w:right w:val="single" w:color="CCCCCC" w:sz="1"/>
            </w:tcBorders>
            <w:shd w:fill="1B3A5C" w:val="clear"/>
            <w:tcMar>
              <w:top w:type="dxa" w:w="60"/>
              <w:left w:type="dxa" w:w="100"/>
              <w:bottom w:type="dxa" w:w="60"/>
              <w:right w:type="dxa" w:w="100"/>
            </w:tcMar>
          </w:tcPr>
          <w:p>
            <w:r>
              <w:rPr>
                <w:rFonts w:ascii="Arial" w:cs="Arial" w:eastAsia="Arial" w:hAnsi="Arial"/>
                <w:b/>
                <w:bCs/>
                <w:color w:val="FFFFFF"/>
                <w:sz w:val="18"/>
                <w:szCs w:val="18"/>
              </w:rPr>
              <w:t xml:space="preserve">Key Deliverables</w:t>
            </w:r>
          </w:p>
        </w:tc>
        <w:tc>
          <w:tcPr>
            <w:tcW w:type="dxa" w:w="1000"/>
            <w:tcBorders>
              <w:top w:val="single" w:color="CCCCCC" w:sz="1"/>
              <w:left w:val="single" w:color="CCCCCC" w:sz="1"/>
              <w:bottom w:val="single" w:color="CCCCCC" w:sz="1"/>
              <w:right w:val="single" w:color="CCCCCC" w:sz="1"/>
            </w:tcBorders>
            <w:shd w:fill="1B3A5C" w:val="clear"/>
            <w:tcMar>
              <w:top w:type="dxa" w:w="60"/>
              <w:left w:type="dxa" w:w="100"/>
              <w:bottom w:type="dxa" w:w="60"/>
              <w:right w:type="dxa" w:w="100"/>
            </w:tcMar>
          </w:tcPr>
          <w:p>
            <w:r>
              <w:rPr>
                <w:rFonts w:ascii="Arial" w:cs="Arial" w:eastAsia="Arial" w:hAnsi="Arial"/>
                <w:b/>
                <w:bCs/>
                <w:color w:val="FFFFFF"/>
                <w:sz w:val="18"/>
                <w:szCs w:val="18"/>
              </w:rPr>
              <w:t xml:space="preserve">Priority</w:t>
            </w:r>
          </w:p>
        </w:tc>
      </w:tr>
      <w:tr>
        <w:tc>
          <w:tcPr>
            <w:tcW w:type="dxa" w:w="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18"/>
                <w:szCs w:val="18"/>
              </w:rPr>
              <w:t xml:space="preserve">1</w:t>
            </w:r>
          </w:p>
        </w:tc>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18"/>
                <w:szCs w:val="18"/>
              </w:rPr>
              <w:t xml:space="preserve">Finance &amp; Reporting</w:t>
            </w:r>
          </w:p>
        </w:tc>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18"/>
                <w:szCs w:val="18"/>
              </w:rPr>
              <w:t xml:space="preserve">Wesfarmers Group Finance</w:t>
            </w:r>
          </w:p>
        </w:tc>
        <w:tc>
          <w:tcPr>
            <w:tcW w:type="dxa" w:w="2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18"/>
                <w:szCs w:val="18"/>
              </w:rPr>
              <w:t xml:space="preserve">Chart of accounts alignment, reporting integration</w:t>
            </w:r>
          </w:p>
        </w:tc>
        <w:tc>
          <w:tcPr>
            <w:tcW w:type="dxa" w:w="1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18"/>
                <w:szCs w:val="18"/>
              </w:rPr>
              <w:t xml:space="preserve">Critical</w:t>
            </w:r>
          </w:p>
        </w:tc>
      </w:tr>
      <w:tr>
        <w:tc>
          <w:tcPr>
            <w:tcW w:type="dxa" w:w="400"/>
            <w:tcBorders>
              <w:top w:val="single" w:color="CCCCCC" w:sz="1"/>
              <w:left w:val="single" w:color="CCCCCC" w:sz="1"/>
              <w:bottom w:val="single" w:color="CCCCCC" w:sz="1"/>
              <w:right w:val="single" w:color="CCCCCC" w:sz="1"/>
            </w:tcBorders>
            <w:shd w:fill="EDF2F7" w:val="clear"/>
            <w:tcMar>
              <w:top w:type="dxa" w:w="60"/>
              <w:left w:type="dxa" w:w="100"/>
              <w:bottom w:type="dxa" w:w="60"/>
              <w:right w:type="dxa" w:w="100"/>
            </w:tcMar>
          </w:tcPr>
          <w:p>
            <w:r>
              <w:rPr>
                <w:rFonts w:ascii="Arial" w:cs="Arial" w:eastAsia="Arial" w:hAnsi="Arial"/>
                <w:b w:val="false"/>
                <w:bCs w:val="false"/>
                <w:color w:val="333333"/>
                <w:sz w:val="18"/>
                <w:szCs w:val="18"/>
              </w:rPr>
              <w:t xml:space="preserve">2</w:t>
            </w:r>
          </w:p>
        </w:tc>
        <w:tc>
          <w:tcPr>
            <w:tcW w:type="dxa" w:w="1800"/>
            <w:tcBorders>
              <w:top w:val="single" w:color="CCCCCC" w:sz="1"/>
              <w:left w:val="single" w:color="CCCCCC" w:sz="1"/>
              <w:bottom w:val="single" w:color="CCCCCC" w:sz="1"/>
              <w:right w:val="single" w:color="CCCCCC" w:sz="1"/>
            </w:tcBorders>
            <w:shd w:fill="EDF2F7" w:val="clear"/>
            <w:tcMar>
              <w:top w:type="dxa" w:w="60"/>
              <w:left w:type="dxa" w:w="100"/>
              <w:bottom w:type="dxa" w:w="60"/>
              <w:right w:type="dxa" w:w="100"/>
            </w:tcMar>
          </w:tcPr>
          <w:p>
            <w:r>
              <w:rPr>
                <w:rFonts w:ascii="Arial" w:cs="Arial" w:eastAsia="Arial" w:hAnsi="Arial"/>
                <w:b w:val="false"/>
                <w:bCs w:val="false"/>
                <w:color w:val="333333"/>
                <w:sz w:val="18"/>
                <w:szCs w:val="18"/>
              </w:rPr>
              <w:t xml:space="preserve">IT &amp; Systems</w:t>
            </w:r>
          </w:p>
        </w:tc>
        <w:tc>
          <w:tcPr>
            <w:tcW w:type="dxa" w:w="2200"/>
            <w:tcBorders>
              <w:top w:val="single" w:color="CCCCCC" w:sz="1"/>
              <w:left w:val="single" w:color="CCCCCC" w:sz="1"/>
              <w:bottom w:val="single" w:color="CCCCCC" w:sz="1"/>
              <w:right w:val="single" w:color="CCCCCC" w:sz="1"/>
            </w:tcBorders>
            <w:shd w:fill="EDF2F7" w:val="clear"/>
            <w:tcMar>
              <w:top w:type="dxa" w:w="60"/>
              <w:left w:type="dxa" w:w="100"/>
              <w:bottom w:type="dxa" w:w="60"/>
              <w:right w:type="dxa" w:w="100"/>
            </w:tcMar>
          </w:tcPr>
          <w:p>
            <w:r>
              <w:rPr>
                <w:rFonts w:ascii="Arial" w:cs="Arial" w:eastAsia="Arial" w:hAnsi="Arial"/>
                <w:b w:val="false"/>
                <w:bCs w:val="false"/>
                <w:color w:val="333333"/>
                <w:sz w:val="18"/>
                <w:szCs w:val="18"/>
              </w:rPr>
              <w:t xml:space="preserve">Wesfarmers Digital</w:t>
            </w:r>
          </w:p>
        </w:tc>
        <w:tc>
          <w:tcPr>
            <w:tcW w:type="dxa" w:w="2600"/>
            <w:tcBorders>
              <w:top w:val="single" w:color="CCCCCC" w:sz="1"/>
              <w:left w:val="single" w:color="CCCCCC" w:sz="1"/>
              <w:bottom w:val="single" w:color="CCCCCC" w:sz="1"/>
              <w:right w:val="single" w:color="CCCCCC" w:sz="1"/>
            </w:tcBorders>
            <w:shd w:fill="EDF2F7" w:val="clear"/>
            <w:tcMar>
              <w:top w:type="dxa" w:w="60"/>
              <w:left w:type="dxa" w:w="100"/>
              <w:bottom w:type="dxa" w:w="60"/>
              <w:right w:type="dxa" w:w="100"/>
            </w:tcMar>
          </w:tcPr>
          <w:p>
            <w:r>
              <w:rPr>
                <w:rFonts w:ascii="Arial" w:cs="Arial" w:eastAsia="Arial" w:hAnsi="Arial"/>
                <w:b w:val="false"/>
                <w:bCs w:val="false"/>
                <w:color w:val="333333"/>
                <w:sz w:val="18"/>
                <w:szCs w:val="18"/>
              </w:rPr>
              <w:t xml:space="preserve">TSA setup, SAP migration, POS roadmap</w:t>
            </w:r>
          </w:p>
        </w:tc>
        <w:tc>
          <w:tcPr>
            <w:tcW w:type="dxa" w:w="1000"/>
            <w:tcBorders>
              <w:top w:val="single" w:color="CCCCCC" w:sz="1"/>
              <w:left w:val="single" w:color="CCCCCC" w:sz="1"/>
              <w:bottom w:val="single" w:color="CCCCCC" w:sz="1"/>
              <w:right w:val="single" w:color="CCCCCC" w:sz="1"/>
            </w:tcBorders>
            <w:shd w:fill="EDF2F7" w:val="clear"/>
            <w:tcMar>
              <w:top w:type="dxa" w:w="60"/>
              <w:left w:type="dxa" w:w="100"/>
              <w:bottom w:type="dxa" w:w="60"/>
              <w:right w:type="dxa" w:w="100"/>
            </w:tcMar>
          </w:tcPr>
          <w:p>
            <w:r>
              <w:rPr>
                <w:rFonts w:ascii="Arial" w:cs="Arial" w:eastAsia="Arial" w:hAnsi="Arial"/>
                <w:b w:val="false"/>
                <w:bCs w:val="false"/>
                <w:color w:val="333333"/>
                <w:sz w:val="18"/>
                <w:szCs w:val="18"/>
              </w:rPr>
              <w:t xml:space="preserve">Critical</w:t>
            </w:r>
          </w:p>
        </w:tc>
      </w:tr>
      <w:tr>
        <w:tc>
          <w:tcPr>
            <w:tcW w:type="dxa" w:w="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18"/>
                <w:szCs w:val="18"/>
              </w:rPr>
              <w:t xml:space="preserve">3</w:t>
            </w:r>
          </w:p>
        </w:tc>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18"/>
                <w:szCs w:val="18"/>
              </w:rPr>
              <w:t xml:space="preserve">Procurement &amp; Supply Chain</w:t>
            </w:r>
          </w:p>
        </w:tc>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18"/>
                <w:szCs w:val="18"/>
              </w:rPr>
              <w:t xml:space="preserve">Bunnings Supply Chain</w:t>
            </w:r>
          </w:p>
        </w:tc>
        <w:tc>
          <w:tcPr>
            <w:tcW w:type="dxa" w:w="2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18"/>
                <w:szCs w:val="18"/>
              </w:rPr>
              <w:t xml:space="preserve">Freight consolidation, supplier rationalisation</w:t>
            </w:r>
          </w:p>
        </w:tc>
        <w:tc>
          <w:tcPr>
            <w:tcW w:type="dxa" w:w="1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18"/>
                <w:szCs w:val="18"/>
              </w:rPr>
              <w:t xml:space="preserve">High</w:t>
            </w:r>
          </w:p>
        </w:tc>
      </w:tr>
      <w:tr>
        <w:tc>
          <w:tcPr>
            <w:tcW w:type="dxa" w:w="400"/>
            <w:tcBorders>
              <w:top w:val="single" w:color="CCCCCC" w:sz="1"/>
              <w:left w:val="single" w:color="CCCCCC" w:sz="1"/>
              <w:bottom w:val="single" w:color="CCCCCC" w:sz="1"/>
              <w:right w:val="single" w:color="CCCCCC" w:sz="1"/>
            </w:tcBorders>
            <w:shd w:fill="EDF2F7" w:val="clear"/>
            <w:tcMar>
              <w:top w:type="dxa" w:w="60"/>
              <w:left w:type="dxa" w:w="100"/>
              <w:bottom w:type="dxa" w:w="60"/>
              <w:right w:type="dxa" w:w="100"/>
            </w:tcMar>
          </w:tcPr>
          <w:p>
            <w:r>
              <w:rPr>
                <w:rFonts w:ascii="Arial" w:cs="Arial" w:eastAsia="Arial" w:hAnsi="Arial"/>
                <w:b w:val="false"/>
                <w:bCs w:val="false"/>
                <w:color w:val="333333"/>
                <w:sz w:val="18"/>
                <w:szCs w:val="18"/>
              </w:rPr>
              <w:t xml:space="preserve">4</w:t>
            </w:r>
          </w:p>
        </w:tc>
        <w:tc>
          <w:tcPr>
            <w:tcW w:type="dxa" w:w="1800"/>
            <w:tcBorders>
              <w:top w:val="single" w:color="CCCCCC" w:sz="1"/>
              <w:left w:val="single" w:color="CCCCCC" w:sz="1"/>
              <w:bottom w:val="single" w:color="CCCCCC" w:sz="1"/>
              <w:right w:val="single" w:color="CCCCCC" w:sz="1"/>
            </w:tcBorders>
            <w:shd w:fill="EDF2F7" w:val="clear"/>
            <w:tcMar>
              <w:top w:type="dxa" w:w="60"/>
              <w:left w:type="dxa" w:w="100"/>
              <w:bottom w:type="dxa" w:w="60"/>
              <w:right w:type="dxa" w:w="100"/>
            </w:tcMar>
          </w:tcPr>
          <w:p>
            <w:r>
              <w:rPr>
                <w:rFonts w:ascii="Arial" w:cs="Arial" w:eastAsia="Arial" w:hAnsi="Arial"/>
                <w:b w:val="false"/>
                <w:bCs w:val="false"/>
                <w:color w:val="333333"/>
                <w:sz w:val="18"/>
                <w:szCs w:val="18"/>
              </w:rPr>
              <w:t xml:space="preserve">People &amp; Culture</w:t>
            </w:r>
          </w:p>
        </w:tc>
        <w:tc>
          <w:tcPr>
            <w:tcW w:type="dxa" w:w="2200"/>
            <w:tcBorders>
              <w:top w:val="single" w:color="CCCCCC" w:sz="1"/>
              <w:left w:val="single" w:color="CCCCCC" w:sz="1"/>
              <w:bottom w:val="single" w:color="CCCCCC" w:sz="1"/>
              <w:right w:val="single" w:color="CCCCCC" w:sz="1"/>
            </w:tcBorders>
            <w:shd w:fill="EDF2F7" w:val="clear"/>
            <w:tcMar>
              <w:top w:type="dxa" w:w="60"/>
              <w:left w:type="dxa" w:w="100"/>
              <w:bottom w:type="dxa" w:w="60"/>
              <w:right w:type="dxa" w:w="100"/>
            </w:tcMar>
          </w:tcPr>
          <w:p>
            <w:r>
              <w:rPr>
                <w:rFonts w:ascii="Arial" w:cs="Arial" w:eastAsia="Arial" w:hAnsi="Arial"/>
                <w:b w:val="false"/>
                <w:bCs w:val="false"/>
                <w:color w:val="333333"/>
                <w:sz w:val="18"/>
                <w:szCs w:val="18"/>
              </w:rPr>
              <w:t xml:space="preserve">Wesfarmers People &amp; Culture</w:t>
            </w:r>
          </w:p>
        </w:tc>
        <w:tc>
          <w:tcPr>
            <w:tcW w:type="dxa" w:w="2600"/>
            <w:tcBorders>
              <w:top w:val="single" w:color="CCCCCC" w:sz="1"/>
              <w:left w:val="single" w:color="CCCCCC" w:sz="1"/>
              <w:bottom w:val="single" w:color="CCCCCC" w:sz="1"/>
              <w:right w:val="single" w:color="CCCCCC" w:sz="1"/>
            </w:tcBorders>
            <w:shd w:fill="EDF2F7" w:val="clear"/>
            <w:tcMar>
              <w:top w:type="dxa" w:w="60"/>
              <w:left w:type="dxa" w:w="100"/>
              <w:bottom w:type="dxa" w:w="60"/>
              <w:right w:type="dxa" w:w="100"/>
            </w:tcMar>
          </w:tcPr>
          <w:p>
            <w:r>
              <w:rPr>
                <w:rFonts w:ascii="Arial" w:cs="Arial" w:eastAsia="Arial" w:hAnsi="Arial"/>
                <w:b w:val="false"/>
                <w:bCs w:val="false"/>
                <w:color w:val="333333"/>
                <w:sz w:val="18"/>
                <w:szCs w:val="18"/>
              </w:rPr>
              <w:t xml:space="preserve">Retention execution, org design, cultural alignment</w:t>
            </w:r>
          </w:p>
        </w:tc>
        <w:tc>
          <w:tcPr>
            <w:tcW w:type="dxa" w:w="1000"/>
            <w:tcBorders>
              <w:top w:val="single" w:color="CCCCCC" w:sz="1"/>
              <w:left w:val="single" w:color="CCCCCC" w:sz="1"/>
              <w:bottom w:val="single" w:color="CCCCCC" w:sz="1"/>
              <w:right w:val="single" w:color="CCCCCC" w:sz="1"/>
            </w:tcBorders>
            <w:shd w:fill="EDF2F7" w:val="clear"/>
            <w:tcMar>
              <w:top w:type="dxa" w:w="60"/>
              <w:left w:type="dxa" w:w="100"/>
              <w:bottom w:type="dxa" w:w="60"/>
              <w:right w:type="dxa" w:w="100"/>
            </w:tcMar>
          </w:tcPr>
          <w:p>
            <w:r>
              <w:rPr>
                <w:rFonts w:ascii="Arial" w:cs="Arial" w:eastAsia="Arial" w:hAnsi="Arial"/>
                <w:b w:val="false"/>
                <w:bCs w:val="false"/>
                <w:color w:val="333333"/>
                <w:sz w:val="18"/>
                <w:szCs w:val="18"/>
              </w:rPr>
              <w:t xml:space="preserve">Critical</w:t>
            </w:r>
          </w:p>
        </w:tc>
      </w:tr>
      <w:tr>
        <w:tc>
          <w:tcPr>
            <w:tcW w:type="dxa" w:w="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18"/>
                <w:szCs w:val="18"/>
              </w:rPr>
              <w:t xml:space="preserve">5</w:t>
            </w:r>
          </w:p>
        </w:tc>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18"/>
                <w:szCs w:val="18"/>
              </w:rPr>
              <w:t xml:space="preserve">Legal &amp; Compliance</w:t>
            </w:r>
          </w:p>
        </w:tc>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18"/>
                <w:szCs w:val="18"/>
              </w:rPr>
              <w:t xml:space="preserve">Wesfarmers Legal</w:t>
            </w:r>
          </w:p>
        </w:tc>
        <w:tc>
          <w:tcPr>
            <w:tcW w:type="dxa" w:w="2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18"/>
                <w:szCs w:val="18"/>
              </w:rPr>
              <w:t xml:space="preserve">Governance framework, policy rollout</w:t>
            </w:r>
          </w:p>
        </w:tc>
        <w:tc>
          <w:tcPr>
            <w:tcW w:type="dxa" w:w="1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18"/>
                <w:szCs w:val="18"/>
              </w:rPr>
              <w:t xml:space="preserve">High</w:t>
            </w:r>
          </w:p>
        </w:tc>
      </w:tr>
      <w:tr>
        <w:tc>
          <w:tcPr>
            <w:tcW w:type="dxa" w:w="400"/>
            <w:tcBorders>
              <w:top w:val="single" w:color="CCCCCC" w:sz="1"/>
              <w:left w:val="single" w:color="CCCCCC" w:sz="1"/>
              <w:bottom w:val="single" w:color="CCCCCC" w:sz="1"/>
              <w:right w:val="single" w:color="CCCCCC" w:sz="1"/>
            </w:tcBorders>
            <w:shd w:fill="EDF2F7" w:val="clear"/>
            <w:tcMar>
              <w:top w:type="dxa" w:w="60"/>
              <w:left w:type="dxa" w:w="100"/>
              <w:bottom w:type="dxa" w:w="60"/>
              <w:right w:type="dxa" w:w="100"/>
            </w:tcMar>
          </w:tcPr>
          <w:p>
            <w:r>
              <w:rPr>
                <w:rFonts w:ascii="Arial" w:cs="Arial" w:eastAsia="Arial" w:hAnsi="Arial"/>
                <w:b w:val="false"/>
                <w:bCs w:val="false"/>
                <w:color w:val="333333"/>
                <w:sz w:val="18"/>
                <w:szCs w:val="18"/>
              </w:rPr>
              <w:t xml:space="preserve">6</w:t>
            </w:r>
          </w:p>
        </w:tc>
        <w:tc>
          <w:tcPr>
            <w:tcW w:type="dxa" w:w="1800"/>
            <w:tcBorders>
              <w:top w:val="single" w:color="CCCCCC" w:sz="1"/>
              <w:left w:val="single" w:color="CCCCCC" w:sz="1"/>
              <w:bottom w:val="single" w:color="CCCCCC" w:sz="1"/>
              <w:right w:val="single" w:color="CCCCCC" w:sz="1"/>
            </w:tcBorders>
            <w:shd w:fill="EDF2F7" w:val="clear"/>
            <w:tcMar>
              <w:top w:type="dxa" w:w="60"/>
              <w:left w:type="dxa" w:w="100"/>
              <w:bottom w:type="dxa" w:w="60"/>
              <w:right w:type="dxa" w:w="100"/>
            </w:tcMar>
          </w:tcPr>
          <w:p>
            <w:r>
              <w:rPr>
                <w:rFonts w:ascii="Arial" w:cs="Arial" w:eastAsia="Arial" w:hAnsi="Arial"/>
                <w:b w:val="false"/>
                <w:bCs w:val="false"/>
                <w:color w:val="333333"/>
                <w:sz w:val="18"/>
                <w:szCs w:val="18"/>
              </w:rPr>
              <w:t xml:space="preserve">Property &amp; Leases</w:t>
            </w:r>
          </w:p>
        </w:tc>
        <w:tc>
          <w:tcPr>
            <w:tcW w:type="dxa" w:w="2200"/>
            <w:tcBorders>
              <w:top w:val="single" w:color="CCCCCC" w:sz="1"/>
              <w:left w:val="single" w:color="CCCCCC" w:sz="1"/>
              <w:bottom w:val="single" w:color="CCCCCC" w:sz="1"/>
              <w:right w:val="single" w:color="CCCCCC" w:sz="1"/>
            </w:tcBorders>
            <w:shd w:fill="EDF2F7" w:val="clear"/>
            <w:tcMar>
              <w:top w:type="dxa" w:w="60"/>
              <w:left w:type="dxa" w:w="100"/>
              <w:bottom w:type="dxa" w:w="60"/>
              <w:right w:type="dxa" w:w="100"/>
            </w:tcMar>
          </w:tcPr>
          <w:p>
            <w:r>
              <w:rPr>
                <w:rFonts w:ascii="Arial" w:cs="Arial" w:eastAsia="Arial" w:hAnsi="Arial"/>
                <w:b w:val="false"/>
                <w:bCs w:val="false"/>
                <w:color w:val="333333"/>
                <w:sz w:val="18"/>
                <w:szCs w:val="18"/>
              </w:rPr>
              <w:t xml:space="preserve">Cushman &amp; Wakefield</w:t>
            </w:r>
          </w:p>
        </w:tc>
        <w:tc>
          <w:tcPr>
            <w:tcW w:type="dxa" w:w="2600"/>
            <w:tcBorders>
              <w:top w:val="single" w:color="CCCCCC" w:sz="1"/>
              <w:left w:val="single" w:color="CCCCCC" w:sz="1"/>
              <w:bottom w:val="single" w:color="CCCCCC" w:sz="1"/>
              <w:right w:val="single" w:color="CCCCCC" w:sz="1"/>
            </w:tcBorders>
            <w:shd w:fill="EDF2F7" w:val="clear"/>
            <w:tcMar>
              <w:top w:type="dxa" w:w="60"/>
              <w:left w:type="dxa" w:w="100"/>
              <w:bottom w:type="dxa" w:w="60"/>
              <w:right w:type="dxa" w:w="100"/>
            </w:tcMar>
          </w:tcPr>
          <w:p>
            <w:r>
              <w:rPr>
                <w:rFonts w:ascii="Arial" w:cs="Arial" w:eastAsia="Arial" w:hAnsi="Arial"/>
                <w:b w:val="false"/>
                <w:bCs w:val="false"/>
                <w:color w:val="333333"/>
                <w:sz w:val="18"/>
                <w:szCs w:val="18"/>
              </w:rPr>
              <w:t xml:space="preserve">Lease renewal strategy, DC optimisation</w:t>
            </w:r>
          </w:p>
        </w:tc>
        <w:tc>
          <w:tcPr>
            <w:tcW w:type="dxa" w:w="1000"/>
            <w:tcBorders>
              <w:top w:val="single" w:color="CCCCCC" w:sz="1"/>
              <w:left w:val="single" w:color="CCCCCC" w:sz="1"/>
              <w:bottom w:val="single" w:color="CCCCCC" w:sz="1"/>
              <w:right w:val="single" w:color="CCCCCC" w:sz="1"/>
            </w:tcBorders>
            <w:shd w:fill="EDF2F7" w:val="clear"/>
            <w:tcMar>
              <w:top w:type="dxa" w:w="60"/>
              <w:left w:type="dxa" w:w="100"/>
              <w:bottom w:type="dxa" w:w="60"/>
              <w:right w:type="dxa" w:w="100"/>
            </w:tcMar>
          </w:tcPr>
          <w:p>
            <w:r>
              <w:rPr>
                <w:rFonts w:ascii="Arial" w:cs="Arial" w:eastAsia="Arial" w:hAnsi="Arial"/>
                <w:b w:val="false"/>
                <w:bCs w:val="false"/>
                <w:color w:val="333333"/>
                <w:sz w:val="18"/>
                <w:szCs w:val="18"/>
              </w:rPr>
              <w:t xml:space="preserve">Medium</w:t>
            </w:r>
          </w:p>
        </w:tc>
      </w:tr>
      <w:tr>
        <w:tc>
          <w:tcPr>
            <w:tcW w:type="dxa" w:w="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18"/>
                <w:szCs w:val="18"/>
              </w:rPr>
              <w:t xml:space="preserve">7</w:t>
            </w:r>
          </w:p>
        </w:tc>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18"/>
                <w:szCs w:val="18"/>
              </w:rPr>
              <w:t xml:space="preserve">Brand &amp; Marketing</w:t>
            </w:r>
          </w:p>
        </w:tc>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18"/>
                <w:szCs w:val="18"/>
              </w:rPr>
              <w:t xml:space="preserve">HomeStyle Marketing</w:t>
            </w:r>
          </w:p>
        </w:tc>
        <w:tc>
          <w:tcPr>
            <w:tcW w:type="dxa" w:w="2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18"/>
                <w:szCs w:val="18"/>
              </w:rPr>
              <w:t xml:space="preserve">Brand strategy, loyalty integration</w:t>
            </w:r>
          </w:p>
        </w:tc>
        <w:tc>
          <w:tcPr>
            <w:tcW w:type="dxa" w:w="1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18"/>
                <w:szCs w:val="18"/>
              </w:rPr>
              <w:t xml:space="preserve">Medium</w:t>
            </w:r>
          </w:p>
        </w:tc>
      </w:tr>
      <w:tr>
        <w:tc>
          <w:tcPr>
            <w:tcW w:type="dxa" w:w="400"/>
            <w:tcBorders>
              <w:top w:val="single" w:color="CCCCCC" w:sz="1"/>
              <w:left w:val="single" w:color="CCCCCC" w:sz="1"/>
              <w:bottom w:val="single" w:color="CCCCCC" w:sz="1"/>
              <w:right w:val="single" w:color="CCCCCC" w:sz="1"/>
            </w:tcBorders>
            <w:shd w:fill="EDF2F7" w:val="clear"/>
            <w:tcMar>
              <w:top w:type="dxa" w:w="60"/>
              <w:left w:type="dxa" w:w="100"/>
              <w:bottom w:type="dxa" w:w="60"/>
              <w:right w:type="dxa" w:w="100"/>
            </w:tcMar>
          </w:tcPr>
          <w:p>
            <w:r>
              <w:rPr>
                <w:rFonts w:ascii="Arial" w:cs="Arial" w:eastAsia="Arial" w:hAnsi="Arial"/>
                <w:b w:val="false"/>
                <w:bCs w:val="false"/>
                <w:color w:val="333333"/>
                <w:sz w:val="18"/>
                <w:szCs w:val="18"/>
              </w:rPr>
              <w:t xml:space="preserve">8</w:t>
            </w:r>
          </w:p>
        </w:tc>
        <w:tc>
          <w:tcPr>
            <w:tcW w:type="dxa" w:w="1800"/>
            <w:tcBorders>
              <w:top w:val="single" w:color="CCCCCC" w:sz="1"/>
              <w:left w:val="single" w:color="CCCCCC" w:sz="1"/>
              <w:bottom w:val="single" w:color="CCCCCC" w:sz="1"/>
              <w:right w:val="single" w:color="CCCCCC" w:sz="1"/>
            </w:tcBorders>
            <w:shd w:fill="EDF2F7" w:val="clear"/>
            <w:tcMar>
              <w:top w:type="dxa" w:w="60"/>
              <w:left w:type="dxa" w:w="100"/>
              <w:bottom w:type="dxa" w:w="60"/>
              <w:right w:type="dxa" w:w="100"/>
            </w:tcMar>
          </w:tcPr>
          <w:p>
            <w:r>
              <w:rPr>
                <w:rFonts w:ascii="Arial" w:cs="Arial" w:eastAsia="Arial" w:hAnsi="Arial"/>
                <w:b w:val="false"/>
                <w:bCs w:val="false"/>
                <w:color w:val="333333"/>
                <w:sz w:val="18"/>
                <w:szCs w:val="18"/>
              </w:rPr>
              <w:t xml:space="preserve">ESG &amp; Sustainability</w:t>
            </w:r>
          </w:p>
        </w:tc>
        <w:tc>
          <w:tcPr>
            <w:tcW w:type="dxa" w:w="2200"/>
            <w:tcBorders>
              <w:top w:val="single" w:color="CCCCCC" w:sz="1"/>
              <w:left w:val="single" w:color="CCCCCC" w:sz="1"/>
              <w:bottom w:val="single" w:color="CCCCCC" w:sz="1"/>
              <w:right w:val="single" w:color="CCCCCC" w:sz="1"/>
            </w:tcBorders>
            <w:shd w:fill="EDF2F7" w:val="clear"/>
            <w:tcMar>
              <w:top w:type="dxa" w:w="60"/>
              <w:left w:type="dxa" w:w="100"/>
              <w:bottom w:type="dxa" w:w="60"/>
              <w:right w:type="dxa" w:w="100"/>
            </w:tcMar>
          </w:tcPr>
          <w:p>
            <w:r>
              <w:rPr>
                <w:rFonts w:ascii="Arial" w:cs="Arial" w:eastAsia="Arial" w:hAnsi="Arial"/>
                <w:b w:val="false"/>
                <w:bCs w:val="false"/>
                <w:color w:val="333333"/>
                <w:sz w:val="18"/>
                <w:szCs w:val="18"/>
              </w:rPr>
              <w:t xml:space="preserve">Wesfarmers Sustainability</w:t>
            </w:r>
          </w:p>
        </w:tc>
        <w:tc>
          <w:tcPr>
            <w:tcW w:type="dxa" w:w="2600"/>
            <w:tcBorders>
              <w:top w:val="single" w:color="CCCCCC" w:sz="1"/>
              <w:left w:val="single" w:color="CCCCCC" w:sz="1"/>
              <w:bottom w:val="single" w:color="CCCCCC" w:sz="1"/>
              <w:right w:val="single" w:color="CCCCCC" w:sz="1"/>
            </w:tcBorders>
            <w:shd w:fill="EDF2F7" w:val="clear"/>
            <w:tcMar>
              <w:top w:type="dxa" w:w="60"/>
              <w:left w:type="dxa" w:w="100"/>
              <w:bottom w:type="dxa" w:w="60"/>
              <w:right w:type="dxa" w:w="100"/>
            </w:tcMar>
          </w:tcPr>
          <w:p>
            <w:r>
              <w:rPr>
                <w:rFonts w:ascii="Arial" w:cs="Arial" w:eastAsia="Arial" w:hAnsi="Arial"/>
                <w:b w:val="false"/>
                <w:bCs w:val="false"/>
                <w:color w:val="333333"/>
                <w:sz w:val="18"/>
                <w:szCs w:val="18"/>
              </w:rPr>
              <w:t xml:space="preserve">Modern slavery uplift, TCFD reporting</w:t>
            </w:r>
          </w:p>
        </w:tc>
        <w:tc>
          <w:tcPr>
            <w:tcW w:type="dxa" w:w="1000"/>
            <w:tcBorders>
              <w:top w:val="single" w:color="CCCCCC" w:sz="1"/>
              <w:left w:val="single" w:color="CCCCCC" w:sz="1"/>
              <w:bottom w:val="single" w:color="CCCCCC" w:sz="1"/>
              <w:right w:val="single" w:color="CCCCCC" w:sz="1"/>
            </w:tcBorders>
            <w:shd w:fill="EDF2F7" w:val="clear"/>
            <w:tcMar>
              <w:top w:type="dxa" w:w="60"/>
              <w:left w:type="dxa" w:w="100"/>
              <w:bottom w:type="dxa" w:w="60"/>
              <w:right w:type="dxa" w:w="100"/>
            </w:tcMar>
          </w:tcPr>
          <w:p>
            <w:r>
              <w:rPr>
                <w:rFonts w:ascii="Arial" w:cs="Arial" w:eastAsia="Arial" w:hAnsi="Arial"/>
                <w:b w:val="false"/>
                <w:bCs w:val="false"/>
                <w:color w:val="333333"/>
                <w:sz w:val="18"/>
                <w:szCs w:val="18"/>
              </w:rPr>
              <w:t xml:space="preserve">Medium</w:t>
            </w:r>
          </w:p>
        </w:tc>
      </w:tr>
    </w:tbl>
    <w:p>
      <w:r>
        <w:rPr>
          <w:rFonts w:ascii="Arial" w:cs="Arial" w:eastAsia="Arial" w:hAnsi="Arial"/>
          <w:color w:val="333333"/>
          <w:sz w:val="22"/>
          <w:szCs w:val="22"/>
        </w:rPr>
        <w:t xml:space="preserve"/>
      </w:r>
    </w:p>
    <w:p>
      <w:pPr>
        <w:pStyle w:val="Heading1"/>
      </w:pPr>
      <w:r>
        <w:rPr>
          <w:rFonts w:ascii="Arial" w:cs="Arial" w:eastAsia="Arial" w:hAnsi="Arial"/>
          <w:color w:val="333333"/>
          <w:sz w:val="22"/>
          <w:szCs w:val="22"/>
        </w:rPr>
        <w:t xml:space="preserve">3. DAY 1 READINESS CHECKLIST</w:t>
      </w:r>
    </w:p>
    <w:tbl>
      <w:tblPr>
        <w:tblW w:type="dxa" w:w="8200"/>
        <w:tblBorders>
          <w:top w:val="single" w:color="auto" w:sz="4"/>
          <w:left w:val="single" w:color="auto" w:sz="4"/>
          <w:bottom w:val="single" w:color="auto" w:sz="4"/>
          <w:right w:val="single" w:color="auto" w:sz="4"/>
          <w:insideH w:val="single" w:color="auto" w:sz="4"/>
          <w:insideV w:val="single" w:color="auto" w:sz="4"/>
        </w:tblBorders>
      </w:tblPr>
      <w:tblGrid>
        <w:gridCol w:w="1200"/>
        <w:gridCol w:w="3600"/>
        <w:gridCol w:w="1800"/>
        <w:gridCol w:w="1600"/>
      </w:tblGrid>
      <w:tr>
        <w:tc>
          <w:tcPr>
            <w:tcW w:type="dxa" w:w="1200"/>
            <w:tcBorders>
              <w:top w:val="single" w:color="CCCCCC" w:sz="1"/>
              <w:left w:val="single" w:color="CCCCCC" w:sz="1"/>
              <w:bottom w:val="single" w:color="CCCCCC" w:sz="1"/>
              <w:right w:val="single" w:color="CCCCCC" w:sz="1"/>
            </w:tcBorders>
            <w:shd w:fill="1B3A5C" w:val="clear"/>
            <w:tcMar>
              <w:top w:type="dxa" w:w="60"/>
              <w:left w:type="dxa" w:w="100"/>
              <w:bottom w:type="dxa" w:w="60"/>
              <w:right w:type="dxa" w:w="100"/>
            </w:tcMar>
          </w:tcPr>
          <w:p>
            <w:r>
              <w:rPr>
                <w:rFonts w:ascii="Arial" w:cs="Arial" w:eastAsia="Arial" w:hAnsi="Arial"/>
                <w:b/>
                <w:bCs/>
                <w:color w:val="FFFFFF"/>
                <w:sz w:val="18"/>
                <w:szCs w:val="18"/>
              </w:rPr>
              <w:t xml:space="preserve">Category</w:t>
            </w:r>
          </w:p>
        </w:tc>
        <w:tc>
          <w:tcPr>
            <w:tcW w:type="dxa" w:w="3600"/>
            <w:tcBorders>
              <w:top w:val="single" w:color="CCCCCC" w:sz="1"/>
              <w:left w:val="single" w:color="CCCCCC" w:sz="1"/>
              <w:bottom w:val="single" w:color="CCCCCC" w:sz="1"/>
              <w:right w:val="single" w:color="CCCCCC" w:sz="1"/>
            </w:tcBorders>
            <w:shd w:fill="1B3A5C" w:val="clear"/>
            <w:tcMar>
              <w:top w:type="dxa" w:w="60"/>
              <w:left w:type="dxa" w:w="100"/>
              <w:bottom w:type="dxa" w:w="60"/>
              <w:right w:type="dxa" w:w="100"/>
            </w:tcMar>
          </w:tcPr>
          <w:p>
            <w:r>
              <w:rPr>
                <w:rFonts w:ascii="Arial" w:cs="Arial" w:eastAsia="Arial" w:hAnsi="Arial"/>
                <w:b/>
                <w:bCs/>
                <w:color w:val="FFFFFF"/>
                <w:sz w:val="18"/>
                <w:szCs w:val="18"/>
              </w:rPr>
              <w:t xml:space="preserve">Item</w:t>
            </w:r>
          </w:p>
        </w:tc>
        <w:tc>
          <w:tcPr>
            <w:tcW w:type="dxa" w:w="1800"/>
            <w:tcBorders>
              <w:top w:val="single" w:color="CCCCCC" w:sz="1"/>
              <w:left w:val="single" w:color="CCCCCC" w:sz="1"/>
              <w:bottom w:val="single" w:color="CCCCCC" w:sz="1"/>
              <w:right w:val="single" w:color="CCCCCC" w:sz="1"/>
            </w:tcBorders>
            <w:shd w:fill="1B3A5C" w:val="clear"/>
            <w:tcMar>
              <w:top w:type="dxa" w:w="60"/>
              <w:left w:type="dxa" w:w="100"/>
              <w:bottom w:type="dxa" w:w="60"/>
              <w:right w:type="dxa" w:w="100"/>
            </w:tcMar>
          </w:tcPr>
          <w:p>
            <w:r>
              <w:rPr>
                <w:rFonts w:ascii="Arial" w:cs="Arial" w:eastAsia="Arial" w:hAnsi="Arial"/>
                <w:b/>
                <w:bCs/>
                <w:color w:val="FFFFFF"/>
                <w:sz w:val="18"/>
                <w:szCs w:val="18"/>
              </w:rPr>
              <w:t xml:space="preserve">Owner</w:t>
            </w:r>
          </w:p>
        </w:tc>
        <w:tc>
          <w:tcPr>
            <w:tcW w:type="dxa" w:w="1600"/>
            <w:tcBorders>
              <w:top w:val="single" w:color="CCCCCC" w:sz="1"/>
              <w:left w:val="single" w:color="CCCCCC" w:sz="1"/>
              <w:bottom w:val="single" w:color="CCCCCC" w:sz="1"/>
              <w:right w:val="single" w:color="CCCCCC" w:sz="1"/>
            </w:tcBorders>
            <w:shd w:fill="1B3A5C" w:val="clear"/>
            <w:tcMar>
              <w:top w:type="dxa" w:w="60"/>
              <w:left w:type="dxa" w:w="100"/>
              <w:bottom w:type="dxa" w:w="60"/>
              <w:right w:type="dxa" w:w="100"/>
            </w:tcMar>
          </w:tcPr>
          <w:p>
            <w:r>
              <w:rPr>
                <w:rFonts w:ascii="Arial" w:cs="Arial" w:eastAsia="Arial" w:hAnsi="Arial"/>
                <w:b/>
                <w:bCs/>
                <w:color w:val="FFFFFF"/>
                <w:sz w:val="18"/>
                <w:szCs w:val="18"/>
              </w:rPr>
              <w:t xml:space="preserve">Status</w:t>
            </w:r>
          </w:p>
        </w:tc>
      </w:tr>
      <w:tr>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18"/>
                <w:szCs w:val="18"/>
              </w:rPr>
              <w:t xml:space="preserve">Governance</w:t>
            </w:r>
          </w:p>
        </w:tc>
        <w:tc>
          <w:tcPr>
            <w:tcW w:type="dxa" w:w="3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18"/>
                <w:szCs w:val="18"/>
              </w:rPr>
              <w:t xml:space="preserve">Board composition confirmed (min. 2 additional independent directors)</w:t>
            </w:r>
          </w:p>
        </w:tc>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18"/>
                <w:szCs w:val="18"/>
              </w:rPr>
              <w:t xml:space="preserve">Wesfarmers Legal</w:t>
            </w:r>
          </w:p>
        </w:tc>
        <w:tc>
          <w:tcPr>
            <w:tcW w:type="dxa" w:w="1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18"/>
                <w:szCs w:val="18"/>
              </w:rPr>
              <w:t xml:space="preserve">In Progress</w:t>
            </w:r>
          </w:p>
        </w:tc>
      </w:tr>
      <w:tr>
        <w:tc>
          <w:tcPr>
            <w:tcW w:type="dxa" w:w="1200"/>
            <w:tcBorders>
              <w:top w:val="single" w:color="CCCCCC" w:sz="1"/>
              <w:left w:val="single" w:color="CCCCCC" w:sz="1"/>
              <w:bottom w:val="single" w:color="CCCCCC" w:sz="1"/>
              <w:right w:val="single" w:color="CCCCCC" w:sz="1"/>
            </w:tcBorders>
            <w:shd w:fill="EDF2F7" w:val="clear"/>
            <w:tcMar>
              <w:top w:type="dxa" w:w="60"/>
              <w:left w:type="dxa" w:w="100"/>
              <w:bottom w:type="dxa" w:w="60"/>
              <w:right w:type="dxa" w:w="100"/>
            </w:tcMar>
          </w:tcPr>
          <w:p>
            <w:r>
              <w:rPr>
                <w:rFonts w:ascii="Arial" w:cs="Arial" w:eastAsia="Arial" w:hAnsi="Arial"/>
                <w:b w:val="false"/>
                <w:bCs w:val="false"/>
                <w:color w:val="333333"/>
                <w:sz w:val="18"/>
                <w:szCs w:val="18"/>
              </w:rPr>
              <w:t xml:space="preserve">Governance</w:t>
            </w:r>
          </w:p>
        </w:tc>
        <w:tc>
          <w:tcPr>
            <w:tcW w:type="dxa" w:w="3600"/>
            <w:tcBorders>
              <w:top w:val="single" w:color="CCCCCC" w:sz="1"/>
              <w:left w:val="single" w:color="CCCCCC" w:sz="1"/>
              <w:bottom w:val="single" w:color="CCCCCC" w:sz="1"/>
              <w:right w:val="single" w:color="CCCCCC" w:sz="1"/>
            </w:tcBorders>
            <w:shd w:fill="EDF2F7" w:val="clear"/>
            <w:tcMar>
              <w:top w:type="dxa" w:w="60"/>
              <w:left w:type="dxa" w:w="100"/>
              <w:bottom w:type="dxa" w:w="60"/>
              <w:right w:type="dxa" w:w="100"/>
            </w:tcMar>
          </w:tcPr>
          <w:p>
            <w:r>
              <w:rPr>
                <w:rFonts w:ascii="Arial" w:cs="Arial" w:eastAsia="Arial" w:hAnsi="Arial"/>
                <w:b w:val="false"/>
                <w:bCs w:val="false"/>
                <w:color w:val="333333"/>
                <w:sz w:val="18"/>
                <w:szCs w:val="18"/>
              </w:rPr>
              <w:t xml:space="preserve">Delegations of authority framework issued</w:t>
            </w:r>
          </w:p>
        </w:tc>
        <w:tc>
          <w:tcPr>
            <w:tcW w:type="dxa" w:w="1800"/>
            <w:tcBorders>
              <w:top w:val="single" w:color="CCCCCC" w:sz="1"/>
              <w:left w:val="single" w:color="CCCCCC" w:sz="1"/>
              <w:bottom w:val="single" w:color="CCCCCC" w:sz="1"/>
              <w:right w:val="single" w:color="CCCCCC" w:sz="1"/>
            </w:tcBorders>
            <w:shd w:fill="EDF2F7" w:val="clear"/>
            <w:tcMar>
              <w:top w:type="dxa" w:w="60"/>
              <w:left w:type="dxa" w:w="100"/>
              <w:bottom w:type="dxa" w:w="60"/>
              <w:right w:type="dxa" w:w="100"/>
            </w:tcMar>
          </w:tcPr>
          <w:p>
            <w:r>
              <w:rPr>
                <w:rFonts w:ascii="Arial" w:cs="Arial" w:eastAsia="Arial" w:hAnsi="Arial"/>
                <w:b w:val="false"/>
                <w:bCs w:val="false"/>
                <w:color w:val="333333"/>
                <w:sz w:val="18"/>
                <w:szCs w:val="18"/>
              </w:rPr>
              <w:t xml:space="preserve">Wesfarmers Legal</w:t>
            </w:r>
          </w:p>
        </w:tc>
        <w:tc>
          <w:tcPr>
            <w:tcW w:type="dxa" w:w="1600"/>
            <w:tcBorders>
              <w:top w:val="single" w:color="CCCCCC" w:sz="1"/>
              <w:left w:val="single" w:color="CCCCCC" w:sz="1"/>
              <w:bottom w:val="single" w:color="CCCCCC" w:sz="1"/>
              <w:right w:val="single" w:color="CCCCCC" w:sz="1"/>
            </w:tcBorders>
            <w:shd w:fill="EDF2F7" w:val="clear"/>
            <w:tcMar>
              <w:top w:type="dxa" w:w="60"/>
              <w:left w:type="dxa" w:w="100"/>
              <w:bottom w:type="dxa" w:w="60"/>
              <w:right w:type="dxa" w:w="100"/>
            </w:tcMar>
          </w:tcPr>
          <w:p>
            <w:r>
              <w:rPr>
                <w:rFonts w:ascii="Arial" w:cs="Arial" w:eastAsia="Arial" w:hAnsi="Arial"/>
                <w:b w:val="false"/>
                <w:bCs w:val="false"/>
                <w:color w:val="333333"/>
                <w:sz w:val="18"/>
                <w:szCs w:val="18"/>
              </w:rPr>
              <w:t xml:space="preserve">Not Started</w:t>
            </w:r>
          </w:p>
        </w:tc>
      </w:tr>
      <w:tr>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18"/>
                <w:szCs w:val="18"/>
              </w:rPr>
              <w:t xml:space="preserve">Finance</w:t>
            </w:r>
          </w:p>
        </w:tc>
        <w:tc>
          <w:tcPr>
            <w:tcW w:type="dxa" w:w="3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18"/>
                <w:szCs w:val="18"/>
              </w:rPr>
              <w:t xml:space="preserve">Bank accounts - signatory changes executed</w:t>
            </w:r>
          </w:p>
        </w:tc>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18"/>
                <w:szCs w:val="18"/>
              </w:rPr>
              <w:t xml:space="preserve">Group Treasury</w:t>
            </w:r>
          </w:p>
        </w:tc>
        <w:tc>
          <w:tcPr>
            <w:tcW w:type="dxa" w:w="1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18"/>
                <w:szCs w:val="18"/>
              </w:rPr>
              <w:t xml:space="preserve">In Progress</w:t>
            </w:r>
          </w:p>
        </w:tc>
      </w:tr>
      <w:tr>
        <w:tc>
          <w:tcPr>
            <w:tcW w:type="dxa" w:w="1200"/>
            <w:tcBorders>
              <w:top w:val="single" w:color="CCCCCC" w:sz="1"/>
              <w:left w:val="single" w:color="CCCCCC" w:sz="1"/>
              <w:bottom w:val="single" w:color="CCCCCC" w:sz="1"/>
              <w:right w:val="single" w:color="CCCCCC" w:sz="1"/>
            </w:tcBorders>
            <w:shd w:fill="EDF2F7" w:val="clear"/>
            <w:tcMar>
              <w:top w:type="dxa" w:w="60"/>
              <w:left w:type="dxa" w:w="100"/>
              <w:bottom w:type="dxa" w:w="60"/>
              <w:right w:type="dxa" w:w="100"/>
            </w:tcMar>
          </w:tcPr>
          <w:p>
            <w:r>
              <w:rPr>
                <w:rFonts w:ascii="Arial" w:cs="Arial" w:eastAsia="Arial" w:hAnsi="Arial"/>
                <w:b w:val="false"/>
                <w:bCs w:val="false"/>
                <w:color w:val="333333"/>
                <w:sz w:val="18"/>
                <w:szCs w:val="18"/>
              </w:rPr>
              <w:t xml:space="preserve">Finance</w:t>
            </w:r>
          </w:p>
        </w:tc>
        <w:tc>
          <w:tcPr>
            <w:tcW w:type="dxa" w:w="3600"/>
            <w:tcBorders>
              <w:top w:val="single" w:color="CCCCCC" w:sz="1"/>
              <w:left w:val="single" w:color="CCCCCC" w:sz="1"/>
              <w:bottom w:val="single" w:color="CCCCCC" w:sz="1"/>
              <w:right w:val="single" w:color="CCCCCC" w:sz="1"/>
            </w:tcBorders>
            <w:shd w:fill="EDF2F7" w:val="clear"/>
            <w:tcMar>
              <w:top w:type="dxa" w:w="60"/>
              <w:left w:type="dxa" w:w="100"/>
              <w:bottom w:type="dxa" w:w="60"/>
              <w:right w:type="dxa" w:w="100"/>
            </w:tcMar>
          </w:tcPr>
          <w:p>
            <w:r>
              <w:rPr>
                <w:rFonts w:ascii="Arial" w:cs="Arial" w:eastAsia="Arial" w:hAnsi="Arial"/>
                <w:b w:val="false"/>
                <w:bCs w:val="false"/>
                <w:color w:val="333333"/>
                <w:sz w:val="18"/>
                <w:szCs w:val="18"/>
              </w:rPr>
              <w:t xml:space="preserve">Intercompany loan repayment ($25m)</w:t>
            </w:r>
          </w:p>
        </w:tc>
        <w:tc>
          <w:tcPr>
            <w:tcW w:type="dxa" w:w="1800"/>
            <w:tcBorders>
              <w:top w:val="single" w:color="CCCCCC" w:sz="1"/>
              <w:left w:val="single" w:color="CCCCCC" w:sz="1"/>
              <w:bottom w:val="single" w:color="CCCCCC" w:sz="1"/>
              <w:right w:val="single" w:color="CCCCCC" w:sz="1"/>
            </w:tcBorders>
            <w:shd w:fill="EDF2F7" w:val="clear"/>
            <w:tcMar>
              <w:top w:type="dxa" w:w="60"/>
              <w:left w:type="dxa" w:w="100"/>
              <w:bottom w:type="dxa" w:w="60"/>
              <w:right w:type="dxa" w:w="100"/>
            </w:tcMar>
          </w:tcPr>
          <w:p>
            <w:r>
              <w:rPr>
                <w:rFonts w:ascii="Arial" w:cs="Arial" w:eastAsia="Arial" w:hAnsi="Arial"/>
                <w:b w:val="false"/>
                <w:bCs w:val="false"/>
                <w:color w:val="333333"/>
                <w:sz w:val="18"/>
                <w:szCs w:val="18"/>
              </w:rPr>
              <w:t xml:space="preserve">Group Finance</w:t>
            </w:r>
          </w:p>
        </w:tc>
        <w:tc>
          <w:tcPr>
            <w:tcW w:type="dxa" w:w="1600"/>
            <w:tcBorders>
              <w:top w:val="single" w:color="CCCCCC" w:sz="1"/>
              <w:left w:val="single" w:color="CCCCCC" w:sz="1"/>
              <w:bottom w:val="single" w:color="CCCCCC" w:sz="1"/>
              <w:right w:val="single" w:color="CCCCCC" w:sz="1"/>
            </w:tcBorders>
            <w:shd w:fill="EDF2F7" w:val="clear"/>
            <w:tcMar>
              <w:top w:type="dxa" w:w="60"/>
              <w:left w:type="dxa" w:w="100"/>
              <w:bottom w:type="dxa" w:w="60"/>
              <w:right w:type="dxa" w:w="100"/>
            </w:tcMar>
          </w:tcPr>
          <w:p>
            <w:r>
              <w:rPr>
                <w:rFonts w:ascii="Arial" w:cs="Arial" w:eastAsia="Arial" w:hAnsi="Arial"/>
                <w:b w:val="false"/>
                <w:bCs w:val="false"/>
                <w:color w:val="333333"/>
                <w:sz w:val="18"/>
                <w:szCs w:val="18"/>
              </w:rPr>
              <w:t xml:space="preserve">Pending Completion</w:t>
            </w:r>
          </w:p>
        </w:tc>
      </w:tr>
      <w:tr>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18"/>
                <w:szCs w:val="18"/>
              </w:rPr>
              <w:t xml:space="preserve">Finance</w:t>
            </w:r>
          </w:p>
        </w:tc>
        <w:tc>
          <w:tcPr>
            <w:tcW w:type="dxa" w:w="3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18"/>
                <w:szCs w:val="18"/>
              </w:rPr>
              <w:t xml:space="preserve">Insurance program transition / novation</w:t>
            </w:r>
          </w:p>
        </w:tc>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18"/>
                <w:szCs w:val="18"/>
              </w:rPr>
              <w:t xml:space="preserve">Marsh Advisory</w:t>
            </w:r>
          </w:p>
        </w:tc>
        <w:tc>
          <w:tcPr>
            <w:tcW w:type="dxa" w:w="1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18"/>
                <w:szCs w:val="18"/>
              </w:rPr>
              <w:t xml:space="preserve">In Progress</w:t>
            </w:r>
          </w:p>
        </w:tc>
      </w:tr>
      <w:tr>
        <w:tc>
          <w:tcPr>
            <w:tcW w:type="dxa" w:w="1200"/>
            <w:tcBorders>
              <w:top w:val="single" w:color="CCCCCC" w:sz="1"/>
              <w:left w:val="single" w:color="CCCCCC" w:sz="1"/>
              <w:bottom w:val="single" w:color="CCCCCC" w:sz="1"/>
              <w:right w:val="single" w:color="CCCCCC" w:sz="1"/>
            </w:tcBorders>
            <w:shd w:fill="EDF2F7" w:val="clear"/>
            <w:tcMar>
              <w:top w:type="dxa" w:w="60"/>
              <w:left w:type="dxa" w:w="100"/>
              <w:bottom w:type="dxa" w:w="60"/>
              <w:right w:type="dxa" w:w="100"/>
            </w:tcMar>
          </w:tcPr>
          <w:p>
            <w:r>
              <w:rPr>
                <w:rFonts w:ascii="Arial" w:cs="Arial" w:eastAsia="Arial" w:hAnsi="Arial"/>
                <w:b w:val="false"/>
                <w:bCs w:val="false"/>
                <w:color w:val="333333"/>
                <w:sz w:val="18"/>
                <w:szCs w:val="18"/>
              </w:rPr>
              <w:t xml:space="preserve">IT</w:t>
            </w:r>
          </w:p>
        </w:tc>
        <w:tc>
          <w:tcPr>
            <w:tcW w:type="dxa" w:w="3600"/>
            <w:tcBorders>
              <w:top w:val="single" w:color="CCCCCC" w:sz="1"/>
              <w:left w:val="single" w:color="CCCCCC" w:sz="1"/>
              <w:bottom w:val="single" w:color="CCCCCC" w:sz="1"/>
              <w:right w:val="single" w:color="CCCCCC" w:sz="1"/>
            </w:tcBorders>
            <w:shd w:fill="EDF2F7" w:val="clear"/>
            <w:tcMar>
              <w:top w:type="dxa" w:w="60"/>
              <w:left w:type="dxa" w:w="100"/>
              <w:bottom w:type="dxa" w:w="60"/>
              <w:right w:type="dxa" w:w="100"/>
            </w:tcMar>
          </w:tcPr>
          <w:p>
            <w:r>
              <w:rPr>
                <w:rFonts w:ascii="Arial" w:cs="Arial" w:eastAsia="Arial" w:hAnsi="Arial"/>
                <w:b w:val="false"/>
                <w:bCs w:val="false"/>
                <w:color w:val="333333"/>
                <w:sz w:val="18"/>
                <w:szCs w:val="18"/>
              </w:rPr>
              <w:t xml:space="preserve">Transition Services Agreement signed</w:t>
            </w:r>
          </w:p>
        </w:tc>
        <w:tc>
          <w:tcPr>
            <w:tcW w:type="dxa" w:w="1800"/>
            <w:tcBorders>
              <w:top w:val="single" w:color="CCCCCC" w:sz="1"/>
              <w:left w:val="single" w:color="CCCCCC" w:sz="1"/>
              <w:bottom w:val="single" w:color="CCCCCC" w:sz="1"/>
              <w:right w:val="single" w:color="CCCCCC" w:sz="1"/>
            </w:tcBorders>
            <w:shd w:fill="EDF2F7" w:val="clear"/>
            <w:tcMar>
              <w:top w:type="dxa" w:w="60"/>
              <w:left w:type="dxa" w:w="100"/>
              <w:bottom w:type="dxa" w:w="60"/>
              <w:right w:type="dxa" w:w="100"/>
            </w:tcMar>
          </w:tcPr>
          <w:p>
            <w:r>
              <w:rPr>
                <w:rFonts w:ascii="Arial" w:cs="Arial" w:eastAsia="Arial" w:hAnsi="Arial"/>
                <w:b w:val="false"/>
                <w:bCs w:val="false"/>
                <w:color w:val="333333"/>
                <w:sz w:val="18"/>
                <w:szCs w:val="18"/>
              </w:rPr>
              <w:t xml:space="preserve">Wesfarmers Digital</w:t>
            </w:r>
          </w:p>
        </w:tc>
        <w:tc>
          <w:tcPr>
            <w:tcW w:type="dxa" w:w="1600"/>
            <w:tcBorders>
              <w:top w:val="single" w:color="CCCCCC" w:sz="1"/>
              <w:left w:val="single" w:color="CCCCCC" w:sz="1"/>
              <w:bottom w:val="single" w:color="CCCCCC" w:sz="1"/>
              <w:right w:val="single" w:color="CCCCCC" w:sz="1"/>
            </w:tcBorders>
            <w:shd w:fill="EDF2F7" w:val="clear"/>
            <w:tcMar>
              <w:top w:type="dxa" w:w="60"/>
              <w:left w:type="dxa" w:w="100"/>
              <w:bottom w:type="dxa" w:w="60"/>
              <w:right w:type="dxa" w:w="100"/>
            </w:tcMar>
          </w:tcPr>
          <w:p>
            <w:r>
              <w:rPr>
                <w:rFonts w:ascii="Arial" w:cs="Arial" w:eastAsia="Arial" w:hAnsi="Arial"/>
                <w:b w:val="false"/>
                <w:bCs w:val="false"/>
                <w:color w:val="333333"/>
                <w:sz w:val="18"/>
                <w:szCs w:val="18"/>
              </w:rPr>
              <w:t xml:space="preserve">Draft in Review</w:t>
            </w:r>
          </w:p>
        </w:tc>
      </w:tr>
      <w:tr>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18"/>
                <w:szCs w:val="18"/>
              </w:rPr>
              <w:t xml:space="preserve">IT</w:t>
            </w:r>
          </w:p>
        </w:tc>
        <w:tc>
          <w:tcPr>
            <w:tcW w:type="dxa" w:w="3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18"/>
                <w:szCs w:val="18"/>
              </w:rPr>
              <w:t xml:space="preserve">Email domain migration plan agreed</w:t>
            </w:r>
          </w:p>
        </w:tc>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18"/>
                <w:szCs w:val="18"/>
              </w:rPr>
              <w:t xml:space="preserve">Wesfarmers Digital</w:t>
            </w:r>
          </w:p>
        </w:tc>
        <w:tc>
          <w:tcPr>
            <w:tcW w:type="dxa" w:w="1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18"/>
                <w:szCs w:val="18"/>
              </w:rPr>
              <w:t xml:space="preserve">Not Started</w:t>
            </w:r>
          </w:p>
        </w:tc>
      </w:tr>
      <w:tr>
        <w:tc>
          <w:tcPr>
            <w:tcW w:type="dxa" w:w="1200"/>
            <w:tcBorders>
              <w:top w:val="single" w:color="CCCCCC" w:sz="1"/>
              <w:left w:val="single" w:color="CCCCCC" w:sz="1"/>
              <w:bottom w:val="single" w:color="CCCCCC" w:sz="1"/>
              <w:right w:val="single" w:color="CCCCCC" w:sz="1"/>
            </w:tcBorders>
            <w:shd w:fill="EDF2F7" w:val="clear"/>
            <w:tcMar>
              <w:top w:type="dxa" w:w="60"/>
              <w:left w:type="dxa" w:w="100"/>
              <w:bottom w:type="dxa" w:w="60"/>
              <w:right w:type="dxa" w:w="100"/>
            </w:tcMar>
          </w:tcPr>
          <w:p>
            <w:r>
              <w:rPr>
                <w:rFonts w:ascii="Arial" w:cs="Arial" w:eastAsia="Arial" w:hAnsi="Arial"/>
                <w:b w:val="false"/>
                <w:bCs w:val="false"/>
                <w:color w:val="333333"/>
                <w:sz w:val="18"/>
                <w:szCs w:val="18"/>
              </w:rPr>
              <w:t xml:space="preserve">People</w:t>
            </w:r>
          </w:p>
        </w:tc>
        <w:tc>
          <w:tcPr>
            <w:tcW w:type="dxa" w:w="3600"/>
            <w:tcBorders>
              <w:top w:val="single" w:color="CCCCCC" w:sz="1"/>
              <w:left w:val="single" w:color="CCCCCC" w:sz="1"/>
              <w:bottom w:val="single" w:color="CCCCCC" w:sz="1"/>
              <w:right w:val="single" w:color="CCCCCC" w:sz="1"/>
            </w:tcBorders>
            <w:shd w:fill="EDF2F7" w:val="clear"/>
            <w:tcMar>
              <w:top w:type="dxa" w:w="60"/>
              <w:left w:type="dxa" w:w="100"/>
              <w:bottom w:type="dxa" w:w="60"/>
              <w:right w:type="dxa" w:w="100"/>
            </w:tcMar>
          </w:tcPr>
          <w:p>
            <w:r>
              <w:rPr>
                <w:rFonts w:ascii="Arial" w:cs="Arial" w:eastAsia="Arial" w:hAnsi="Arial"/>
                <w:b w:val="false"/>
                <w:bCs w:val="false"/>
                <w:color w:val="333333"/>
                <w:sz w:val="18"/>
                <w:szCs w:val="18"/>
              </w:rPr>
              <w:t xml:space="preserve">Retention bonus letters signed (Tier 1)</w:t>
            </w:r>
          </w:p>
        </w:tc>
        <w:tc>
          <w:tcPr>
            <w:tcW w:type="dxa" w:w="1800"/>
            <w:tcBorders>
              <w:top w:val="single" w:color="CCCCCC" w:sz="1"/>
              <w:left w:val="single" w:color="CCCCCC" w:sz="1"/>
              <w:bottom w:val="single" w:color="CCCCCC" w:sz="1"/>
              <w:right w:val="single" w:color="CCCCCC" w:sz="1"/>
            </w:tcBorders>
            <w:shd w:fill="EDF2F7" w:val="clear"/>
            <w:tcMar>
              <w:top w:type="dxa" w:w="60"/>
              <w:left w:type="dxa" w:w="100"/>
              <w:bottom w:type="dxa" w:w="60"/>
              <w:right w:type="dxa" w:w="100"/>
            </w:tcMar>
          </w:tcPr>
          <w:p>
            <w:r>
              <w:rPr>
                <w:rFonts w:ascii="Arial" w:cs="Arial" w:eastAsia="Arial" w:hAnsi="Arial"/>
                <w:b w:val="false"/>
                <w:bCs w:val="false"/>
                <w:color w:val="333333"/>
                <w:sz w:val="18"/>
                <w:szCs w:val="18"/>
              </w:rPr>
              <w:t xml:space="preserve">HR</w:t>
            </w:r>
          </w:p>
        </w:tc>
        <w:tc>
          <w:tcPr>
            <w:tcW w:type="dxa" w:w="1600"/>
            <w:tcBorders>
              <w:top w:val="single" w:color="CCCCCC" w:sz="1"/>
              <w:left w:val="single" w:color="CCCCCC" w:sz="1"/>
              <w:bottom w:val="single" w:color="CCCCCC" w:sz="1"/>
              <w:right w:val="single" w:color="CCCCCC" w:sz="1"/>
            </w:tcBorders>
            <w:shd w:fill="EDF2F7" w:val="clear"/>
            <w:tcMar>
              <w:top w:type="dxa" w:w="60"/>
              <w:left w:type="dxa" w:w="100"/>
              <w:bottom w:type="dxa" w:w="60"/>
              <w:right w:type="dxa" w:w="100"/>
            </w:tcMar>
          </w:tcPr>
          <w:p>
            <w:r>
              <w:rPr>
                <w:rFonts w:ascii="Arial" w:cs="Arial" w:eastAsia="Arial" w:hAnsi="Arial"/>
                <w:b w:val="false"/>
                <w:bCs w:val="false"/>
                <w:color w:val="333333"/>
                <w:sz w:val="18"/>
                <w:szCs w:val="18"/>
              </w:rPr>
              <w:t xml:space="preserve">6 of 8 Complete</w:t>
            </w:r>
          </w:p>
        </w:tc>
      </w:tr>
      <w:tr>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18"/>
                <w:szCs w:val="18"/>
              </w:rPr>
              <w:t xml:space="preserve">People</w:t>
            </w:r>
          </w:p>
        </w:tc>
        <w:tc>
          <w:tcPr>
            <w:tcW w:type="dxa" w:w="3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18"/>
                <w:szCs w:val="18"/>
              </w:rPr>
              <w:t xml:space="preserve">Day 1 communications pack (all-staff, managers, suppliers)</w:t>
            </w:r>
          </w:p>
        </w:tc>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18"/>
                <w:szCs w:val="18"/>
              </w:rPr>
              <w:t xml:space="preserve">Comms</w:t>
            </w:r>
          </w:p>
        </w:tc>
        <w:tc>
          <w:tcPr>
            <w:tcW w:type="dxa" w:w="1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18"/>
                <w:szCs w:val="18"/>
              </w:rPr>
              <w:t xml:space="preserve">Draft Complete</w:t>
            </w:r>
          </w:p>
        </w:tc>
      </w:tr>
      <w:tr>
        <w:tc>
          <w:tcPr>
            <w:tcW w:type="dxa" w:w="1200"/>
            <w:tcBorders>
              <w:top w:val="single" w:color="CCCCCC" w:sz="1"/>
              <w:left w:val="single" w:color="CCCCCC" w:sz="1"/>
              <w:bottom w:val="single" w:color="CCCCCC" w:sz="1"/>
              <w:right w:val="single" w:color="CCCCCC" w:sz="1"/>
            </w:tcBorders>
            <w:shd w:fill="EDF2F7" w:val="clear"/>
            <w:tcMar>
              <w:top w:type="dxa" w:w="60"/>
              <w:left w:type="dxa" w:w="100"/>
              <w:bottom w:type="dxa" w:w="60"/>
              <w:right w:type="dxa" w:w="100"/>
            </w:tcMar>
          </w:tcPr>
          <w:p>
            <w:r>
              <w:rPr>
                <w:rFonts w:ascii="Arial" w:cs="Arial" w:eastAsia="Arial" w:hAnsi="Arial"/>
                <w:b w:val="false"/>
                <w:bCs w:val="false"/>
                <w:color w:val="333333"/>
                <w:sz w:val="18"/>
                <w:szCs w:val="18"/>
              </w:rPr>
              <w:t xml:space="preserve">Legal</w:t>
            </w:r>
          </w:p>
        </w:tc>
        <w:tc>
          <w:tcPr>
            <w:tcW w:type="dxa" w:w="3600"/>
            <w:tcBorders>
              <w:top w:val="single" w:color="CCCCCC" w:sz="1"/>
              <w:left w:val="single" w:color="CCCCCC" w:sz="1"/>
              <w:bottom w:val="single" w:color="CCCCCC" w:sz="1"/>
              <w:right w:val="single" w:color="CCCCCC" w:sz="1"/>
            </w:tcBorders>
            <w:shd w:fill="EDF2F7" w:val="clear"/>
            <w:tcMar>
              <w:top w:type="dxa" w:w="60"/>
              <w:left w:type="dxa" w:w="100"/>
              <w:bottom w:type="dxa" w:w="60"/>
              <w:right w:type="dxa" w:w="100"/>
            </w:tcMar>
          </w:tcPr>
          <w:p>
            <w:r>
              <w:rPr>
                <w:rFonts w:ascii="Arial" w:cs="Arial" w:eastAsia="Arial" w:hAnsi="Arial"/>
                <w:b w:val="false"/>
                <w:bCs w:val="false"/>
                <w:color w:val="333333"/>
                <w:sz w:val="18"/>
                <w:szCs w:val="18"/>
              </w:rPr>
              <w:t xml:space="preserve">Change of control consents obtained</w:t>
            </w:r>
          </w:p>
        </w:tc>
        <w:tc>
          <w:tcPr>
            <w:tcW w:type="dxa" w:w="1800"/>
            <w:tcBorders>
              <w:top w:val="single" w:color="CCCCCC" w:sz="1"/>
              <w:left w:val="single" w:color="CCCCCC" w:sz="1"/>
              <w:bottom w:val="single" w:color="CCCCCC" w:sz="1"/>
              <w:right w:val="single" w:color="CCCCCC" w:sz="1"/>
            </w:tcBorders>
            <w:shd w:fill="EDF2F7" w:val="clear"/>
            <w:tcMar>
              <w:top w:type="dxa" w:w="60"/>
              <w:left w:type="dxa" w:w="100"/>
              <w:bottom w:type="dxa" w:w="60"/>
              <w:right w:type="dxa" w:w="100"/>
            </w:tcMar>
          </w:tcPr>
          <w:p>
            <w:r>
              <w:rPr>
                <w:rFonts w:ascii="Arial" w:cs="Arial" w:eastAsia="Arial" w:hAnsi="Arial"/>
                <w:b w:val="false"/>
                <w:bCs w:val="false"/>
                <w:color w:val="333333"/>
                <w:sz w:val="18"/>
                <w:szCs w:val="18"/>
              </w:rPr>
              <w:t xml:space="preserve">Gilbert + Tobin</w:t>
            </w:r>
          </w:p>
        </w:tc>
        <w:tc>
          <w:tcPr>
            <w:tcW w:type="dxa" w:w="1600"/>
            <w:tcBorders>
              <w:top w:val="single" w:color="CCCCCC" w:sz="1"/>
              <w:left w:val="single" w:color="CCCCCC" w:sz="1"/>
              <w:bottom w:val="single" w:color="CCCCCC" w:sz="1"/>
              <w:right w:val="single" w:color="CCCCCC" w:sz="1"/>
            </w:tcBorders>
            <w:shd w:fill="EDF2F7" w:val="clear"/>
            <w:tcMar>
              <w:top w:type="dxa" w:w="60"/>
              <w:left w:type="dxa" w:w="100"/>
              <w:bottom w:type="dxa" w:w="60"/>
              <w:right w:type="dxa" w:w="100"/>
            </w:tcMar>
          </w:tcPr>
          <w:p>
            <w:r>
              <w:rPr>
                <w:rFonts w:ascii="Arial" w:cs="Arial" w:eastAsia="Arial" w:hAnsi="Arial"/>
                <w:b w:val="false"/>
                <w:bCs w:val="false"/>
                <w:color w:val="333333"/>
                <w:sz w:val="18"/>
                <w:szCs w:val="18"/>
              </w:rPr>
              <w:t xml:space="preserve">5 of 8 Complete</w:t>
            </w:r>
          </w:p>
        </w:tc>
      </w:tr>
      <w:tr>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18"/>
                <w:szCs w:val="18"/>
              </w:rPr>
              <w:t xml:space="preserve">Legal</w:t>
            </w:r>
          </w:p>
        </w:tc>
        <w:tc>
          <w:tcPr>
            <w:tcW w:type="dxa" w:w="3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18"/>
                <w:szCs w:val="18"/>
              </w:rPr>
              <w:t xml:space="preserve">HOMESTYLE trademark assignment executed</w:t>
            </w:r>
          </w:p>
        </w:tc>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18"/>
                <w:szCs w:val="18"/>
              </w:rPr>
              <w:t xml:space="preserve">Spruson &amp; Ferguson</w:t>
            </w:r>
          </w:p>
        </w:tc>
        <w:tc>
          <w:tcPr>
            <w:tcW w:type="dxa" w:w="1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18"/>
                <w:szCs w:val="18"/>
              </w:rPr>
              <w:t xml:space="preserve">Pending</w:t>
            </w:r>
          </w:p>
        </w:tc>
      </w:tr>
      <w:tr>
        <w:tc>
          <w:tcPr>
            <w:tcW w:type="dxa" w:w="1200"/>
            <w:tcBorders>
              <w:top w:val="single" w:color="CCCCCC" w:sz="1"/>
              <w:left w:val="single" w:color="CCCCCC" w:sz="1"/>
              <w:bottom w:val="single" w:color="CCCCCC" w:sz="1"/>
              <w:right w:val="single" w:color="CCCCCC" w:sz="1"/>
            </w:tcBorders>
            <w:shd w:fill="EDF2F7" w:val="clear"/>
            <w:tcMar>
              <w:top w:type="dxa" w:w="60"/>
              <w:left w:type="dxa" w:w="100"/>
              <w:bottom w:type="dxa" w:w="60"/>
              <w:right w:type="dxa" w:w="100"/>
            </w:tcMar>
          </w:tcPr>
          <w:p>
            <w:r>
              <w:rPr>
                <w:rFonts w:ascii="Arial" w:cs="Arial" w:eastAsia="Arial" w:hAnsi="Arial"/>
                <w:b w:val="false"/>
                <w:bCs w:val="false"/>
                <w:color w:val="333333"/>
                <w:sz w:val="18"/>
                <w:szCs w:val="18"/>
              </w:rPr>
              <w:t xml:space="preserve">Regulatory</w:t>
            </w:r>
          </w:p>
        </w:tc>
        <w:tc>
          <w:tcPr>
            <w:tcW w:type="dxa" w:w="3600"/>
            <w:tcBorders>
              <w:top w:val="single" w:color="CCCCCC" w:sz="1"/>
              <w:left w:val="single" w:color="CCCCCC" w:sz="1"/>
              <w:bottom w:val="single" w:color="CCCCCC" w:sz="1"/>
              <w:right w:val="single" w:color="CCCCCC" w:sz="1"/>
            </w:tcBorders>
            <w:shd w:fill="EDF2F7" w:val="clear"/>
            <w:tcMar>
              <w:top w:type="dxa" w:w="60"/>
              <w:left w:type="dxa" w:w="100"/>
              <w:bottom w:type="dxa" w:w="60"/>
              <w:right w:type="dxa" w:w="100"/>
            </w:tcMar>
          </w:tcPr>
          <w:p>
            <w:r>
              <w:rPr>
                <w:rFonts w:ascii="Arial" w:cs="Arial" w:eastAsia="Arial" w:hAnsi="Arial"/>
                <w:b w:val="false"/>
                <w:bCs w:val="false"/>
                <w:color w:val="333333"/>
                <w:sz w:val="18"/>
                <w:szCs w:val="18"/>
              </w:rPr>
              <w:t xml:space="preserve">ACCC informal clearance received</w:t>
            </w:r>
          </w:p>
        </w:tc>
        <w:tc>
          <w:tcPr>
            <w:tcW w:type="dxa" w:w="1800"/>
            <w:tcBorders>
              <w:top w:val="single" w:color="CCCCCC" w:sz="1"/>
              <w:left w:val="single" w:color="CCCCCC" w:sz="1"/>
              <w:bottom w:val="single" w:color="CCCCCC" w:sz="1"/>
              <w:right w:val="single" w:color="CCCCCC" w:sz="1"/>
            </w:tcBorders>
            <w:shd w:fill="EDF2F7" w:val="clear"/>
            <w:tcMar>
              <w:top w:type="dxa" w:w="60"/>
              <w:left w:type="dxa" w:w="100"/>
              <w:bottom w:type="dxa" w:w="60"/>
              <w:right w:type="dxa" w:w="100"/>
            </w:tcMar>
          </w:tcPr>
          <w:p>
            <w:r>
              <w:rPr>
                <w:rFonts w:ascii="Arial" w:cs="Arial" w:eastAsia="Arial" w:hAnsi="Arial"/>
                <w:b w:val="false"/>
                <w:bCs w:val="false"/>
                <w:color w:val="333333"/>
                <w:sz w:val="18"/>
                <w:szCs w:val="18"/>
              </w:rPr>
              <w:t xml:space="preserve">Herbert Smith Freehills</w:t>
            </w:r>
          </w:p>
        </w:tc>
        <w:tc>
          <w:tcPr>
            <w:tcW w:type="dxa" w:w="1600"/>
            <w:tcBorders>
              <w:top w:val="single" w:color="CCCCCC" w:sz="1"/>
              <w:left w:val="single" w:color="CCCCCC" w:sz="1"/>
              <w:bottom w:val="single" w:color="CCCCCC" w:sz="1"/>
              <w:right w:val="single" w:color="CCCCCC" w:sz="1"/>
            </w:tcBorders>
            <w:shd w:fill="EDF2F7" w:val="clear"/>
            <w:tcMar>
              <w:top w:type="dxa" w:w="60"/>
              <w:left w:type="dxa" w:w="100"/>
              <w:bottom w:type="dxa" w:w="60"/>
              <w:right w:type="dxa" w:w="100"/>
            </w:tcMar>
          </w:tcPr>
          <w:p>
            <w:r>
              <w:rPr>
                <w:rFonts w:ascii="Arial" w:cs="Arial" w:eastAsia="Arial" w:hAnsi="Arial"/>
                <w:b w:val="false"/>
                <w:bCs w:val="false"/>
                <w:color w:val="333333"/>
                <w:sz w:val="18"/>
                <w:szCs w:val="18"/>
              </w:rPr>
              <w:t xml:space="preserve">Submitted</w:t>
            </w:r>
          </w:p>
        </w:tc>
      </w:tr>
      <w:tr>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18"/>
                <w:szCs w:val="18"/>
              </w:rPr>
              <w:t xml:space="preserve">Regulatory</w:t>
            </w:r>
          </w:p>
        </w:tc>
        <w:tc>
          <w:tcPr>
            <w:tcW w:type="dxa" w:w="3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18"/>
                <w:szCs w:val="18"/>
              </w:rPr>
              <w:t xml:space="preserve">FIRB no-objection notification received</w:t>
            </w:r>
          </w:p>
        </w:tc>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18"/>
                <w:szCs w:val="18"/>
              </w:rPr>
              <w:t xml:space="preserve">Herbert Smith Freehills</w:t>
            </w:r>
          </w:p>
        </w:tc>
        <w:tc>
          <w:tcPr>
            <w:tcW w:type="dxa" w:w="1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18"/>
                <w:szCs w:val="18"/>
              </w:rPr>
              <w:t xml:space="preserve">Submitted</w:t>
            </w:r>
          </w:p>
        </w:tc>
      </w:tr>
    </w:tbl>
    <w:p>
      <w:r>
        <w:rPr>
          <w:rFonts w:ascii="Arial" w:cs="Arial" w:eastAsia="Arial" w:hAnsi="Arial"/>
          <w:color w:val="333333"/>
          <w:sz w:val="22"/>
          <w:szCs w:val="22"/>
        </w:rPr>
        <w:t xml:space="preserve"/>
      </w:r>
    </w:p>
    <w:p>
      <w:pPr>
        <w:pStyle w:val="Heading1"/>
      </w:pPr>
      <w:r>
        <w:rPr>
          <w:rFonts w:ascii="Arial" w:cs="Arial" w:eastAsia="Arial" w:hAnsi="Arial"/>
          <w:color w:val="333333"/>
          <w:sz w:val="22"/>
          <w:szCs w:val="22"/>
        </w:rPr>
        <w:t xml:space="preserve">4. 100-DAY PLAN SUMMARY</w:t>
      </w:r>
    </w:p>
    <w:p>
      <w:pPr>
        <w:pStyle w:val="Heading2"/>
      </w:pPr>
      <w:r>
        <w:rPr>
          <w:rFonts w:ascii="Arial" w:cs="Arial" w:eastAsia="Arial" w:hAnsi="Arial"/>
          <w:color w:val="333333"/>
          <w:sz w:val="22"/>
          <w:szCs w:val="22"/>
        </w:rPr>
        <w:t xml:space="preserve">4.1 Phase 1: Stabilise (Days 1-30)</w:t>
      </w:r>
    </w:p>
    <w:p>
      <w:r>
        <w:rPr>
          <w:rFonts w:ascii="Arial" w:cs="Arial" w:eastAsia="Arial" w:hAnsi="Arial"/>
          <w:color w:val="333333"/>
          <w:sz w:val="22"/>
          <w:szCs w:val="22"/>
        </w:rPr>
        <w:t xml:space="preserve">Execute retention program and communicate integration approach to all employees, suppliers, and key customers. Implement Wesfarmers governance framework and financial controls. Establish regular reporting cadence. Conduct detailed baseline assessment of all workstreams.</w:t>
      </w:r>
    </w:p>
    <w:p>
      <w:r>
        <w:rPr>
          <w:rFonts w:ascii="Arial" w:cs="Arial" w:eastAsia="Arial" w:hAnsi="Arial"/>
          <w:color w:val="333333"/>
          <w:sz w:val="22"/>
          <w:szCs w:val="22"/>
        </w:rPr>
        <w:t xml:space="preserve"/>
      </w:r>
    </w:p>
    <w:p>
      <w:pPr>
        <w:pStyle w:val="Heading2"/>
      </w:pPr>
      <w:r>
        <w:rPr>
          <w:rFonts w:ascii="Arial" w:cs="Arial" w:eastAsia="Arial" w:hAnsi="Arial"/>
          <w:color w:val="333333"/>
          <w:sz w:val="22"/>
          <w:szCs w:val="22"/>
        </w:rPr>
        <w:t xml:space="preserve">4.2 Phase 2: Quick Wins (Days 31-60)</w:t>
      </w:r>
    </w:p>
    <w:p>
      <w:r>
        <w:rPr>
          <w:rFonts w:ascii="Arial" w:cs="Arial" w:eastAsia="Arial" w:hAnsi="Arial"/>
          <w:color w:val="333333"/>
          <w:sz w:val="22"/>
          <w:szCs w:val="22"/>
        </w:rPr>
        <w:t xml:space="preserve">Execute corporate overhead synergies. Commence freight consolidation negotiations. Launch cybersecurity uplift program. Begin SAP S/4HANA migration scoping with selected implementation partner.</w:t>
      </w:r>
    </w:p>
    <w:p>
      <w:r>
        <w:rPr>
          <w:rFonts w:ascii="Arial" w:cs="Arial" w:eastAsia="Arial" w:hAnsi="Arial"/>
          <w:color w:val="333333"/>
          <w:sz w:val="22"/>
          <w:szCs w:val="22"/>
        </w:rPr>
        <w:t xml:space="preserve"/>
      </w:r>
    </w:p>
    <w:p>
      <w:pPr>
        <w:pStyle w:val="Heading2"/>
      </w:pPr>
      <w:r>
        <w:rPr>
          <w:rFonts w:ascii="Arial" w:cs="Arial" w:eastAsia="Arial" w:hAnsi="Arial"/>
          <w:color w:val="333333"/>
          <w:sz w:val="22"/>
          <w:szCs w:val="22"/>
        </w:rPr>
        <w:t xml:space="preserve">4.3 Phase 3: Accelerate (Days 61-100)</w:t>
      </w:r>
    </w:p>
    <w:p>
      <w:r>
        <w:rPr>
          <w:rFonts w:ascii="Arial" w:cs="Arial" w:eastAsia="Arial" w:hAnsi="Arial"/>
          <w:color w:val="333333"/>
          <w:sz w:val="22"/>
          <w:szCs w:val="22"/>
        </w:rPr>
        <w:t xml:space="preserve">Present full integration roadmap to Wesfarmers Board. Commence supplier renegotiations for FY27. Finalise property strategy for lease renewals. Launch loyalty program integration feasibility. Deliver first integrated management reporting pack.</w:t>
      </w:r>
    </w:p>
    <w:p>
      <w:r>
        <w:rPr>
          <w:rFonts w:ascii="Arial" w:cs="Arial" w:eastAsia="Arial" w:hAnsi="Arial"/>
          <w:color w:val="333333"/>
          <w:sz w:val="22"/>
          <w:szCs w:val="22"/>
        </w:rPr>
        <w:t xml:space="preserve"/>
      </w:r>
    </w:p>
    <w:p>
      <w:pPr>
        <w:pStyle w:val="Heading1"/>
      </w:pPr>
      <w:r>
        <w:rPr>
          <w:rFonts w:ascii="Arial" w:cs="Arial" w:eastAsia="Arial" w:hAnsi="Arial"/>
          <w:color w:val="333333"/>
          <w:sz w:val="22"/>
          <w:szCs w:val="22"/>
        </w:rPr>
        <w:t xml:space="preserve">5. KEY INTEGRATION RISKS</w:t>
      </w:r>
    </w:p>
    <w:tbl>
      <w:tblPr>
        <w:tblW w:type="dxa" w:w="8400"/>
        <w:tblBorders>
          <w:top w:val="single" w:color="auto" w:sz="4"/>
          <w:left w:val="single" w:color="auto" w:sz="4"/>
          <w:bottom w:val="single" w:color="auto" w:sz="4"/>
          <w:right w:val="single" w:color="auto" w:sz="4"/>
          <w:insideH w:val="single" w:color="auto" w:sz="4"/>
          <w:insideV w:val="single" w:color="auto" w:sz="4"/>
        </w:tblBorders>
      </w:tblPr>
      <w:tblGrid>
        <w:gridCol w:w="2000"/>
        <w:gridCol w:w="1200"/>
        <w:gridCol w:w="1000"/>
        <w:gridCol w:w="4200"/>
      </w:tblGrid>
      <w:tr>
        <w:tc>
          <w:tcPr>
            <w:tcW w:type="dxa" w:w="2000"/>
            <w:tcBorders>
              <w:top w:val="single" w:color="CCCCCC" w:sz="1"/>
              <w:left w:val="single" w:color="CCCCCC" w:sz="1"/>
              <w:bottom w:val="single" w:color="CCCCCC" w:sz="1"/>
              <w:right w:val="single" w:color="CCCCCC" w:sz="1"/>
            </w:tcBorders>
            <w:shd w:fill="1B3A5C" w:val="clear"/>
            <w:tcMar>
              <w:top w:type="dxa" w:w="60"/>
              <w:left w:type="dxa" w:w="100"/>
              <w:bottom w:type="dxa" w:w="60"/>
              <w:right w:type="dxa" w:w="100"/>
            </w:tcMar>
          </w:tcPr>
          <w:p>
            <w:r>
              <w:rPr>
                <w:rFonts w:ascii="Arial" w:cs="Arial" w:eastAsia="Arial" w:hAnsi="Arial"/>
                <w:b/>
                <w:bCs/>
                <w:color w:val="FFFFFF"/>
                <w:sz w:val="18"/>
                <w:szCs w:val="18"/>
              </w:rPr>
              <w:t xml:space="preserve">Risk</w:t>
            </w:r>
          </w:p>
        </w:tc>
        <w:tc>
          <w:tcPr>
            <w:tcW w:type="dxa" w:w="1200"/>
            <w:tcBorders>
              <w:top w:val="single" w:color="CCCCCC" w:sz="1"/>
              <w:left w:val="single" w:color="CCCCCC" w:sz="1"/>
              <w:bottom w:val="single" w:color="CCCCCC" w:sz="1"/>
              <w:right w:val="single" w:color="CCCCCC" w:sz="1"/>
            </w:tcBorders>
            <w:shd w:fill="1B3A5C" w:val="clear"/>
            <w:tcMar>
              <w:top w:type="dxa" w:w="60"/>
              <w:left w:type="dxa" w:w="100"/>
              <w:bottom w:type="dxa" w:w="60"/>
              <w:right w:type="dxa" w:w="100"/>
            </w:tcMar>
          </w:tcPr>
          <w:p>
            <w:r>
              <w:rPr>
                <w:rFonts w:ascii="Arial" w:cs="Arial" w:eastAsia="Arial" w:hAnsi="Arial"/>
                <w:b/>
                <w:bCs/>
                <w:color w:val="FFFFFF"/>
                <w:sz w:val="18"/>
                <w:szCs w:val="18"/>
              </w:rPr>
              <w:t xml:space="preserve">Likelihood</w:t>
            </w:r>
          </w:p>
        </w:tc>
        <w:tc>
          <w:tcPr>
            <w:tcW w:type="dxa" w:w="1000"/>
            <w:tcBorders>
              <w:top w:val="single" w:color="CCCCCC" w:sz="1"/>
              <w:left w:val="single" w:color="CCCCCC" w:sz="1"/>
              <w:bottom w:val="single" w:color="CCCCCC" w:sz="1"/>
              <w:right w:val="single" w:color="CCCCCC" w:sz="1"/>
            </w:tcBorders>
            <w:shd w:fill="1B3A5C" w:val="clear"/>
            <w:tcMar>
              <w:top w:type="dxa" w:w="60"/>
              <w:left w:type="dxa" w:w="100"/>
              <w:bottom w:type="dxa" w:w="60"/>
              <w:right w:type="dxa" w:w="100"/>
            </w:tcMar>
          </w:tcPr>
          <w:p>
            <w:r>
              <w:rPr>
                <w:rFonts w:ascii="Arial" w:cs="Arial" w:eastAsia="Arial" w:hAnsi="Arial"/>
                <w:b/>
                <w:bCs/>
                <w:color w:val="FFFFFF"/>
                <w:sz w:val="18"/>
                <w:szCs w:val="18"/>
              </w:rPr>
              <w:t xml:space="preserve">Impact</w:t>
            </w:r>
          </w:p>
        </w:tc>
        <w:tc>
          <w:tcPr>
            <w:tcW w:type="dxa" w:w="4200"/>
            <w:tcBorders>
              <w:top w:val="single" w:color="CCCCCC" w:sz="1"/>
              <w:left w:val="single" w:color="CCCCCC" w:sz="1"/>
              <w:bottom w:val="single" w:color="CCCCCC" w:sz="1"/>
              <w:right w:val="single" w:color="CCCCCC" w:sz="1"/>
            </w:tcBorders>
            <w:shd w:fill="1B3A5C" w:val="clear"/>
            <w:tcMar>
              <w:top w:type="dxa" w:w="60"/>
              <w:left w:type="dxa" w:w="100"/>
              <w:bottom w:type="dxa" w:w="60"/>
              <w:right w:type="dxa" w:w="100"/>
            </w:tcMar>
          </w:tcPr>
          <w:p>
            <w:r>
              <w:rPr>
                <w:rFonts w:ascii="Arial" w:cs="Arial" w:eastAsia="Arial" w:hAnsi="Arial"/>
                <w:b/>
                <w:bCs/>
                <w:color w:val="FFFFFF"/>
                <w:sz w:val="18"/>
                <w:szCs w:val="18"/>
              </w:rPr>
              <w:t xml:space="preserve">Mitigation</w:t>
            </w:r>
          </w:p>
        </w:tc>
      </w:tr>
      <w:tr>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18"/>
                <w:szCs w:val="18"/>
              </w:rPr>
              <w:t xml:space="preserve">Key talent attrition</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18"/>
                <w:szCs w:val="18"/>
              </w:rPr>
              <w:t xml:space="preserve">Medium</w:t>
            </w:r>
          </w:p>
        </w:tc>
        <w:tc>
          <w:tcPr>
            <w:tcW w:type="dxa" w:w="1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18"/>
                <w:szCs w:val="18"/>
              </w:rPr>
              <w:t xml:space="preserve">High</w:t>
            </w:r>
          </w:p>
        </w:tc>
        <w:tc>
          <w:tcPr>
            <w:tcW w:type="dxa" w:w="4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18"/>
                <w:szCs w:val="18"/>
              </w:rPr>
              <w:t xml:space="preserve">Retention bonuses, clear career paths, cultural autonomy</w:t>
            </w:r>
          </w:p>
        </w:tc>
      </w:tr>
      <w:tr>
        <w:tc>
          <w:tcPr>
            <w:tcW w:type="dxa" w:w="2000"/>
            <w:tcBorders>
              <w:top w:val="single" w:color="CCCCCC" w:sz="1"/>
              <w:left w:val="single" w:color="CCCCCC" w:sz="1"/>
              <w:bottom w:val="single" w:color="CCCCCC" w:sz="1"/>
              <w:right w:val="single" w:color="CCCCCC" w:sz="1"/>
            </w:tcBorders>
            <w:shd w:fill="EDF2F7" w:val="clear"/>
            <w:tcMar>
              <w:top w:type="dxa" w:w="60"/>
              <w:left w:type="dxa" w:w="100"/>
              <w:bottom w:type="dxa" w:w="60"/>
              <w:right w:type="dxa" w:w="100"/>
            </w:tcMar>
          </w:tcPr>
          <w:p>
            <w:r>
              <w:rPr>
                <w:rFonts w:ascii="Arial" w:cs="Arial" w:eastAsia="Arial" w:hAnsi="Arial"/>
                <w:b w:val="false"/>
                <w:bCs w:val="false"/>
                <w:color w:val="333333"/>
                <w:sz w:val="18"/>
                <w:szCs w:val="18"/>
              </w:rPr>
              <w:t xml:space="preserve">Supplier disruption</w:t>
            </w:r>
          </w:p>
        </w:tc>
        <w:tc>
          <w:tcPr>
            <w:tcW w:type="dxa" w:w="1200"/>
            <w:tcBorders>
              <w:top w:val="single" w:color="CCCCCC" w:sz="1"/>
              <w:left w:val="single" w:color="CCCCCC" w:sz="1"/>
              <w:bottom w:val="single" w:color="CCCCCC" w:sz="1"/>
              <w:right w:val="single" w:color="CCCCCC" w:sz="1"/>
            </w:tcBorders>
            <w:shd w:fill="EDF2F7" w:val="clear"/>
            <w:tcMar>
              <w:top w:type="dxa" w:w="60"/>
              <w:left w:type="dxa" w:w="100"/>
              <w:bottom w:type="dxa" w:w="60"/>
              <w:right w:type="dxa" w:w="100"/>
            </w:tcMar>
          </w:tcPr>
          <w:p>
            <w:r>
              <w:rPr>
                <w:rFonts w:ascii="Arial" w:cs="Arial" w:eastAsia="Arial" w:hAnsi="Arial"/>
                <w:b w:val="false"/>
                <w:bCs w:val="false"/>
                <w:color w:val="333333"/>
                <w:sz w:val="18"/>
                <w:szCs w:val="18"/>
              </w:rPr>
              <w:t xml:space="preserve">Low</w:t>
            </w:r>
          </w:p>
        </w:tc>
        <w:tc>
          <w:tcPr>
            <w:tcW w:type="dxa" w:w="1000"/>
            <w:tcBorders>
              <w:top w:val="single" w:color="CCCCCC" w:sz="1"/>
              <w:left w:val="single" w:color="CCCCCC" w:sz="1"/>
              <w:bottom w:val="single" w:color="CCCCCC" w:sz="1"/>
              <w:right w:val="single" w:color="CCCCCC" w:sz="1"/>
            </w:tcBorders>
            <w:shd w:fill="EDF2F7" w:val="clear"/>
            <w:tcMar>
              <w:top w:type="dxa" w:w="60"/>
              <w:left w:type="dxa" w:w="100"/>
              <w:bottom w:type="dxa" w:w="60"/>
              <w:right w:type="dxa" w:w="100"/>
            </w:tcMar>
          </w:tcPr>
          <w:p>
            <w:r>
              <w:rPr>
                <w:rFonts w:ascii="Arial" w:cs="Arial" w:eastAsia="Arial" w:hAnsi="Arial"/>
                <w:b w:val="false"/>
                <w:bCs w:val="false"/>
                <w:color w:val="333333"/>
                <w:sz w:val="18"/>
                <w:szCs w:val="18"/>
              </w:rPr>
              <w:t xml:space="preserve">High</w:t>
            </w:r>
          </w:p>
        </w:tc>
        <w:tc>
          <w:tcPr>
            <w:tcW w:type="dxa" w:w="4200"/>
            <w:tcBorders>
              <w:top w:val="single" w:color="CCCCCC" w:sz="1"/>
              <w:left w:val="single" w:color="CCCCCC" w:sz="1"/>
              <w:bottom w:val="single" w:color="CCCCCC" w:sz="1"/>
              <w:right w:val="single" w:color="CCCCCC" w:sz="1"/>
            </w:tcBorders>
            <w:shd w:fill="EDF2F7" w:val="clear"/>
            <w:tcMar>
              <w:top w:type="dxa" w:w="60"/>
              <w:left w:type="dxa" w:w="100"/>
              <w:bottom w:type="dxa" w:w="60"/>
              <w:right w:type="dxa" w:w="100"/>
            </w:tcMar>
          </w:tcPr>
          <w:p>
            <w:r>
              <w:rPr>
                <w:rFonts w:ascii="Arial" w:cs="Arial" w:eastAsia="Arial" w:hAnsi="Arial"/>
                <w:b w:val="false"/>
                <w:bCs w:val="false"/>
                <w:color w:val="333333"/>
                <w:sz w:val="18"/>
                <w:szCs w:val="18"/>
              </w:rPr>
              <w:t xml:space="preserve">Proactive engagement, no immediate changes to terms</w:t>
            </w:r>
          </w:p>
        </w:tc>
      </w:tr>
      <w:tr>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18"/>
                <w:szCs w:val="18"/>
              </w:rPr>
              <w:t xml:space="preserve">Customer brand confusion</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18"/>
                <w:szCs w:val="18"/>
              </w:rPr>
              <w:t xml:space="preserve">Medium</w:t>
            </w:r>
          </w:p>
        </w:tc>
        <w:tc>
          <w:tcPr>
            <w:tcW w:type="dxa" w:w="1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18"/>
                <w:szCs w:val="18"/>
              </w:rPr>
              <w:t xml:space="preserve">Medium</w:t>
            </w:r>
          </w:p>
        </w:tc>
        <w:tc>
          <w:tcPr>
            <w:tcW w:type="dxa" w:w="4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18"/>
                <w:szCs w:val="18"/>
              </w:rPr>
              <w:t xml:space="preserve">Maintain HomeStyle independence, clear comms</w:t>
            </w:r>
          </w:p>
        </w:tc>
      </w:tr>
      <w:tr>
        <w:tc>
          <w:tcPr>
            <w:tcW w:type="dxa" w:w="2000"/>
            <w:tcBorders>
              <w:top w:val="single" w:color="CCCCCC" w:sz="1"/>
              <w:left w:val="single" w:color="CCCCCC" w:sz="1"/>
              <w:bottom w:val="single" w:color="CCCCCC" w:sz="1"/>
              <w:right w:val="single" w:color="CCCCCC" w:sz="1"/>
            </w:tcBorders>
            <w:shd w:fill="EDF2F7" w:val="clear"/>
            <w:tcMar>
              <w:top w:type="dxa" w:w="60"/>
              <w:left w:type="dxa" w:w="100"/>
              <w:bottom w:type="dxa" w:w="60"/>
              <w:right w:type="dxa" w:w="100"/>
            </w:tcMar>
          </w:tcPr>
          <w:p>
            <w:r>
              <w:rPr>
                <w:rFonts w:ascii="Arial" w:cs="Arial" w:eastAsia="Arial" w:hAnsi="Arial"/>
                <w:b w:val="false"/>
                <w:bCs w:val="false"/>
                <w:color w:val="333333"/>
                <w:sz w:val="18"/>
                <w:szCs w:val="18"/>
              </w:rPr>
              <w:t xml:space="preserve">IT system instability</w:t>
            </w:r>
          </w:p>
        </w:tc>
        <w:tc>
          <w:tcPr>
            <w:tcW w:type="dxa" w:w="1200"/>
            <w:tcBorders>
              <w:top w:val="single" w:color="CCCCCC" w:sz="1"/>
              <w:left w:val="single" w:color="CCCCCC" w:sz="1"/>
              <w:bottom w:val="single" w:color="CCCCCC" w:sz="1"/>
              <w:right w:val="single" w:color="CCCCCC" w:sz="1"/>
            </w:tcBorders>
            <w:shd w:fill="EDF2F7" w:val="clear"/>
            <w:tcMar>
              <w:top w:type="dxa" w:w="60"/>
              <w:left w:type="dxa" w:w="100"/>
              <w:bottom w:type="dxa" w:w="60"/>
              <w:right w:type="dxa" w:w="100"/>
            </w:tcMar>
          </w:tcPr>
          <w:p>
            <w:r>
              <w:rPr>
                <w:rFonts w:ascii="Arial" w:cs="Arial" w:eastAsia="Arial" w:hAnsi="Arial"/>
                <w:b w:val="false"/>
                <w:bCs w:val="false"/>
                <w:color w:val="333333"/>
                <w:sz w:val="18"/>
                <w:szCs w:val="18"/>
              </w:rPr>
              <w:t xml:space="preserve">Medium</w:t>
            </w:r>
          </w:p>
        </w:tc>
        <w:tc>
          <w:tcPr>
            <w:tcW w:type="dxa" w:w="1000"/>
            <w:tcBorders>
              <w:top w:val="single" w:color="CCCCCC" w:sz="1"/>
              <w:left w:val="single" w:color="CCCCCC" w:sz="1"/>
              <w:bottom w:val="single" w:color="CCCCCC" w:sz="1"/>
              <w:right w:val="single" w:color="CCCCCC" w:sz="1"/>
            </w:tcBorders>
            <w:shd w:fill="EDF2F7" w:val="clear"/>
            <w:tcMar>
              <w:top w:type="dxa" w:w="60"/>
              <w:left w:type="dxa" w:w="100"/>
              <w:bottom w:type="dxa" w:w="60"/>
              <w:right w:type="dxa" w:w="100"/>
            </w:tcMar>
          </w:tcPr>
          <w:p>
            <w:r>
              <w:rPr>
                <w:rFonts w:ascii="Arial" w:cs="Arial" w:eastAsia="Arial" w:hAnsi="Arial"/>
                <w:b w:val="false"/>
                <w:bCs w:val="false"/>
                <w:color w:val="333333"/>
                <w:sz w:val="18"/>
                <w:szCs w:val="18"/>
              </w:rPr>
              <w:t xml:space="preserve">High</w:t>
            </w:r>
          </w:p>
        </w:tc>
        <w:tc>
          <w:tcPr>
            <w:tcW w:type="dxa" w:w="4200"/>
            <w:tcBorders>
              <w:top w:val="single" w:color="CCCCCC" w:sz="1"/>
              <w:left w:val="single" w:color="CCCCCC" w:sz="1"/>
              <w:bottom w:val="single" w:color="CCCCCC" w:sz="1"/>
              <w:right w:val="single" w:color="CCCCCC" w:sz="1"/>
            </w:tcBorders>
            <w:shd w:fill="EDF2F7" w:val="clear"/>
            <w:tcMar>
              <w:top w:type="dxa" w:w="60"/>
              <w:left w:type="dxa" w:w="100"/>
              <w:bottom w:type="dxa" w:w="60"/>
              <w:right w:type="dxa" w:w="100"/>
            </w:tcMar>
          </w:tcPr>
          <w:p>
            <w:r>
              <w:rPr>
                <w:rFonts w:ascii="Arial" w:cs="Arial" w:eastAsia="Arial" w:hAnsi="Arial"/>
                <w:b w:val="false"/>
                <w:bCs w:val="false"/>
                <w:color w:val="333333"/>
                <w:sz w:val="18"/>
                <w:szCs w:val="18"/>
              </w:rPr>
              <w:t xml:space="preserve">Phased migration, TSA bridge, extensive UAT</w:t>
            </w:r>
          </w:p>
        </w:tc>
      </w:tr>
      <w:tr>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18"/>
                <w:szCs w:val="18"/>
              </w:rPr>
              <w:t xml:space="preserve">Synergy shortfall</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18"/>
                <w:szCs w:val="18"/>
              </w:rPr>
              <w:t xml:space="preserve">Low-Medium</w:t>
            </w:r>
          </w:p>
        </w:tc>
        <w:tc>
          <w:tcPr>
            <w:tcW w:type="dxa" w:w="1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18"/>
                <w:szCs w:val="18"/>
              </w:rPr>
              <w:t xml:space="preserve">Medium</w:t>
            </w:r>
          </w:p>
        </w:tc>
        <w:tc>
          <w:tcPr>
            <w:tcW w:type="dxa" w:w="4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18"/>
                <w:szCs w:val="18"/>
              </w:rPr>
              <w:t xml:space="preserve">Conservative base case, dedicated tracking</w:t>
            </w:r>
          </w:p>
        </w:tc>
      </w:tr>
      <w:tr>
        <w:tc>
          <w:tcPr>
            <w:tcW w:type="dxa" w:w="2000"/>
            <w:tcBorders>
              <w:top w:val="single" w:color="CCCCCC" w:sz="1"/>
              <w:left w:val="single" w:color="CCCCCC" w:sz="1"/>
              <w:bottom w:val="single" w:color="CCCCCC" w:sz="1"/>
              <w:right w:val="single" w:color="CCCCCC" w:sz="1"/>
            </w:tcBorders>
            <w:shd w:fill="EDF2F7" w:val="clear"/>
            <w:tcMar>
              <w:top w:type="dxa" w:w="60"/>
              <w:left w:type="dxa" w:w="100"/>
              <w:bottom w:type="dxa" w:w="60"/>
              <w:right w:type="dxa" w:w="100"/>
            </w:tcMar>
          </w:tcPr>
          <w:p>
            <w:r>
              <w:rPr>
                <w:rFonts w:ascii="Arial" w:cs="Arial" w:eastAsia="Arial" w:hAnsi="Arial"/>
                <w:b w:val="false"/>
                <w:bCs w:val="false"/>
                <w:color w:val="333333"/>
                <w:sz w:val="18"/>
                <w:szCs w:val="18"/>
              </w:rPr>
              <w:t xml:space="preserve">ACCC conditions required</w:t>
            </w:r>
          </w:p>
        </w:tc>
        <w:tc>
          <w:tcPr>
            <w:tcW w:type="dxa" w:w="1200"/>
            <w:tcBorders>
              <w:top w:val="single" w:color="CCCCCC" w:sz="1"/>
              <w:left w:val="single" w:color="CCCCCC" w:sz="1"/>
              <w:bottom w:val="single" w:color="CCCCCC" w:sz="1"/>
              <w:right w:val="single" w:color="CCCCCC" w:sz="1"/>
            </w:tcBorders>
            <w:shd w:fill="EDF2F7" w:val="clear"/>
            <w:tcMar>
              <w:top w:type="dxa" w:w="60"/>
              <w:left w:type="dxa" w:w="100"/>
              <w:bottom w:type="dxa" w:w="60"/>
              <w:right w:type="dxa" w:w="100"/>
            </w:tcMar>
          </w:tcPr>
          <w:p>
            <w:r>
              <w:rPr>
                <w:rFonts w:ascii="Arial" w:cs="Arial" w:eastAsia="Arial" w:hAnsi="Arial"/>
                <w:b w:val="false"/>
                <w:bCs w:val="false"/>
                <w:color w:val="333333"/>
                <w:sz w:val="18"/>
                <w:szCs w:val="18"/>
              </w:rPr>
              <w:t xml:space="preserve">Low</w:t>
            </w:r>
          </w:p>
        </w:tc>
        <w:tc>
          <w:tcPr>
            <w:tcW w:type="dxa" w:w="1000"/>
            <w:tcBorders>
              <w:top w:val="single" w:color="CCCCCC" w:sz="1"/>
              <w:left w:val="single" w:color="CCCCCC" w:sz="1"/>
              <w:bottom w:val="single" w:color="CCCCCC" w:sz="1"/>
              <w:right w:val="single" w:color="CCCCCC" w:sz="1"/>
            </w:tcBorders>
            <w:shd w:fill="EDF2F7" w:val="clear"/>
            <w:tcMar>
              <w:top w:type="dxa" w:w="60"/>
              <w:left w:type="dxa" w:w="100"/>
              <w:bottom w:type="dxa" w:w="60"/>
              <w:right w:type="dxa" w:w="100"/>
            </w:tcMar>
          </w:tcPr>
          <w:p>
            <w:r>
              <w:rPr>
                <w:rFonts w:ascii="Arial" w:cs="Arial" w:eastAsia="Arial" w:hAnsi="Arial"/>
                <w:b w:val="false"/>
                <w:bCs w:val="false"/>
                <w:color w:val="333333"/>
                <w:sz w:val="18"/>
                <w:szCs w:val="18"/>
              </w:rPr>
              <w:t xml:space="preserve">Medium-High</w:t>
            </w:r>
          </w:p>
        </w:tc>
        <w:tc>
          <w:tcPr>
            <w:tcW w:type="dxa" w:w="4200"/>
            <w:tcBorders>
              <w:top w:val="single" w:color="CCCCCC" w:sz="1"/>
              <w:left w:val="single" w:color="CCCCCC" w:sz="1"/>
              <w:bottom w:val="single" w:color="CCCCCC" w:sz="1"/>
              <w:right w:val="single" w:color="CCCCCC" w:sz="1"/>
            </w:tcBorders>
            <w:shd w:fill="EDF2F7" w:val="clear"/>
            <w:tcMar>
              <w:top w:type="dxa" w:w="60"/>
              <w:left w:type="dxa" w:w="100"/>
              <w:bottom w:type="dxa" w:w="60"/>
              <w:right w:type="dxa" w:w="100"/>
            </w:tcMar>
          </w:tcPr>
          <w:p>
            <w:r>
              <w:rPr>
                <w:rFonts w:ascii="Arial" w:cs="Arial" w:eastAsia="Arial" w:hAnsi="Arial"/>
                <w:b w:val="false"/>
                <w:bCs w:val="false"/>
                <w:color w:val="333333"/>
                <w:sz w:val="18"/>
                <w:szCs w:val="18"/>
              </w:rPr>
              <w:t xml:space="preserve">Proactive engagement, prepared divestiture options</w:t>
            </w:r>
          </w:p>
        </w:tc>
      </w:tr>
    </w:tbl>
    <w:sectPr>
      <w:headerReference w:type="default" r:id="rId6"/>
      <w:footerReference w:type="default" r:id="rId7"/>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666666"/>
        <w:sz w:val="14"/>
        <w:szCs w:val="14"/>
      </w:rPr>
      <w:t xml:space="preserve">Project Kingfisher  |  Page </w:t>
    </w:r>
    <w:r>
      <w:rPr>
        <w:rFonts w:ascii="Arial" w:cs="Arial" w:eastAsia="Arial" w:hAnsi="Arial"/>
        <w:color w:val="666666"/>
        <w:sz w:val="14"/>
        <w:szCs w:val="14"/>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Arial" w:cs="Arial" w:eastAsia="Arial" w:hAnsi="Arial"/>
        <w:b/>
        <w:bCs/>
        <w:color w:val="C8102E"/>
        <w:sz w:val="14"/>
        <w:szCs w:val="14"/>
      </w:rPr>
      <w:t xml:space="preserve">STRICTLY PRIVATE &amp; CONFIDENTIAL</w:t>
    </w:r>
    <w:r>
      <w:rPr>
        <w:rFonts w:ascii="Arial" w:cs="Arial" w:eastAsia="Arial" w:hAnsi="Arial"/>
        <w:color w:val="666666"/>
        <w:sz w:val="14"/>
        <w:szCs w:val="14"/>
      </w:rPr>
      <w:t xml:space="preserve">  |  Integration Planning Framework</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abstractNum w:abstractNumId="4" w15:restartNumberingAfterBreak="0">
    <w:multiLevelType w:val="hybridMultilevel"/>
    <w:lvl w:ilvl="0" w15:tentative="1">
      <w:start w:val="1"/>
      <w:numFmt w:val="lowerLetter"/>
      <w:lvlText w:val="(%1)"/>
      <w:lvlJc w:val="left"/>
      <w:pPr>
        <w:ind w:left="72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333333"/>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00" w:after="200"/>
      <w:outlineLvl w:val="0"/>
    </w:pPr>
    <w:rPr>
      <w:rFonts w:ascii="Arial" w:cs="Arial" w:eastAsia="Arial" w:hAnsi="Arial"/>
      <w:b/>
      <w:bCs/>
      <w:color w:val="1B3A5C"/>
      <w:sz w:val="30"/>
      <w:szCs w:val="30"/>
    </w:rPr>
  </w:style>
  <w:style w:type="paragraph" w:styleId="Heading2">
    <w:name w:val="Heading 2"/>
    <w:basedOn w:val="Normal"/>
    <w:next w:val="Normal"/>
    <w:qFormat/>
    <w:pPr>
      <w:spacing w:before="200" w:after="120"/>
      <w:outlineLvl w:val="1"/>
    </w:pPr>
    <w:rPr>
      <w:rFonts w:ascii="Arial" w:cs="Arial" w:eastAsia="Arial" w:hAnsi="Arial"/>
      <w:b/>
      <w:bCs/>
      <w:color w:val="333333"/>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2026-02-10T23:03:40.522Z</dcterms:created>
  <dcterms:modified xsi:type="dcterms:W3CDTF">2026-02-10T23:03:40.522Z</dcterms:modified>
</cp:coreProperties>
</file>

<file path=docProps/custom.xml><?xml version="1.0" encoding="utf-8"?>
<Properties xmlns="http://schemas.openxmlformats.org/officeDocument/2006/custom-properties" xmlns:vt="http://schemas.openxmlformats.org/officeDocument/2006/docPropsVTypes"/>
</file>