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Board Paper - Project Kingfisher</w:t>
      </w:r>
    </w:p>
    <w:p>
      <w:pPr>
        <w:spacing w:before="20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Recommendation to Approve Binding Offer</w:t>
      </w:r>
    </w:p>
    <w:p>
      <w:pPr>
        <w:spacing w:before="6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February 2026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Project Code: </w:t>
      </w:r>
      <w:r>
        <w:rPr>
          <w:rFonts w:ascii="Arial" w:cs="Arial" w:eastAsia="Arial" w:hAnsi="Arial"/>
          <w:sz w:val="22"/>
          <w:szCs w:val="22"/>
        </w:rPr>
        <w:t xml:space="preserve">WES-PKF-BOARD-001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Prepared for: </w:t>
      </w:r>
      <w:r>
        <w:rPr>
          <w:rFonts w:ascii="Arial" w:cs="Arial" w:eastAsia="Arial" w:hAnsi="Arial"/>
          <w:sz w:val="22"/>
          <w:szCs w:val="22"/>
        </w:rPr>
        <w:t xml:space="preserve">Wesfarmers Limited Board of Directors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Classification: </w:t>
      </w:r>
      <w:r>
        <w:rPr>
          <w:rFonts w:ascii="Arial" w:cs="Arial" w:eastAsia="Arial" w:hAnsi="Arial"/>
          <w:sz w:val="22"/>
          <w:szCs w:val="22"/>
        </w:rPr>
        <w:t xml:space="preserve">BOARD CONFIDENTIAL</w:t>
      </w:r>
    </w:p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C8102E"/>
          <w:sz w:val="18"/>
          <w:szCs w:val="18"/>
        </w:rPr>
        <w:t xml:space="preserve">STRICTLY PRIVATE &amp; CONFIDENTIAL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RECOMMENDATION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Management recommends that the Board approve the submission of a binding offer to acquire 100% of the issued capital of Target Co Pty Ltd at an Enterprise Value of $2.6 billion, subject to the conditions outlined in this paper.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TRANSACTION OVERVIEW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 Co Pty Ltd (trading as HomeStyle)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Sellers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Michael &amp; Sarah Chen (via Chen Family Trust)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Structure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 share acquisition, cash-free / debt-free, normalised working capital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Enterprise Value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$2,600 million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Implied EV/EBITDA (FY25E)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11.3x (pre-synergy) / 8.7x (post-synergy, run-rate)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Implied EV/EBITDA (FY26E)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9.8x (pre-synergy) / 7.8x (post-synergy, run-rate)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Funding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Existing facilities ($1,200m) + new debt ($800m) + equity placement ($600m)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Conditions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ACCC clearance, FIRB approval, key employee retention, no MAC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Expected Completion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September 2026</w:t>
            </w:r>
          </w:p>
        </w:tc>
      </w:tr>
    </w:tbl>
    <w:p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STRATEGIC RATIONALE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Market leadership: #1 position in the $18.9bn Australian home &amp; lifestyle market with 16.4% share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Complementary portfolio fit: Minimal cannibalisation with Bunnings (&lt;3%) and Kmart (&lt;2%)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Attractive growth: Revenue CAGR of 8.4% with structural tailwinds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Synergy potential: $45-65m p.a. run-rate (procurement, supply chain, corporate)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Digital upside: E-commerce penetration 10% vs 22-25% in comparable international markets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VALUATION ANALYSIS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 ($m)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 ($m)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 ($m)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DCF (WACC 8.5-9.5%)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$2,350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$2,650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$2,950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10-year model, 2.5% terminal growth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EV/EBITDA (Peers: 9-13x)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$2,050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$2,550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$2,970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Median peer multiple: 11.2x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EV/EBITDA (Precedent: 10-14x)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$2,280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$2,740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$3,190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Includes control premium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LBO (25% IRR floor)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$2,700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 sponsor benchmark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 range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$2,600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$2,800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Recommendation at mid-point</w:t>
            </w:r>
          </w:p>
        </w:tc>
      </w:tr>
    </w:tbl>
    <w:p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RETURNS ANALYSIS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3 ROIC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5 ROIC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EPS Accretion (Year 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Base case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11.4%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+3.8%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Upside case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9.7%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13.6%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+5.2%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Downside case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8.9%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+1.6%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WACC hurdle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</w:tbl>
    <w:p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FUNDING STRUCTURE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($m)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Existing revolving credit facility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$1,200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From existing $3.5bn committed facility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5-year term loan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$800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Indicative terms from CBA/Westpac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Institutional equity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$600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Underwritten by Macquarie/UBS (~4% discount)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$2,600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Pro-forma Net Debt/EBITDA: 2.1x (policy &lt;2.5x)</w:t>
            </w:r>
          </w:p>
        </w:tc>
      </w:tr>
    </w:tbl>
    <w:p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RESOLUTION</w:t>
      </w:r>
    </w:p>
    <w:p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 Board is asked to resolve that: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MD and CFO are authorised to submit a binding offer at an EV not exceeding $2,800,000,000;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MD and CFO are authorised to negotiate and execute the SPA and ancillary documents;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CFO is authorised to execute the funding arrangements described in Section 6; and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Company Secretary is directed to make all necessary ASX and regulatory notifications.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Project Kingfisher  |  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C8102E"/>
        <w:sz w:val="14"/>
        <w:szCs w:val="14"/>
      </w:rPr>
      <w:t xml:space="preserve">STRICTLY PRIVATE &amp; CONFIDENTIAL</w:t>
    </w:r>
    <w:r>
      <w:rPr>
        <w:rFonts w:ascii="Arial" w:cs="Arial" w:eastAsia="Arial" w:hAnsi="Arial"/>
        <w:color w:val="666666"/>
        <w:sz w:val="14"/>
        <w:szCs w:val="14"/>
      </w:rPr>
      <w:t xml:space="preserve">  |  Board Paper -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2026-02-10T23:03:40.564Z</dcterms:created>
  <dcterms:modified xsi:type="dcterms:W3CDTF">2026-02-10T23:03:40.564Z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