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Regulatory &amp; CP Tracker</w:t>
      </w:r>
    </w:p>
    <w:p>
      <w:pPr>
        <w:spacing w:before="20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Project Kingfisher - Status Update</w:t>
      </w:r>
    </w:p>
    <w:p>
      <w:pPr>
        <w:spacing w:before="6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31 January 2026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Project Code: </w:t>
      </w:r>
      <w:r>
        <w:rPr>
          <w:rFonts w:ascii="Arial" w:cs="Arial" w:eastAsia="Arial" w:hAnsi="Arial"/>
          <w:sz w:val="22"/>
          <w:szCs w:val="22"/>
        </w:rPr>
        <w:t xml:space="preserve">WES-PKF-REG-002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Prepared by: </w:t>
      </w:r>
      <w:r>
        <w:rPr>
          <w:rFonts w:ascii="Arial" w:cs="Arial" w:eastAsia="Arial" w:hAnsi="Arial"/>
          <w:sz w:val="22"/>
          <w:szCs w:val="22"/>
        </w:rPr>
        <w:t xml:space="preserve">Herbert Smith Freehills / Wesfarmers Legal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Updated: </w:t>
      </w:r>
      <w:r>
        <w:rPr>
          <w:rFonts w:ascii="Arial" w:cs="Arial" w:eastAsia="Arial" w:hAnsi="Arial"/>
          <w:sz w:val="22"/>
          <w:szCs w:val="22"/>
        </w:rPr>
        <w:t xml:space="preserve">Weekly (Every Friday)</w:t>
      </w:r>
    </w:p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C8102E"/>
          <w:sz w:val="18"/>
          <w:szCs w:val="18"/>
        </w:rPr>
        <w:t xml:space="preserve">STRICTLY PRIVATE &amp; CONFIDENTIAL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CONDITIONS PRECEDENT STATUS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000"/>
        <w:gridCol w:w="1200"/>
        <w:gridCol w:w="2600"/>
        <w:gridCol w:w="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ACCC Informal Clearance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Apr 2026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Pre-assessment lodged 20 Jan. Meeting 12 Feb.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FIRB No-Objection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Apr 2026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Application submitted 22 Jan. Screening expected 30 days.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Material Adverse Change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WES Corp Dev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Monitoring. No MAC events identified.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CP4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Third Party Consents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G+T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of 8 obtained. 3 outstanding.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CP5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Key Employee Retention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WES P&amp;C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of 8 signed. 2 outstanding (CTO, Head of Ecom).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Amber</w:t>
            </w:r>
          </w:p>
        </w:tc>
      </w:tr>
    </w:tbl>
    <w:p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ACCC ENGAGEMENT TIMELINE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1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 Jan 2026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Pre-assessment submission lodged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27 Jan 2026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ACCC acknowledged receipt, case team assigned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 Feb 2026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Initial meeting with ACCC Mergers branch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Feb-Mar 2026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ACCC market inquiries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Anticipated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 2026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Preliminary view communicated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Anticipated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Apr 2026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 decision / clearance letter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</w:t>
            </w:r>
          </w:p>
        </w:tc>
      </w:tr>
    </w:tbl>
    <w:p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2.1 Key Talking 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Combined market share 26.5% is well below typical ACCC concentration thresholds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Bunnings and HomeStyle serve distinct segments with limited substitutability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Strong competitive constraint from IKEA, Harvey Norman, and online competitors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store closures anticipated - acquisition supports growth and investment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OUTSTANDING THIRD PARTY CONSENTS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400"/>
        <w:gridCol w:w="2200"/>
        <w:gridCol w:w="1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Counterparty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Scentre 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 Westfield leases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Landlord consent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Sent 18 Jan. Meeting 5 Feb.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Vicinity Centres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 shopping centre leases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Landlord consent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Sent 18 Jan. Awaiting.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CBA syndicate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Senior secured facility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Lender consent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Discussion commenced.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Low-Med</w:t>
            </w:r>
          </w:p>
        </w:tc>
      </w:tr>
    </w:tbl>
    <w:p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NEXT 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 ACCC initial meeting (12 Feb) and provide supplementary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Follow up outstanding consents (target: all by end March)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Finalise retention for remaining 2 Tier 1 employees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Monitor Target monthly financials for MAC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Brief key customers and suppliers on ACCC talking points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Project Kingfisher  |  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C8102E"/>
        <w:sz w:val="14"/>
        <w:szCs w:val="14"/>
      </w:rPr>
      <w:t xml:space="preserve">STRICTLY PRIVATE &amp; CONFIDENTIAL</w:t>
    </w:r>
    <w:r>
      <w:rPr>
        <w:rFonts w:ascii="Arial" w:cs="Arial" w:eastAsia="Arial" w:hAnsi="Arial"/>
        <w:color w:val="666666"/>
        <w:sz w:val="14"/>
        <w:szCs w:val="14"/>
      </w:rPr>
      <w:t xml:space="preserve">  |  Regulatory &amp; CP Tracker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2026-02-10T23:03:40.589Z</dcterms:created>
  <dcterms:modified xsi:type="dcterms:W3CDTF">2026-02-10T23:03:40.589Z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