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r>
        <w:rPr>
          <w:rFonts w:ascii="Arial" w:cs="Arial" w:eastAsia="Arial" w:hAnsi="Arial"/>
          <w:b/>
          <w:bCs/>
          <w:color w:val="1B3A5C"/>
          <w:sz w:val="52"/>
          <w:szCs w:val="52"/>
        </w:rPr>
        <w:t xml:space="preserve">Process Letter &amp; Non-Disclosure Agreement</w:t>
      </w:r>
    </w:p>
    <w:p>
      <w:pPr>
        <w:spacing w:before="200"/>
      </w:pPr>
      <w:r>
        <w:rPr>
          <w:rFonts w:ascii="Arial" w:cs="Arial" w:eastAsia="Arial" w:hAnsi="Arial"/>
          <w:color w:val="666666"/>
          <w:sz w:val="28"/>
          <w:szCs w:val="28"/>
        </w:rPr>
        <w:t xml:space="preserve">Project Kingfisher - Bid Process Rules</w:t>
      </w:r>
    </w:p>
    <w:p>
      <w:pPr>
        <w:spacing w:before="600"/>
      </w:pPr>
      <w:r>
        <w:rPr>
          <w:rFonts w:ascii="Arial" w:cs="Arial" w:eastAsia="Arial" w:hAnsi="Arial"/>
          <w:b/>
          <w:bCs/>
          <w:sz w:val="22"/>
          <w:szCs w:val="22"/>
        </w:rPr>
        <w:t xml:space="preserve">Date: </w:t>
      </w:r>
      <w:r>
        <w:rPr>
          <w:rFonts w:ascii="Arial" w:cs="Arial" w:eastAsia="Arial" w:hAnsi="Arial"/>
          <w:sz w:val="22"/>
          <w:szCs w:val="22"/>
        </w:rPr>
        <w:t xml:space="preserve">December 2025</w:t>
      </w:r>
    </w:p>
    <w:p>
      <w:r>
        <w:rPr>
          <w:rFonts w:ascii="Arial" w:cs="Arial" w:eastAsia="Arial" w:hAnsi="Arial"/>
          <w:b/>
          <w:bCs/>
          <w:sz w:val="22"/>
          <w:szCs w:val="22"/>
        </w:rPr>
        <w:t xml:space="preserve">Project Code: </w:t>
      </w:r>
      <w:r>
        <w:rPr>
          <w:rFonts w:ascii="Arial" w:cs="Arial" w:eastAsia="Arial" w:hAnsi="Arial"/>
          <w:sz w:val="22"/>
          <w:szCs w:val="22"/>
        </w:rPr>
        <w:t xml:space="preserve">WES-PKF-NDA-001</w:t>
      </w:r>
    </w:p>
    <w:p>
      <w:r>
        <w:rPr>
          <w:rFonts w:ascii="Arial" w:cs="Arial" w:eastAsia="Arial" w:hAnsi="Arial"/>
          <w:b/>
          <w:bCs/>
          <w:sz w:val="22"/>
          <w:szCs w:val="22"/>
        </w:rPr>
        <w:t xml:space="preserve">Issued by: </w:t>
      </w:r>
      <w:r>
        <w:rPr>
          <w:rFonts w:ascii="Arial" w:cs="Arial" w:eastAsia="Arial" w:hAnsi="Arial"/>
          <w:sz w:val="22"/>
          <w:szCs w:val="22"/>
        </w:rPr>
        <w:t xml:space="preserve">Macquarie Capital (Financial Adviser to the Sellers)</w:t>
      </w:r>
    </w:p>
    <w:p>
      <w:r>
        <w:rPr>
          <w:rFonts w:ascii="Arial" w:cs="Arial" w:eastAsia="Arial" w:hAnsi="Arial"/>
          <w:b/>
          <w:bCs/>
          <w:sz w:val="22"/>
          <w:szCs w:val="22"/>
        </w:rPr>
        <w:t xml:space="preserve">Addressee: </w:t>
      </w:r>
      <w:r>
        <w:rPr>
          <w:rFonts w:ascii="Arial" w:cs="Arial" w:eastAsia="Arial" w:hAnsi="Arial"/>
          <w:sz w:val="22"/>
          <w:szCs w:val="22"/>
        </w:rPr>
        <w:t xml:space="preserve">Wesfarmers Limited</w:t>
      </w:r>
    </w:p>
    <w:p>
      <w:pPr>
        <w:spacing w:before="1200"/>
        <w:jc w:val="center"/>
      </w:pPr>
      <w:r>
        <w:rPr>
          <w:rFonts w:ascii="Arial" w:cs="Arial" w:eastAsia="Arial" w:hAnsi="Arial"/>
          <w:b/>
          <w:bCs/>
          <w:color w:val="C8102E"/>
          <w:sz w:val="18"/>
          <w:szCs w:val="18"/>
        </w:rPr>
        <w:t xml:space="preserve">STRICTLY PRIVATE &amp; CONFIDENTIAL</w:t>
      </w:r>
    </w:p>
    <w:p>
      <w:r>
        <w:br w:type="page"/>
      </w:r>
    </w:p>
    <w:p>
      <w:pPr>
        <w:pStyle w:val="Heading1"/>
      </w:pPr>
      <w:r>
        <w:rPr>
          <w:rFonts w:ascii="Arial" w:cs="Arial" w:eastAsia="Arial" w:hAnsi="Arial"/>
          <w:color w:val="333333"/>
          <w:sz w:val="22"/>
          <w:szCs w:val="22"/>
        </w:rPr>
        <w:t xml:space="preserve">PROCESS LETTER</w:t>
      </w:r>
    </w:p>
    <w:p>
      <w:r>
        <w:rPr>
          <w:rFonts w:ascii="Arial" w:cs="Arial" w:eastAsia="Arial" w:hAnsi="Arial"/>
          <w:color w:val="333333"/>
          <w:sz w:val="22"/>
          <w:szCs w:val="22"/>
        </w:rPr>
        <w:t xml:space="preserve"/>
      </w:r>
    </w:p>
    <w:p>
      <w:r>
        <w:rPr>
          <w:rFonts w:ascii="Arial" w:cs="Arial" w:eastAsia="Arial" w:hAnsi="Arial"/>
          <w:color w:val="333333"/>
          <w:sz w:val="22"/>
          <w:szCs w:val="22"/>
        </w:rPr>
        <w:t xml:space="preserve">Dear Board of Directors,</w:t>
      </w:r>
    </w:p>
    <w:p>
      <w:r>
        <w:rPr>
          <w:rFonts w:ascii="Arial" w:cs="Arial" w:eastAsia="Arial" w:hAnsi="Arial"/>
          <w:color w:val="333333"/>
          <w:sz w:val="22"/>
          <w:szCs w:val="22"/>
        </w:rPr>
        <w:t xml:space="preserve"/>
      </w:r>
    </w:p>
    <w:p>
      <w:r>
        <w:rPr>
          <w:rFonts w:ascii="Arial" w:cs="Arial" w:eastAsia="Arial" w:hAnsi="Arial"/>
          <w:color w:val="333333"/>
          <w:sz w:val="22"/>
          <w:szCs w:val="22"/>
        </w:rPr>
        <w:t xml:space="preserve">Macquarie Capital (Australia) Limited has been engaged by Michael and Sarah Chen (the "Sellers") as exclusive financial adviser in connection with the potential sale of 100% of the issued shares in Target Co Pty Ltd ("HomeStyle"). We are writing to invite Wesfarmers Limited to participate in a structured sale process on the terms outlined below.</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1. THE OPPORTUNITY</w:t>
      </w:r>
    </w:p>
    <w:p>
      <w:r>
        <w:rPr>
          <w:rFonts w:ascii="Arial" w:cs="Arial" w:eastAsia="Arial" w:hAnsi="Arial"/>
          <w:color w:val="333333"/>
          <w:sz w:val="22"/>
          <w:szCs w:val="22"/>
        </w:rPr>
        <w:t xml:space="preserve">HomeStyle is Australia's leading specialty retailer of home and lifestyle products, operating 187 stores nationally. The Company generated revenue of approximately $3.1 billion and EBITDA of approximately $228 million in FY25 (estimated). The Sellers are seeking to realise their investment in full through the sale of 100% of the share capital.</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2. PROCESS OVERVIEW</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8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Activity</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Indicative, non-binding proposals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Due: 14 February 2026</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Phase 2</w:t>
            </w:r>
          </w:p>
        </w:tc>
        <w:tc>
          <w:tcPr>
            <w:tcW w:type="dxa" w:w="4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Management presentations, site visits, confirmatory DD</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March - April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Binding offers and mark-up of draft SPA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Due: 30 April 2026</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Phase 4</w:t>
            </w:r>
          </w:p>
        </w:tc>
        <w:tc>
          <w:tcPr>
            <w:tcW w:type="dxa" w:w="4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Preferred bidder selection and SPA negotiation</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May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Regulatory approvals and completion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June - September 2026</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3. INDICATIVE OFFER REQUIREMENTS</w:t>
      </w:r>
    </w:p>
    <w:p>
      <w:r>
        <w:rPr>
          <w:rFonts w:ascii="Arial" w:cs="Arial" w:eastAsia="Arial" w:hAnsi="Arial"/>
          <w:color w:val="333333"/>
          <w:sz w:val="22"/>
          <w:szCs w:val="22"/>
        </w:rPr>
        <w:t xml:space="preserve">Indicative proposals should include:</w:t>
      </w:r>
    </w:p>
    <w:p>
      <w:pPr>
        <w:pStyle w:val="ListParagraph"/>
        <w:numPr>
          <w:ilvl w:val="0"/>
          <w:numId w:val="2"/>
        </w:numPr>
      </w:pPr>
      <w:r>
        <w:rPr>
          <w:rFonts w:ascii="Arial" w:cs="Arial" w:eastAsia="Arial" w:hAnsi="Arial"/>
          <w:color w:val="333333"/>
          <w:sz w:val="22"/>
          <w:szCs w:val="22"/>
        </w:rPr>
        <w:t xml:space="preserve">Proposed Enterprise Value (or range) on a cash-free, debt-free basis with normalised working capital</w:t>
      </w:r>
    </w:p>
    <w:p>
      <w:pPr>
        <w:pStyle w:val="ListParagraph"/>
        <w:numPr>
          <w:ilvl w:val="0"/>
          <w:numId w:val="2"/>
        </w:numPr>
      </w:pPr>
      <w:r>
        <w:rPr>
          <w:rFonts w:ascii="Arial" w:cs="Arial" w:eastAsia="Arial" w:hAnsi="Arial"/>
          <w:color w:val="333333"/>
          <w:sz w:val="22"/>
          <w:szCs w:val="22"/>
        </w:rPr>
        <w:t xml:space="preserve">Transaction structure and conditions (regulatory, financing, DD)</w:t>
      </w:r>
    </w:p>
    <w:p>
      <w:pPr>
        <w:pStyle w:val="ListParagraph"/>
        <w:numPr>
          <w:ilvl w:val="0"/>
          <w:numId w:val="2"/>
        </w:numPr>
      </w:pPr>
      <w:r>
        <w:rPr>
          <w:rFonts w:ascii="Arial" w:cs="Arial" w:eastAsia="Arial" w:hAnsi="Arial"/>
          <w:color w:val="333333"/>
          <w:sz w:val="22"/>
          <w:szCs w:val="22"/>
        </w:rPr>
        <w:t xml:space="preserve">Funding sources including committed financing and conditions to funding</w:t>
      </w:r>
    </w:p>
    <w:p>
      <w:pPr>
        <w:pStyle w:val="ListParagraph"/>
        <w:numPr>
          <w:ilvl w:val="0"/>
          <w:numId w:val="2"/>
        </w:numPr>
      </w:pPr>
      <w:r>
        <w:rPr>
          <w:rFonts w:ascii="Arial" w:cs="Arial" w:eastAsia="Arial" w:hAnsi="Arial"/>
          <w:color w:val="333333"/>
          <w:sz w:val="22"/>
          <w:szCs w:val="22"/>
        </w:rPr>
        <w:t xml:space="preserve">Timeline to completion including regulatory approval assessment</w:t>
      </w:r>
    </w:p>
    <w:p>
      <w:pPr>
        <w:pStyle w:val="ListParagraph"/>
        <w:numPr>
          <w:ilvl w:val="0"/>
          <w:numId w:val="2"/>
        </w:numPr>
      </w:pPr>
      <w:r>
        <w:rPr>
          <w:rFonts w:ascii="Arial" w:cs="Arial" w:eastAsia="Arial" w:hAnsi="Arial"/>
          <w:color w:val="333333"/>
          <w:sz w:val="22"/>
          <w:szCs w:val="22"/>
        </w:rPr>
        <w:t xml:space="preserve">Key due diligence areas for Phase 2</w:t>
      </w:r>
    </w:p>
    <w:p>
      <w:pPr>
        <w:pStyle w:val="ListParagraph"/>
        <w:numPr>
          <w:ilvl w:val="0"/>
          <w:numId w:val="2"/>
        </w:numPr>
      </w:pPr>
      <w:r>
        <w:rPr>
          <w:rFonts w:ascii="Arial" w:cs="Arial" w:eastAsia="Arial" w:hAnsi="Arial"/>
          <w:color w:val="333333"/>
          <w:sz w:val="22"/>
          <w:szCs w:val="22"/>
        </w:rPr>
        <w:t xml:space="preserve">Bid team details (key decision-makers, legal and financial advisers)</w:t>
      </w:r>
    </w:p>
    <w:p>
      <w:pPr>
        <w:pStyle w:val="ListParagraph"/>
        <w:numPr>
          <w:ilvl w:val="0"/>
          <w:numId w:val="2"/>
        </w:numPr>
      </w:pPr>
      <w:r>
        <w:rPr>
          <w:rFonts w:ascii="Arial" w:cs="Arial" w:eastAsia="Arial" w:hAnsi="Arial"/>
          <w:color w:val="333333"/>
          <w:sz w:val="22"/>
          <w:szCs w:val="22"/>
        </w:rPr>
        <w:t xml:space="preserve">Requirements regarding management retention, operational continuity, or brand strategy</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4. CONFIDENTIALITY AND DATA ROOM</w:t>
      </w:r>
    </w:p>
    <w:p>
      <w:r>
        <w:rPr>
          <w:rFonts w:ascii="Arial" w:cs="Arial" w:eastAsia="Arial" w:hAnsi="Arial"/>
          <w:color w:val="333333"/>
          <w:sz w:val="22"/>
          <w:szCs w:val="22"/>
        </w:rPr>
        <w:t xml:space="preserve">Access to confidential information is conditional upon execution of the enclosed Non-Disclosure Agreement (NDA). Key NDA provisions include:</w:t>
      </w:r>
    </w:p>
    <w:p>
      <w:pPr>
        <w:pStyle w:val="ListParagraph"/>
        <w:numPr>
          <w:ilvl w:val="0"/>
          <w:numId w:val="3"/>
        </w:numPr>
      </w:pPr>
      <w:r>
        <w:rPr>
          <w:rFonts w:ascii="Arial" w:cs="Arial" w:eastAsia="Arial" w:hAnsi="Arial"/>
          <w:color w:val="333333"/>
          <w:sz w:val="22"/>
          <w:szCs w:val="22"/>
        </w:rPr>
        <w:t xml:space="preserve">Standstill period of 12 months from date of NDA</w:t>
      </w:r>
    </w:p>
    <w:p>
      <w:pPr>
        <w:pStyle w:val="ListParagraph"/>
        <w:numPr>
          <w:ilvl w:val="0"/>
          <w:numId w:val="3"/>
        </w:numPr>
      </w:pPr>
      <w:r>
        <w:rPr>
          <w:rFonts w:ascii="Arial" w:cs="Arial" w:eastAsia="Arial" w:hAnsi="Arial"/>
          <w:color w:val="333333"/>
          <w:sz w:val="22"/>
          <w:szCs w:val="22"/>
        </w:rPr>
        <w:t xml:space="preserve">Non-solicitation of Company employees for 24 months</w:t>
      </w:r>
    </w:p>
    <w:p>
      <w:pPr>
        <w:pStyle w:val="ListParagraph"/>
        <w:numPr>
          <w:ilvl w:val="0"/>
          <w:numId w:val="3"/>
        </w:numPr>
      </w:pPr>
      <w:r>
        <w:rPr>
          <w:rFonts w:ascii="Arial" w:cs="Arial" w:eastAsia="Arial" w:hAnsi="Arial"/>
          <w:color w:val="333333"/>
          <w:sz w:val="22"/>
          <w:szCs w:val="22"/>
        </w:rPr>
        <w:t xml:space="preserve">Restriction on disclosure of Process existence</w:t>
      </w:r>
    </w:p>
    <w:p>
      <w:pPr>
        <w:pStyle w:val="ListParagraph"/>
        <w:numPr>
          <w:ilvl w:val="0"/>
          <w:numId w:val="3"/>
        </w:numPr>
      </w:pPr>
      <w:r>
        <w:rPr>
          <w:rFonts w:ascii="Arial" w:cs="Arial" w:eastAsia="Arial" w:hAnsi="Arial"/>
          <w:color w:val="333333"/>
          <w:sz w:val="22"/>
          <w:szCs w:val="22"/>
        </w:rPr>
        <w:t xml:space="preserve">Obligation to return or destroy all confidential information upon request</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5. EXCLUSIVITY AND PROCESS RIGHTS</w:t>
      </w:r>
    </w:p>
    <w:p>
      <w:r>
        <w:rPr>
          <w:rFonts w:ascii="Arial" w:cs="Arial" w:eastAsia="Arial" w:hAnsi="Arial"/>
          <w:color w:val="333333"/>
          <w:sz w:val="22"/>
          <w:szCs w:val="22"/>
        </w:rPr>
        <w:t xml:space="preserve">The Sellers reserve the right to:</w:t>
      </w:r>
    </w:p>
    <w:p>
      <w:pPr>
        <w:pStyle w:val="ListParagraph"/>
        <w:numPr>
          <w:ilvl w:val="0"/>
          <w:numId w:val="3"/>
        </w:numPr>
      </w:pPr>
      <w:r>
        <w:rPr>
          <w:rFonts w:ascii="Arial" w:cs="Arial" w:eastAsia="Arial" w:hAnsi="Arial"/>
          <w:color w:val="333333"/>
          <w:sz w:val="22"/>
          <w:szCs w:val="22"/>
        </w:rPr>
        <w:t xml:space="preserve">Amend the Process and timeline at any time without notice</w:t>
      </w:r>
    </w:p>
    <w:p>
      <w:pPr>
        <w:pStyle w:val="ListParagraph"/>
        <w:numPr>
          <w:ilvl w:val="0"/>
          <w:numId w:val="3"/>
        </w:numPr>
      </w:pPr>
      <w:r>
        <w:rPr>
          <w:rFonts w:ascii="Arial" w:cs="Arial" w:eastAsia="Arial" w:hAnsi="Arial"/>
          <w:color w:val="333333"/>
          <w:sz w:val="22"/>
          <w:szCs w:val="22"/>
        </w:rPr>
        <w:t xml:space="preserve">Accept or reject any proposal at their sole discretion</w:t>
      </w:r>
    </w:p>
    <w:p>
      <w:pPr>
        <w:pStyle w:val="ListParagraph"/>
        <w:numPr>
          <w:ilvl w:val="0"/>
          <w:numId w:val="3"/>
        </w:numPr>
      </w:pPr>
      <w:r>
        <w:rPr>
          <w:rFonts w:ascii="Arial" w:cs="Arial" w:eastAsia="Arial" w:hAnsi="Arial"/>
          <w:color w:val="333333"/>
          <w:sz w:val="22"/>
          <w:szCs w:val="22"/>
        </w:rPr>
        <w:t xml:space="preserve">Grant exclusivity to a preferred bidder during Phase 4</w:t>
      </w:r>
    </w:p>
    <w:p>
      <w:pPr>
        <w:pStyle w:val="ListParagraph"/>
        <w:numPr>
          <w:ilvl w:val="0"/>
          <w:numId w:val="3"/>
        </w:numPr>
      </w:pPr>
      <w:r>
        <w:rPr>
          <w:rFonts w:ascii="Arial" w:cs="Arial" w:eastAsia="Arial" w:hAnsi="Arial"/>
          <w:color w:val="333333"/>
          <w:sz w:val="22"/>
          <w:szCs w:val="22"/>
        </w:rPr>
        <w:t xml:space="preserve">Terminate the Process at any time without liability</w:t>
      </w:r>
    </w:p>
    <w:p>
      <w:pPr>
        <w:pStyle w:val="ListParagraph"/>
        <w:numPr>
          <w:ilvl w:val="0"/>
          <w:numId w:val="3"/>
        </w:numPr>
      </w:pPr>
      <w:r>
        <w:rPr>
          <w:rFonts w:ascii="Arial" w:cs="Arial" w:eastAsia="Arial" w:hAnsi="Arial"/>
          <w:color w:val="333333"/>
          <w:sz w:val="22"/>
          <w:szCs w:val="22"/>
        </w:rPr>
        <w:t xml:space="preserve">Request additional information or references at any stage</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6. DISCLAIMER</w:t>
      </w:r>
    </w:p>
    <w:p>
      <w:r>
        <w:rPr>
          <w:rFonts w:ascii="Arial" w:cs="Arial" w:eastAsia="Arial" w:hAnsi="Arial"/>
          <w:color w:val="333333"/>
          <w:sz w:val="22"/>
          <w:szCs w:val="22"/>
        </w:rPr>
        <w:t xml:space="preserve">Neither the Sellers nor Macquarie Capital makes any representation or warranty as to the accuracy or completeness of information provided. The Bidder must rely on its own investigations and analysis. Macquarie Capital is acting exclusively as adviser to the Sellers and owes no duty to any Bidder.</w:t>
      </w:r>
    </w:p>
    <w:p>
      <w:r>
        <w:rPr>
          <w:rFonts w:ascii="Arial" w:cs="Arial" w:eastAsia="Arial" w:hAnsi="Arial"/>
          <w:color w:val="333333"/>
          <w:sz w:val="22"/>
          <w:szCs w:val="22"/>
        </w:rPr>
        <w:t xml:space="preserve"/>
      </w:r>
    </w:p>
    <w:p>
      <w:r>
        <w:rPr>
          <w:rFonts w:ascii="Arial" w:cs="Arial" w:eastAsia="Arial" w:hAnsi="Arial"/>
          <w:color w:val="333333"/>
          <w:sz w:val="22"/>
          <w:szCs w:val="22"/>
        </w:rPr>
        <w:t xml:space="preserve">Please confirm your interest and return the executed NDA by 5:00pm AEDT on 20 December 2025.</w:t>
      </w:r>
    </w:p>
    <w:p>
      <w:r>
        <w:rPr>
          <w:rFonts w:ascii="Arial" w:cs="Arial" w:eastAsia="Arial" w:hAnsi="Arial"/>
          <w:color w:val="333333"/>
          <w:sz w:val="22"/>
          <w:szCs w:val="22"/>
        </w:rPr>
        <w:t xml:space="preserve"/>
      </w:r>
    </w:p>
    <w:p>
      <w:pPr>
        <w:spacing w:before="400"/>
      </w:pPr>
      <w:r>
        <w:rPr>
          <w:rFonts w:ascii="Arial" w:cs="Arial" w:eastAsia="Arial" w:hAnsi="Arial"/>
          <w:color w:val="333333"/>
          <w:sz w:val="22"/>
          <w:szCs w:val="22"/>
        </w:rPr>
        <w:t xml:space="preserve">Yours faithfully,</w:t>
      </w:r>
    </w:p>
    <w:p>
      <w:r>
        <w:rPr>
          <w:rFonts w:ascii="Arial" w:cs="Arial" w:eastAsia="Arial" w:hAnsi="Arial"/>
          <w:color w:val="333333"/>
          <w:sz w:val="22"/>
          <w:szCs w:val="22"/>
        </w:rPr>
        <w:t xml:space="preserve"/>
      </w:r>
    </w:p>
    <w:p>
      <w:r>
        <w:rPr>
          <w:rFonts w:ascii="Arial" w:cs="Arial" w:eastAsia="Arial" w:hAnsi="Arial"/>
          <w:b/>
          <w:bCs/>
          <w:color w:val="333333"/>
          <w:sz w:val="22"/>
          <w:szCs w:val="22"/>
        </w:rPr>
        <w:t xml:space="preserve">Sophie Hartley</w:t>
      </w:r>
    </w:p>
    <w:p>
      <w:r>
        <w:rPr>
          <w:rFonts w:ascii="Arial" w:cs="Arial" w:eastAsia="Arial" w:hAnsi="Arial"/>
          <w:color w:val="333333"/>
          <w:sz w:val="22"/>
          <w:szCs w:val="22"/>
        </w:rPr>
        <w:t xml:space="preserve">Managing Director, Mergers &amp; Acquisitions</w:t>
      </w:r>
    </w:p>
    <w:p>
      <w:r>
        <w:rPr>
          <w:rFonts w:ascii="Arial" w:cs="Arial" w:eastAsia="Arial" w:hAnsi="Arial"/>
          <w:color w:val="333333"/>
          <w:sz w:val="22"/>
          <w:szCs w:val="22"/>
        </w:rPr>
        <w:t xml:space="preserve">Macquarie Capital (Australia) Limited</w:t>
      </w:r>
    </w:p>
    <w:p>
      <w:r>
        <w:rPr>
          <w:rFonts w:ascii="Arial" w:cs="Arial" w:eastAsia="Arial" w:hAnsi="Arial"/>
          <w:color w:val="333333"/>
          <w:sz w:val="22"/>
          <w:szCs w:val="22"/>
        </w:rPr>
        <w:t xml:space="preserve">Level 6, 50 Martin Place, Sydney NSW 2000</w:t>
      </w:r>
    </w:p>
    <w:p>
      <w:r>
        <w:rPr>
          <w:rFonts w:ascii="Arial" w:cs="Arial" w:eastAsia="Arial" w:hAnsi="Arial"/>
          <w:color w:val="333333"/>
          <w:sz w:val="22"/>
          <w:szCs w:val="22"/>
        </w:rPr>
        <w:t xml:space="preserve"/>
      </w:r>
    </w:p>
    <w:p>
      <w:r>
        <w:rPr>
          <w:rFonts w:ascii="Arial" w:cs="Arial" w:eastAsia="Arial" w:hAnsi="Arial"/>
          <w:color w:val="333333"/>
          <w:sz w:val="22"/>
          <w:szCs w:val="22"/>
        </w:rPr>
        <w:t xml:space="preserve"/>
      </w:r>
    </w:p>
    <w:p>
      <w:pPr>
        <w:spacing w:before="400"/>
      </w:pPr>
      <w:r>
        <w:rPr>
          <w:rFonts w:ascii="Arial" w:cs="Arial" w:eastAsia="Arial" w:hAnsi="Arial"/>
          <w:b/>
          <w:bCs/>
          <w:color w:val="333333"/>
          <w:sz w:val="22"/>
          <w:szCs w:val="22"/>
        </w:rPr>
        <w:t xml:space="preserve">[ANNEXURE A: NON-DISCLOSURE AGREEMENT - 18 PAGES]</w:t>
      </w:r>
    </w:p>
    <w:p>
      <w:r>
        <w:rPr>
          <w:rFonts w:ascii="Arial" w:cs="Arial" w:eastAsia="Arial" w:hAnsi="Arial"/>
          <w:b/>
          <w:bCs/>
          <w:color w:val="333333"/>
          <w:sz w:val="22"/>
          <w:szCs w:val="22"/>
        </w:rPr>
        <w:t xml:space="preserve">[ANNEXURE B: CLEAN TEAM DEED POLL - 6 PAGES]</w:t>
      </w:r>
    </w:p>
    <w:p>
      <w:r>
        <w:rPr>
          <w:rFonts w:ascii="Arial" w:cs="Arial" w:eastAsia="Arial" w:hAnsi="Arial"/>
          <w:b/>
          <w:bCs/>
          <w:color w:val="333333"/>
          <w:sz w:val="22"/>
          <w:szCs w:val="22"/>
        </w:rPr>
        <w:t xml:space="preserve">[ANNEXURE C: CONFIDENTIALITY UNDERTAKING (INDIVIDUAL FORM) - 4 PAGES]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Project Kingfisher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8102E"/>
        <w:sz w:val="14"/>
        <w:szCs w:val="14"/>
      </w:rPr>
      <w:t xml:space="preserve">STRICTLY PRIVATE &amp; CONFIDENTIAL</w:t>
    </w:r>
    <w:r>
      <w:rPr>
        <w:rFonts w:ascii="Arial" w:cs="Arial" w:eastAsia="Arial" w:hAnsi="Arial"/>
        <w:color w:val="666666"/>
        <w:sz w:val="14"/>
        <w:szCs w:val="14"/>
      </w:rPr>
      <w:t xml:space="preserve">  |  Process Letter &amp; 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2026-02-10T23:03:40.608Z</dcterms:created>
  <dcterms:modified xsi:type="dcterms:W3CDTF">2026-02-10T23:03:40.608Z</dcterms:modified>
</cp:coreProperties>
</file>

<file path=docProps/custom.xml><?xml version="1.0" encoding="utf-8"?>
<Properties xmlns="http://schemas.openxmlformats.org/officeDocument/2006/custom-properties" xmlns:vt="http://schemas.openxmlformats.org/officeDocument/2006/docPropsVTypes"/>
</file>