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CRBN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iShares MSCI ACWI Low Carbon Target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CRBN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CRBN tracks an index of stocks from global firms selected for a bias toward lower carbon emissions, but with tight constraints to the broad, marketlike ACWI index.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198 of 220</w:t>
            </w:r>
          </w:p>
        </w:tc>
        <w:tc>
          <w:tcPr>
            <w:tcW w:type="dxa" w:w="2880"/>
          </w:tcPr>
          <w:p>
            <w:r>
              <w:t>-0.05%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110 of 217</w:t>
            </w:r>
          </w:p>
        </w:tc>
        <w:tc>
          <w:tcPr>
            <w:tcW w:type="dxa" w:w="2880"/>
          </w:tcPr>
          <w:p>
            <w:r>
              <w:t>1.12%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170 of 211</w:t>
            </w:r>
          </w:p>
        </w:tc>
        <w:tc>
          <w:tcPr>
            <w:tcW w:type="dxa" w:w="2880"/>
          </w:tcPr>
          <w:p>
            <w:r>
              <w:t>1.36%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133 of 201</w:t>
            </w:r>
          </w:p>
        </w:tc>
        <w:tc>
          <w:tcPr>
            <w:tcW w:type="dxa" w:w="2880"/>
          </w:tcPr>
          <w:p>
            <w:r>
              <w:t>11.37%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163 of 199</w:t>
            </w:r>
          </w:p>
        </w:tc>
        <w:tc>
          <w:tcPr>
            <w:tcW w:type="dxa" w:w="2880"/>
          </w:tcPr>
          <w:p>
            <w:r>
              <w:t>14.68%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144 of 183</w:t>
            </w:r>
          </w:p>
        </w:tc>
        <w:tc>
          <w:tcPr>
            <w:tcW w:type="dxa" w:w="2880"/>
          </w:tcPr>
          <w:p>
            <w:r>
              <w:t>0.89%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111 of 127</w:t>
            </w:r>
          </w:p>
        </w:tc>
        <w:tc>
          <w:tcPr>
            <w:tcW w:type="dxa" w:w="2880"/>
          </w:tcPr>
          <w:p>
            <w:r>
              <w:t>35.97%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42of 223</w:t>
            </w:r>
          </w:p>
        </w:tc>
        <w:tc>
          <w:tcPr>
            <w:tcW w:type="dxa" w:w="2880"/>
          </w:tcPr>
          <w:p>
            <w:r>
              <w:t>114.49%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183of 216</w:t>
            </w:r>
          </w:p>
        </w:tc>
        <w:tc>
          <w:tcPr>
            <w:tcW w:type="dxa" w:w="2880"/>
          </w:tcPr>
          <w:p>
            <w:r>
              <w:t>12.00%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159of 212</w:t>
            </w:r>
          </w:p>
        </w:tc>
        <w:tc>
          <w:tcPr>
            <w:tcW w:type="dxa" w:w="2880"/>
          </w:tcPr>
          <w:p>
            <w:r>
              <w:t>11.59%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153of 203</w:t>
            </w:r>
          </w:p>
        </w:tc>
        <w:tc>
          <w:tcPr>
            <w:tcW w:type="dxa" w:w="2880"/>
          </w:tcPr>
          <w:p>
            <w:r>
              <w:t>10.95%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133of 212</w:t>
            </w:r>
          </w:p>
        </w:tc>
        <w:tc>
          <w:tcPr>
            <w:tcW w:type="dxa" w:w="2880"/>
          </w:tcPr>
          <w:p>
            <w:r>
              <w:t>0.97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35of 181</w:t>
            </w:r>
          </w:p>
        </w:tc>
        <w:tc>
          <w:tcPr>
            <w:tcW w:type="dxa" w:w="2880"/>
          </w:tcPr>
          <w:p>
            <w:r>
              <w:t>4.50%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12.00%</w:t>
            </w:r>
          </w:p>
        </w:tc>
        <w:tc>
          <w:tcPr>
            <w:tcW w:type="dxa" w:w="2160"/>
          </w:tcPr>
          <w:p>
            <w:r>
              <w:t>14.33</w:t>
            </w:r>
          </w:p>
        </w:tc>
        <w:tc>
          <w:tcPr>
            <w:tcW w:type="dxa" w:w="2160"/>
          </w:tcPr>
          <w:p>
            <w:r>
              <w:t>16.04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5.73</w:t>
            </w:r>
          </w:p>
        </w:tc>
        <w:tc>
          <w:tcPr>
            <w:tcW w:type="dxa" w:w="2160"/>
          </w:tcPr>
          <w:p>
            <w:r>
              <w:t>10.03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99.35</w:t>
            </w:r>
          </w:p>
        </w:tc>
        <w:tc>
          <w:tcPr>
            <w:tcW w:type="dxa" w:w="2160"/>
          </w:tcPr>
          <w:p>
            <w:r>
              <w:t>10.85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9.15</w:t>
            </w:r>
          </w:p>
        </w:tc>
        <w:tc>
          <w:tcPr>
            <w:tcW w:type="dxa" w:w="2160"/>
          </w:tcPr>
          <w:p>
            <w:r>
              <w:t>2.72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1.37</w:t>
            </w:r>
          </w:p>
        </w:tc>
        <w:tc>
          <w:tcPr>
            <w:tcW w:type="dxa" w:w="2160"/>
          </w:tcPr>
          <w:p>
            <w:r>
              <w:t>2.41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5.80</w:t>
            </w:r>
          </w:p>
        </w:tc>
        <w:tc>
          <w:tcPr>
            <w:tcW w:type="dxa" w:w="2160"/>
          </w:tcPr>
          <w:p>
            <w:r>
              <w:t>-4.02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17.50</w:t>
            </w:r>
          </w:p>
        </w:tc>
        <w:tc>
          <w:tcPr>
            <w:tcW w:type="dxa" w:w="2160"/>
          </w:tcPr>
          <w:p>
            <w:r>
              <w:t>25.80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44.21</w:t>
            </w:r>
          </w:p>
        </w:tc>
        <w:tc>
          <w:tcPr>
            <w:tcW w:type="dxa" w:w="2160"/>
          </w:tcPr>
          <w:p>
            <w:r>
              <w:t>30.90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34.55</w:t>
            </w:r>
          </w:p>
        </w:tc>
        <w:tc>
          <w:tcPr>
            <w:tcW w:type="dxa" w:w="2160"/>
          </w:tcPr>
          <w:p>
            <w:r>
              <w:t>21.26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-10.46</w:t>
            </w:r>
          </w:p>
        </w:tc>
        <w:tc>
          <w:tcPr>
            <w:tcW w:type="dxa" w:w="2160"/>
          </w:tcPr>
          <w:p>
            <w:r>
              <w:t>3.01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15.23</w:t>
            </w:r>
          </w:p>
        </w:tc>
        <w:tc>
          <w:tcPr>
            <w:tcW w:type="dxa" w:w="2160"/>
          </w:tcPr>
          <w:p>
            <w:r>
              <w:t>6.82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17.87</w:t>
            </w:r>
          </w:p>
        </w:tc>
        <w:tc>
          <w:tcPr>
            <w:tcW w:type="dxa" w:w="2160"/>
          </w:tcPr>
          <w:p>
            <w:r>
              <w:t>65.18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64.07</w:t>
            </w:r>
          </w:p>
        </w:tc>
        <w:tc>
          <w:tcPr>
            <w:tcW w:type="dxa" w:w="2160"/>
          </w:tcPr>
          <w:p>
            <w:r>
              <w:t>32.87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28.02</w:t>
            </w:r>
          </w:p>
        </w:tc>
        <w:tc>
          <w:tcPr>
            <w:tcW w:type="dxa" w:w="2160"/>
          </w:tcPr>
          <w:p>
            <w:r>
              <w:t>27.85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-4.05</w:t>
            </w:r>
          </w:p>
        </w:tc>
        <w:tc>
          <w:tcPr>
            <w:tcW w:type="dxa" w:w="2160"/>
          </w:tcPr>
          <w:p>
            <w:r>
              <w:t>-7.24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1,763.32</w:t>
            </w:r>
          </w:p>
        </w:tc>
        <w:tc>
          <w:tcPr>
            <w:tcW w:type="dxa" w:w="2160"/>
          </w:tcPr>
          <w:p>
            <w:r>
              <w:t>215.48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6.76</w:t>
            </w:r>
          </w:p>
        </w:tc>
        <w:tc>
          <w:tcPr>
            <w:tcW w:type="dxa" w:w="2160"/>
          </w:tcPr>
          <w:p>
            <w:r>
              <w:t>-17.51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-2.77</w:t>
            </w:r>
          </w:p>
        </w:tc>
        <w:tc>
          <w:tcPr>
            <w:tcW w:type="dxa" w:w="2160"/>
          </w:tcPr>
          <w:p>
            <w:r>
              <w:t>-11.46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4.98</w:t>
            </w:r>
          </w:p>
        </w:tc>
        <w:tc>
          <w:tcPr>
            <w:tcW w:type="dxa" w:w="2160"/>
          </w:tcPr>
          <w:p>
            <w:r>
              <w:t>8.25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3.16</w:t>
            </w:r>
          </w:p>
        </w:tc>
        <w:tc>
          <w:tcPr>
            <w:tcW w:type="dxa" w:w="2160"/>
          </w:tcPr>
          <w:p>
            <w:r>
              <w:t>6.75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18.46</w:t>
            </w:r>
          </w:p>
        </w:tc>
        <w:tc>
          <w:tcPr>
            <w:tcW w:type="dxa" w:w="2160"/>
          </w:tcPr>
          <w:p>
            <w:r>
              <w:t>14.22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AMZN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440"/>
          </w:tcPr>
          <w:p>
            <w:r>
              <w:t>2.09%</w:t>
            </w:r>
          </w:p>
        </w:tc>
        <w:tc>
          <w:tcPr>
            <w:tcW w:type="dxa" w:w="1440"/>
          </w:tcPr>
          <w:p>
            <w:r>
              <w:t>2.01%</w:t>
            </w:r>
          </w:p>
        </w:tc>
        <w:tc>
          <w:tcPr>
            <w:tcW w:type="dxa" w:w="1440"/>
          </w:tcPr>
          <w:p>
            <w:r>
              <w:t>1.69%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0.92%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440"/>
          </w:tcPr>
          <w:p>
            <w:r>
              <w:t>1.01T</w:t>
            </w:r>
          </w:p>
        </w:tc>
        <w:tc>
          <w:tcPr>
            <w:tcW w:type="dxa" w:w="1440"/>
          </w:tcPr>
          <w:p>
            <w:r>
              <w:t>886.81B</w:t>
            </w:r>
          </w:p>
        </w:tc>
        <w:tc>
          <w:tcPr>
            <w:tcW w:type="dxa" w:w="1440"/>
          </w:tcPr>
          <w:p>
            <w:r>
              <w:t>920.5B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517.6B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440"/>
          </w:tcPr>
          <w:p>
            <w:r>
              <w:t>29.43</w:t>
            </w:r>
          </w:p>
        </w:tc>
        <w:tc>
          <w:tcPr>
            <w:tcW w:type="dxa" w:w="1440"/>
          </w:tcPr>
          <w:p>
            <w:r>
              <w:t>16.21</w:t>
            </w:r>
          </w:p>
        </w:tc>
        <w:tc>
          <w:tcPr>
            <w:tcW w:type="dxa" w:w="1440"/>
          </w:tcPr>
          <w:p>
            <w:r>
              <w:t>78.05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26.91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440"/>
          </w:tcPr>
          <w:p>
            <w:r>
              <w:t>25.92</w:t>
            </w:r>
          </w:p>
        </w:tc>
        <w:tc>
          <w:tcPr>
            <w:tcW w:type="dxa" w:w="1440"/>
          </w:tcPr>
          <w:p>
            <w:r>
              <w:t>15.24</w:t>
            </w:r>
          </w:p>
        </w:tc>
        <w:tc>
          <w:tcPr>
            <w:tcW w:type="dxa" w:w="1440"/>
          </w:tcPr>
          <w:p>
            <w:r>
              <w:t>48.83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19.44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440"/>
          </w:tcPr>
          <w:p>
            <w:r>
              <w:t>1.81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1.04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1.35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440"/>
          </w:tcPr>
          <w:p>
            <w:r>
              <w:t>8.30</w:t>
            </w:r>
          </w:p>
        </w:tc>
        <w:tc>
          <w:tcPr>
            <w:tcW w:type="dxa" w:w="1440"/>
          </w:tcPr>
          <w:p>
            <w:r>
              <w:t>3.43</w:t>
            </w:r>
          </w:p>
        </w:tc>
        <w:tc>
          <w:tcPr>
            <w:tcW w:type="dxa" w:w="1440"/>
          </w:tcPr>
          <w:p>
            <w:r>
              <w:t>3.81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8.78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440"/>
          </w:tcPr>
          <w:p>
            <w:r>
              <w:t>10.70</w:t>
            </w:r>
          </w:p>
        </w:tc>
        <w:tc>
          <w:tcPr>
            <w:tcW w:type="dxa" w:w="1440"/>
          </w:tcPr>
          <w:p>
            <w:r>
              <w:t>8.39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5.99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440"/>
          </w:tcPr>
          <w:p>
            <w:r>
              <w:t>7.93</w:t>
            </w:r>
          </w:p>
        </w:tc>
        <w:tc>
          <w:tcPr>
            <w:tcW w:type="dxa" w:w="1440"/>
          </w:tcPr>
          <w:p>
            <w:r>
              <w:t>3.58</w:t>
            </w:r>
          </w:p>
        </w:tc>
        <w:tc>
          <w:tcPr>
            <w:tcW w:type="dxa" w:w="1440"/>
          </w:tcPr>
          <w:p>
            <w:r>
              <w:t>3.91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7.95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440"/>
          </w:tcPr>
          <w:p>
            <w:r>
              <w:t>18.70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30.07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17.06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440"/>
          </w:tcPr>
          <w:p>
            <w:r>
              <w:t>28.58%</w:t>
            </w:r>
          </w:p>
        </w:tc>
        <w:tc>
          <w:tcPr>
            <w:tcW w:type="dxa" w:w="1440"/>
          </w:tcPr>
          <w:p>
            <w:r>
              <w:t>22.12%</w:t>
            </w:r>
          </w:p>
        </w:tc>
        <w:tc>
          <w:tcPr>
            <w:tcW w:type="dxa" w:w="1440"/>
          </w:tcPr>
          <w:p>
            <w:r>
              <w:t>4.97%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33.17%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440"/>
          </w:tcPr>
          <w:p>
            <w:r>
              <w:t>10.06%</w:t>
            </w:r>
          </w:p>
        </w:tc>
        <w:tc>
          <w:tcPr>
            <w:tcW w:type="dxa" w:w="1440"/>
          </w:tcPr>
          <w:p>
            <w:r>
              <w:t>11.54%</w:t>
            </w:r>
          </w:p>
        </w:tc>
        <w:tc>
          <w:tcPr>
            <w:tcW w:type="dxa" w:w="1440"/>
          </w:tcPr>
          <w:p>
            <w:r>
              <w:t>6.12%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14.35%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440"/>
          </w:tcPr>
          <w:p>
            <w:r>
              <w:t>40.12%</w:t>
            </w:r>
          </w:p>
        </w:tc>
        <w:tc>
          <w:tcPr>
            <w:tcW w:type="dxa" w:w="1440"/>
          </w:tcPr>
          <w:p>
            <w:r>
              <w:t>49.13%</w:t>
            </w:r>
          </w:p>
        </w:tc>
        <w:tc>
          <w:tcPr>
            <w:tcW w:type="dxa" w:w="1440"/>
          </w:tcPr>
          <w:p>
            <w:r>
              <w:t>30.06%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23.83%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440"/>
          </w:tcPr>
          <w:p>
            <w:r>
              <w:t>14.00%</w:t>
            </w:r>
          </w:p>
        </w:tc>
        <w:tc>
          <w:tcPr>
            <w:tcW w:type="dxa" w:w="1440"/>
          </w:tcPr>
          <w:p>
            <w:r>
              <w:t>-5.10%</w:t>
            </w:r>
          </w:p>
        </w:tc>
        <w:tc>
          <w:tcPr>
            <w:tcW w:type="dxa" w:w="1440"/>
          </w:tcPr>
          <w:p>
            <w:r>
              <w:t>17.00%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26.00%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440"/>
          </w:tcPr>
          <w:p>
            <w:r>
              <w:t>51.85B</w:t>
            </w:r>
          </w:p>
        </w:tc>
        <w:tc>
          <w:tcPr>
            <w:tcW w:type="dxa" w:w="1440"/>
          </w:tcPr>
          <w:p>
            <w:r>
              <w:t>77.34B</w:t>
            </w:r>
          </w:p>
        </w:tc>
        <w:tc>
          <w:tcPr>
            <w:tcW w:type="dxa" w:w="1440"/>
          </w:tcPr>
          <w:p>
            <w:r>
              <w:t>31.44B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27.46B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440"/>
          </w:tcPr>
          <w:p>
            <w:r>
              <w:t>18.70%</w:t>
            </w:r>
          </w:p>
        </w:tc>
        <w:tc>
          <w:tcPr>
            <w:tcW w:type="dxa" w:w="1440"/>
          </w:tcPr>
          <w:p>
            <w:r>
              <w:t>-16.40%</w:t>
            </w:r>
          </w:p>
        </w:tc>
        <w:tc>
          <w:tcPr>
            <w:tcW w:type="dxa" w:w="1440"/>
          </w:tcPr>
          <w:p>
            <w:r>
              <w:t>118.60%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-51.30%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59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440"/>
          </w:tcPr>
          <w:p>
            <w:r>
              <w:t>95th percentile</w:t>
            </w:r>
          </w:p>
        </w:tc>
        <w:tc>
          <w:tcPr>
            <w:tcW w:type="dxa" w:w="1440"/>
          </w:tcPr>
          <w:p>
            <w:r>
              <w:t>79th percentile</w:t>
            </w:r>
          </w:p>
        </w:tc>
        <w:tc>
          <w:tcPr>
            <w:tcW w:type="dxa" w:w="1440"/>
          </w:tcPr>
          <w:p>
            <w:r>
              <w:t>13th percentile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78th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62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440"/>
          </w:tcPr>
          <w:p>
            <w:r>
              <w:t>95th percentile</w:t>
            </w:r>
          </w:p>
        </w:tc>
        <w:tc>
          <w:tcPr>
            <w:tcW w:type="dxa" w:w="1440"/>
          </w:tcPr>
          <w:p>
            <w:r>
              <w:t>98th percentile</w:t>
            </w:r>
          </w:p>
        </w:tc>
        <w:tc>
          <w:tcPr>
            <w:tcW w:type="dxa" w:w="1440"/>
          </w:tcPr>
          <w:p>
            <w:r>
              <w:t>33rd percentile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77th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440"/>
          </w:tcPr>
          <w:p>
            <w:r>
              <w:t>97th percentile</w:t>
            </w:r>
          </w:p>
        </w:tc>
        <w:tc>
          <w:tcPr>
            <w:tcW w:type="dxa" w:w="1440"/>
          </w:tcPr>
          <w:p>
            <w:r>
              <w:t>44th percentile</w:t>
            </w:r>
          </w:p>
        </w:tc>
        <w:tc>
          <w:tcPr>
            <w:tcW w:type="dxa" w:w="1440"/>
          </w:tcPr>
          <w:p>
            <w:r>
              <w:t>31st percentile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94th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42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440"/>
          </w:tcPr>
          <w:p>
            <w:r>
              <w:t>89th percentile</w:t>
            </w:r>
          </w:p>
        </w:tc>
        <w:tc>
          <w:tcPr>
            <w:tcW w:type="dxa" w:w="1440"/>
          </w:tcPr>
          <w:p>
            <w:r>
              <w:t>41st percentile</w:t>
            </w:r>
          </w:p>
        </w:tc>
        <w:tc>
          <w:tcPr>
            <w:tcW w:type="dxa" w:w="1440"/>
          </w:tcPr>
          <w:p>
            <w:r>
              <w:t>3rd percentile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Consumer Cyclical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Technology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440"/>
          </w:tcPr>
          <w:p>
            <w:r>
              <w:t>Software - Infrastructure</w:t>
            </w:r>
          </w:p>
        </w:tc>
        <w:tc>
          <w:tcPr>
            <w:tcW w:type="dxa" w:w="1440"/>
          </w:tcPr>
          <w:p>
            <w:r>
              <w:t>Consumer Electronics</w:t>
            </w:r>
          </w:p>
        </w:tc>
        <w:tc>
          <w:tcPr>
            <w:tcW w:type="dxa" w:w="1440"/>
          </w:tcPr>
          <w:p>
            <w:r>
              <w:t>Specialty Retail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Internet Content &amp; Information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440"/>
          </w:tcPr>
          <w:p>
            <w:r>
              <w:t>34.3 % For Mar 31 2019</w:t>
            </w:r>
          </w:p>
        </w:tc>
        <w:tc>
          <w:tcPr>
            <w:tcW w:type="dxa" w:w="1440"/>
          </w:tcPr>
          <w:p>
            <w:r>
              <w:t>32.38 % For Dec 29 2018</w:t>
            </w:r>
          </w:p>
        </w:tc>
        <w:tc>
          <w:tcPr>
            <w:tcW w:type="dxa" w:w="1440"/>
          </w:tcPr>
          <w:p>
            <w:r>
              <w:t>16.12 % For Mar 31 2019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32.08 % For Mar 31 2019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440"/>
          </w:tcPr>
          <w:p>
            <w:r>
              <w:t>66.73% for March 31, 2019</w:t>
            </w:r>
          </w:p>
        </w:tc>
        <w:tc>
          <w:tcPr>
            <w:tcW w:type="dxa" w:w="1440"/>
          </w:tcPr>
          <w:p>
            <w:r>
              <w:t>37.61% for March 31, 2019</w:t>
            </w:r>
          </w:p>
        </w:tc>
        <w:tc>
          <w:tcPr>
            <w:tcW w:type="dxa" w:w="1440"/>
          </w:tcPr>
          <w:p>
            <w:r>
              <w:t>28.78% for March 31, 2019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81.32% for March 31, 2019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440"/>
          </w:tcPr>
          <w:p>
            <w:r>
              <w:t>28.81 % For Mar 31 2019</w:t>
            </w:r>
          </w:p>
        </w:tc>
        <w:tc>
          <w:tcPr>
            <w:tcW w:type="dxa" w:w="1440"/>
          </w:tcPr>
          <w:p>
            <w:r>
              <w:t>23.68 % For Dec 29 2018</w:t>
            </w:r>
          </w:p>
        </w:tc>
        <w:tc>
          <w:tcPr>
            <w:tcW w:type="dxa" w:w="1440"/>
          </w:tcPr>
          <w:p>
            <w:r>
              <w:t>5.96 % For Mar 31 2019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16.11 % For Mar 31 2019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BBB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5.71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--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57.76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9.27%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5.82%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64.06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