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SDG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iShares MSCI Global Impact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SDG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SDG tracks an index composed of companies whose revenues are driven by products and services that address at least one of the United Nation's Sustainable Development Goals.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72 of 143</w:t>
            </w:r>
          </w:p>
        </w:tc>
        <w:tc>
          <w:tcPr>
            <w:tcW w:type="dxa" w:w="2880"/>
          </w:tcPr>
          <w:p>
            <w:r>
              <w:t>0.42%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24 of 141</w:t>
            </w:r>
          </w:p>
        </w:tc>
        <w:tc>
          <w:tcPr>
            <w:tcW w:type="dxa" w:w="2880"/>
          </w:tcPr>
          <w:p>
            <w:r>
              <w:t>1.62%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118 of 138</w:t>
            </w:r>
          </w:p>
        </w:tc>
        <w:tc>
          <w:tcPr>
            <w:tcW w:type="dxa" w:w="2880"/>
          </w:tcPr>
          <w:p>
            <w:r>
              <w:t>-1.71%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100 of 131</w:t>
            </w:r>
          </w:p>
        </w:tc>
        <w:tc>
          <w:tcPr>
            <w:tcW w:type="dxa" w:w="2880"/>
          </w:tcPr>
          <w:p>
            <w:r>
              <w:t>6.35%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109 of 131</w:t>
            </w:r>
          </w:p>
        </w:tc>
        <w:tc>
          <w:tcPr>
            <w:tcW w:type="dxa" w:w="2880"/>
          </w:tcPr>
          <w:p>
            <w:r>
              <w:t>8.68%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80 of 125</w:t>
            </w:r>
          </w:p>
        </w:tc>
        <w:tc>
          <w:tcPr>
            <w:tcW w:type="dxa" w:w="2880"/>
          </w:tcPr>
          <w:p>
            <w:r>
              <w:t>-1.09%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49 of 83</w:t>
            </w:r>
          </w:p>
        </w:tc>
        <w:tc>
          <w:tcPr>
            <w:tcW w:type="dxa" w:w="2880"/>
          </w:tcPr>
          <w:p>
            <w:r>
              <w:t>28.95%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84of 142</w:t>
            </w:r>
          </w:p>
        </w:tc>
        <w:tc>
          <w:tcPr>
            <w:tcW w:type="dxa" w:w="2880"/>
          </w:tcPr>
          <w:p>
            <w:r>
              <w:t>46.86%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63of 140</w:t>
            </w:r>
          </w:p>
        </w:tc>
        <w:tc>
          <w:tcPr>
            <w:tcW w:type="dxa" w:w="2880"/>
          </w:tcPr>
          <w:p>
            <w:r>
              <w:t>12.84%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73of 138</w:t>
            </w:r>
          </w:p>
        </w:tc>
        <w:tc>
          <w:tcPr>
            <w:tcW w:type="dxa" w:w="2880"/>
          </w:tcPr>
          <w:p>
            <w:r>
              <w:t>11.70%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47of 134</w:t>
            </w:r>
          </w:p>
        </w:tc>
        <w:tc>
          <w:tcPr>
            <w:tcW w:type="dxa" w:w="2880"/>
          </w:tcPr>
          <w:p>
            <w:r>
              <w:t>11.55%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111of 138</w:t>
            </w:r>
          </w:p>
        </w:tc>
        <w:tc>
          <w:tcPr>
            <w:tcW w:type="dxa" w:w="2880"/>
          </w:tcPr>
          <w:p>
            <w:r>
              <w:t>0.76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34of 121</w:t>
            </w:r>
          </w:p>
        </w:tc>
        <w:tc>
          <w:tcPr>
            <w:tcW w:type="dxa" w:w="2880"/>
          </w:tcPr>
          <w:p>
            <w:r>
              <w:t>1.91%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12.84%</w:t>
            </w:r>
          </w:p>
        </w:tc>
        <w:tc>
          <w:tcPr>
            <w:tcW w:type="dxa" w:w="2160"/>
          </w:tcPr>
          <w:p>
            <w:r>
              <w:t>4.12</w:t>
            </w:r>
          </w:p>
        </w:tc>
        <w:tc>
          <w:tcPr>
            <w:tcW w:type="dxa" w:w="2160"/>
          </w:tcPr>
          <w:p>
            <w:r>
              <w:t>10.10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4.39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1.19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91.24</w:t>
            </w:r>
          </w:p>
        </w:tc>
        <w:tc>
          <w:tcPr>
            <w:tcW w:type="dxa" w:w="2160"/>
          </w:tcPr>
          <w:p>
            <w:r>
              <w:t>9.74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8.05</w:t>
            </w:r>
          </w:p>
        </w:tc>
        <w:tc>
          <w:tcPr>
            <w:tcW w:type="dxa" w:w="2160"/>
          </w:tcPr>
          <w:p>
            <w:r>
              <w:t>2.30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5.39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1.21</w:t>
            </w:r>
          </w:p>
        </w:tc>
        <w:tc>
          <w:tcPr>
            <w:tcW w:type="dxa" w:w="2160"/>
          </w:tcPr>
          <w:p>
            <w:r>
              <w:t>15.20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13.04</w:t>
            </w:r>
          </w:p>
        </w:tc>
        <w:tc>
          <w:tcPr>
            <w:tcW w:type="dxa" w:w="2160"/>
          </w:tcPr>
          <w:p>
            <w:r>
              <w:t>30.51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46.83</w:t>
            </w:r>
          </w:p>
        </w:tc>
        <w:tc>
          <w:tcPr>
            <w:tcW w:type="dxa" w:w="2160"/>
          </w:tcPr>
          <w:p>
            <w:r>
              <w:t>29.17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38.39</w:t>
            </w:r>
          </w:p>
        </w:tc>
        <w:tc>
          <w:tcPr>
            <w:tcW w:type="dxa" w:w="2160"/>
          </w:tcPr>
          <w:p>
            <w:r>
              <w:t>22.58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-210.28</w:t>
            </w:r>
          </w:p>
        </w:tc>
        <w:tc>
          <w:tcPr>
            <w:tcW w:type="dxa" w:w="2160"/>
          </w:tcPr>
          <w:p>
            <w:r>
              <w:t>-4.95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15.67</w:t>
            </w:r>
          </w:p>
        </w:tc>
        <w:tc>
          <w:tcPr>
            <w:tcW w:type="dxa" w:w="2160"/>
          </w:tcPr>
          <w:p>
            <w:r>
              <w:t>5.46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-238.74</w:t>
            </w:r>
          </w:p>
        </w:tc>
        <w:tc>
          <w:tcPr>
            <w:tcW w:type="dxa" w:w="2160"/>
          </w:tcPr>
          <w:p>
            <w:r>
              <w:t>-11.93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61.98</w:t>
            </w:r>
          </w:p>
        </w:tc>
        <w:tc>
          <w:tcPr>
            <w:tcW w:type="dxa" w:w="2160"/>
          </w:tcPr>
          <w:p>
            <w:r>
              <w:t>31.49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4.69</w:t>
            </w:r>
          </w:p>
        </w:tc>
        <w:tc>
          <w:tcPr>
            <w:tcW w:type="dxa" w:w="2160"/>
          </w:tcPr>
          <w:p>
            <w:r>
              <w:t>10.57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6.66</w:t>
            </w:r>
          </w:p>
        </w:tc>
        <w:tc>
          <w:tcPr>
            <w:tcW w:type="dxa" w:w="2160"/>
          </w:tcPr>
          <w:p>
            <w:r>
              <w:t>5.83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85.58</w:t>
            </w:r>
          </w:p>
        </w:tc>
        <w:tc>
          <w:tcPr>
            <w:tcW w:type="dxa" w:w="2160"/>
          </w:tcPr>
          <w:p>
            <w:r>
              <w:t>22.50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-0.39</w:t>
            </w:r>
          </w:p>
        </w:tc>
        <w:tc>
          <w:tcPr>
            <w:tcW w:type="dxa" w:w="2160"/>
          </w:tcPr>
          <w:p>
            <w:r>
              <w:t>12.96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-0.30</w:t>
            </w:r>
          </w:p>
        </w:tc>
        <w:tc>
          <w:tcPr>
            <w:tcW w:type="dxa" w:w="2160"/>
          </w:tcPr>
          <w:p>
            <w:r>
              <w:t>10.36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9.03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2.89</w:t>
            </w:r>
          </w:p>
        </w:tc>
        <w:tc>
          <w:tcPr>
            <w:tcW w:type="dxa" w:w="2160"/>
          </w:tcPr>
          <w:p>
            <w:r>
              <w:t>8.48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16.34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0.46%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0.49%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2160"/>
          </w:tcPr>
          <w:p>
            <w:r>
              <w:t>EDU</w:t>
            </w:r>
          </w:p>
        </w:tc>
        <w:tc>
          <w:tcPr>
            <w:tcW w:type="dxa" w:w="2160"/>
          </w:tcPr>
          <w:p>
            <w:r>
              <w:t>TSLA</w:t>
            </w:r>
          </w:p>
        </w:tc>
        <w:tc>
          <w:tcPr>
            <w:tcW w:type="dxa" w:w="2160"/>
          </w:tcPr>
          <w:p>
            <w:r>
              <w:t>PG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r>
              <w:t>4.14%</w:t>
            </w:r>
          </w:p>
        </w:tc>
        <w:tc>
          <w:tcPr>
            <w:tcW w:type="dxa" w:w="2160"/>
          </w:tcPr>
          <w:p>
            <w:r>
              <w:t>4.10%</w:t>
            </w:r>
          </w:p>
        </w:tc>
        <w:tc>
          <w:tcPr>
            <w:tcW w:type="dxa" w:w="2160"/>
          </w:tcPr>
          <w:p>
            <w:r>
              <w:t>4.08%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2160"/>
          </w:tcPr>
          <w:p>
            <w:r>
              <w:t>14.4B</w:t>
            </w:r>
          </w:p>
        </w:tc>
        <w:tc>
          <w:tcPr>
            <w:tcW w:type="dxa" w:w="2160"/>
          </w:tcPr>
          <w:p>
            <w:r>
              <w:t>38.3B</w:t>
            </w:r>
          </w:p>
        </w:tc>
        <w:tc>
          <w:tcPr>
            <w:tcW w:type="dxa" w:w="2160"/>
          </w:tcPr>
          <w:p>
            <w:r>
              <w:t>278.93B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2160"/>
          </w:tcPr>
          <w:p>
            <w:r>
              <w:t>55.34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26.45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2160"/>
          </w:tcPr>
          <w:p>
            <w:r>
              <w:t>27.01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23.46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2160"/>
          </w:tcPr>
          <w:p>
            <w:r>
              <w:t>1.40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3.77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2160"/>
          </w:tcPr>
          <w:p>
            <w:r>
              <w:t>4.87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2160"/>
          </w:tcPr>
          <w:p>
            <w:r>
              <w:t>6.92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5.15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2160"/>
          </w:tcPr>
          <w:p>
            <w:r>
              <w:t>4.02</w:t>
            </w:r>
          </w:p>
        </w:tc>
        <w:tc>
          <w:tcPr>
            <w:tcW w:type="dxa" w:w="2160"/>
          </w:tcPr>
          <w:p>
            <w:r>
              <w:t>2.18</w:t>
            </w:r>
          </w:p>
        </w:tc>
        <w:tc>
          <w:tcPr>
            <w:tcW w:type="dxa" w:w="2160"/>
          </w:tcPr>
          <w:p>
            <w:r>
              <w:t>4.50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2160"/>
          </w:tcPr>
          <w:p>
            <w:r>
              <w:t>31.41</w:t>
            </w:r>
          </w:p>
        </w:tc>
        <w:tc>
          <w:tcPr>
            <w:tcW w:type="dxa" w:w="2160"/>
          </w:tcPr>
          <w:p>
            <w:r>
              <w:t>27.30</w:t>
            </w:r>
          </w:p>
        </w:tc>
        <w:tc>
          <w:tcPr>
            <w:tcW w:type="dxa" w:w="2160"/>
          </w:tcPr>
          <w:p>
            <w:r>
              <w:t>17.07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2160"/>
          </w:tcPr>
          <w:p>
            <w:r>
              <w:t>8.80%</w:t>
            </w:r>
          </w:p>
        </w:tc>
        <w:tc>
          <w:tcPr>
            <w:tcW w:type="dxa" w:w="2160"/>
          </w:tcPr>
          <w:p>
            <w:r>
              <w:t>-4.29%</w:t>
            </w:r>
          </w:p>
        </w:tc>
        <w:tc>
          <w:tcPr>
            <w:tcW w:type="dxa" w:w="2160"/>
          </w:tcPr>
          <w:p>
            <w:r>
              <w:t>16.44%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2160"/>
          </w:tcPr>
          <w:p>
            <w:r>
              <w:t>4.52%</w:t>
            </w:r>
          </w:p>
        </w:tc>
        <w:tc>
          <w:tcPr>
            <w:tcW w:type="dxa" w:w="2160"/>
          </w:tcPr>
          <w:p>
            <w:r>
              <w:t>-0.30%</w:t>
            </w:r>
          </w:p>
        </w:tc>
        <w:tc>
          <w:tcPr>
            <w:tcW w:type="dxa" w:w="2160"/>
          </w:tcPr>
          <w:p>
            <w:r>
              <w:t>7.59%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2160"/>
          </w:tcPr>
          <w:p>
            <w:r>
              <w:t>11.61%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20.08%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2160"/>
          </w:tcPr>
          <w:p>
            <w:r>
              <w:t>28.90%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1.10%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2160"/>
          </w:tcPr>
          <w:p>
            <w:r>
              <w:t>378.33M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17.7B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2160"/>
          </w:tcPr>
          <w:p>
            <w:r>
              <w:t>42.50%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9.30%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63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2160"/>
          </w:tcPr>
          <w:p>
            <w:r>
              <w:t>5th percentile</w:t>
            </w:r>
          </w:p>
        </w:tc>
        <w:tc>
          <w:tcPr>
            <w:tcW w:type="dxa" w:w="2160"/>
          </w:tcPr>
          <w:p>
            <w:r>
              <w:t>50th percentile</w:t>
            </w:r>
          </w:p>
        </w:tc>
        <w:tc>
          <w:tcPr>
            <w:tcW w:type="dxa" w:w="2160"/>
          </w:tcPr>
          <w:p>
            <w:r>
              <w:t>39th percentile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2160"/>
          </w:tcPr>
          <w:p>
            <w:r>
              <w:t>5th percentile</w:t>
            </w:r>
          </w:p>
        </w:tc>
        <w:tc>
          <w:tcPr>
            <w:tcW w:type="dxa" w:w="2160"/>
          </w:tcPr>
          <w:p>
            <w:r>
              <w:t>81st percentile</w:t>
            </w:r>
          </w:p>
        </w:tc>
        <w:tc>
          <w:tcPr>
            <w:tcW w:type="dxa" w:w="2160"/>
          </w:tcPr>
          <w:p>
            <w:r>
              <w:t>44th percentile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60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2160"/>
          </w:tcPr>
          <w:p>
            <w:r>
              <w:t>45th percentile</w:t>
            </w:r>
          </w:p>
        </w:tc>
        <w:tc>
          <w:tcPr>
            <w:tcW w:type="dxa" w:w="2160"/>
          </w:tcPr>
          <w:p>
            <w:r>
              <w:t>24th percentile</w:t>
            </w:r>
          </w:p>
        </w:tc>
        <w:tc>
          <w:tcPr>
            <w:tcW w:type="dxa" w:w="2160"/>
          </w:tcPr>
          <w:p>
            <w:r>
              <w:t>32nd percentile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2160"/>
          </w:tcPr>
          <w:p>
            <w:r>
              <w:t>7th percentile</w:t>
            </w:r>
          </w:p>
        </w:tc>
        <w:tc>
          <w:tcPr>
            <w:tcW w:type="dxa" w:w="2160"/>
          </w:tcPr>
          <w:p>
            <w:r>
              <w:t>12th percentile</w:t>
            </w:r>
          </w:p>
        </w:tc>
        <w:tc>
          <w:tcPr>
            <w:tcW w:type="dxa" w:w="2160"/>
          </w:tcPr>
          <w:p>
            <w:r>
              <w:t>54th percentile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Consumer Cyclical</w:t>
            </w:r>
          </w:p>
        </w:tc>
        <w:tc>
          <w:tcPr>
            <w:tcW w:type="dxa" w:w="2160"/>
          </w:tcPr>
          <w:p>
            <w:r>
              <w:t>Consumer Defensive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Auto Manufacturers</w:t>
            </w:r>
          </w:p>
        </w:tc>
        <w:tc>
          <w:tcPr>
            <w:tcW w:type="dxa" w:w="2160"/>
          </w:tcPr>
          <w:p>
            <w:r>
              <w:t>Household &amp; Personal Products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2160"/>
          </w:tcPr>
          <w:p>
            <w:r>
              <w:t>- For May 31 2018</w:t>
            </w:r>
          </w:p>
        </w:tc>
        <w:tc>
          <w:tcPr>
            <w:tcW w:type="dxa" w:w="2160"/>
          </w:tcPr>
          <w:p>
            <w:r>
              <w:t>- For Mar 31 2019</w:t>
            </w:r>
          </w:p>
        </w:tc>
        <w:tc>
          <w:tcPr>
            <w:tcW w:type="dxa" w:w="2160"/>
          </w:tcPr>
          <w:p>
            <w:r>
              <w:t>25.03 % For Mar 31 2019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2160"/>
          </w:tcPr>
          <w:p>
            <w:r>
              <w:t>57.64% for Feb. 28, 2019</w:t>
            </w:r>
          </w:p>
        </w:tc>
        <w:tc>
          <w:tcPr>
            <w:tcW w:type="dxa" w:w="2160"/>
          </w:tcPr>
          <w:p>
            <w:r>
              <w:t>12.46% for March 31, 2019</w:t>
            </w:r>
          </w:p>
        </w:tc>
        <w:tc>
          <w:tcPr>
            <w:tcW w:type="dxa" w:w="2160"/>
          </w:tcPr>
          <w:p>
            <w:r>
              <w:t>48.81% for March 31, 2019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2160"/>
          </w:tcPr>
          <w:p>
            <w:r>
              <w:t>12.14 % For May 31 2018</w:t>
            </w:r>
          </w:p>
        </w:tc>
        <w:tc>
          <w:tcPr>
            <w:tcW w:type="dxa" w:w="2160"/>
          </w:tcPr>
          <w:p>
            <w:r>
              <w:t>- For Mar 31 2019</w:t>
            </w:r>
          </w:p>
        </w:tc>
        <w:tc>
          <w:tcPr>
            <w:tcW w:type="dxa" w:w="2160"/>
          </w:tcPr>
          <w:p>
            <w:r>
              <w:t>16.86 % For Mar 31 2019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AA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7.52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--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95.19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4.73%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70.66%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115.55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