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A2A85" w14:textId="77777777" w:rsidR="008C3B0B" w:rsidRDefault="008C3B0B" w:rsidP="008C3B0B">
      <w:pPr>
        <w:pStyle w:val="NoSpacing"/>
        <w:spacing w:line="360" w:lineRule="auto"/>
        <w:rPr>
          <w:rFonts w:ascii="Gill Sans MT" w:hAnsi="Gill Sans MT"/>
          <w:u w:val="single"/>
        </w:rPr>
      </w:pPr>
      <w:r>
        <w:rPr>
          <w:rFonts w:ascii="Gill Sans MT" w:hAnsi="Gill Sans MT"/>
          <w:u w:val="single"/>
        </w:rPr>
        <w:t>General feedback – this is really very promising indeed. You have clearly shown the potential for studying the burial clause. Very encouraging! WS See below for specific (mainly minor) comments.</w:t>
      </w:r>
    </w:p>
    <w:p w14:paraId="671E0B6D" w14:textId="77777777" w:rsidR="008C3B0B" w:rsidRDefault="008C3B0B" w:rsidP="008C3B0B">
      <w:pPr>
        <w:pStyle w:val="NoSpacing"/>
        <w:spacing w:line="360" w:lineRule="auto"/>
        <w:rPr>
          <w:rFonts w:ascii="Gill Sans MT" w:hAnsi="Gill Sans MT"/>
          <w:u w:val="single"/>
        </w:rPr>
      </w:pPr>
    </w:p>
    <w:p w14:paraId="06A95002" w14:textId="77777777" w:rsidR="008C3B0B" w:rsidRPr="00E51F96" w:rsidRDefault="008C3B0B" w:rsidP="008C3B0B">
      <w:pPr>
        <w:pStyle w:val="NoSpacing"/>
        <w:spacing w:line="360" w:lineRule="auto"/>
        <w:rPr>
          <w:rFonts w:ascii="Gill Sans MT" w:hAnsi="Gill Sans MT"/>
          <w:u w:val="single"/>
        </w:rPr>
      </w:pPr>
      <w:r w:rsidRPr="00E51F96">
        <w:rPr>
          <w:rFonts w:ascii="Gill Sans MT" w:hAnsi="Gill Sans MT"/>
          <w:u w:val="single"/>
        </w:rPr>
        <w:t>The Development of the B</w:t>
      </w:r>
      <w:r>
        <w:rPr>
          <w:rFonts w:ascii="Gill Sans MT" w:hAnsi="Gill Sans MT"/>
          <w:u w:val="single"/>
        </w:rPr>
        <w:t>urial Clause. Alex Marchbank, 13</w:t>
      </w:r>
      <w:r w:rsidRPr="00E51F96">
        <w:rPr>
          <w:rFonts w:ascii="Gill Sans MT" w:hAnsi="Gill Sans MT"/>
          <w:u w:val="single"/>
        </w:rPr>
        <w:t>.12.17</w:t>
      </w:r>
    </w:p>
    <w:p w14:paraId="286F166C" w14:textId="77777777" w:rsidR="008C3B0B" w:rsidRDefault="008C3B0B" w:rsidP="008C3B0B">
      <w:pPr>
        <w:pStyle w:val="NoSpacing"/>
        <w:spacing w:line="360" w:lineRule="auto"/>
        <w:rPr>
          <w:rFonts w:ascii="Gill Sans MT" w:hAnsi="Gill Sans MT"/>
          <w:u w:val="single"/>
        </w:rPr>
      </w:pPr>
    </w:p>
    <w:p w14:paraId="48BC01D4" w14:textId="77777777" w:rsidR="008C3B0B" w:rsidRPr="00C3348D" w:rsidRDefault="008C3B0B" w:rsidP="008C3B0B">
      <w:pPr>
        <w:pStyle w:val="NoSpacing"/>
        <w:spacing w:line="360" w:lineRule="auto"/>
        <w:rPr>
          <w:rFonts w:ascii="Gill Sans MT" w:hAnsi="Gill Sans MT"/>
        </w:rPr>
      </w:pPr>
      <w:r w:rsidRPr="00C3348D">
        <w:rPr>
          <w:rFonts w:ascii="Gill Sans MT" w:hAnsi="Gill Sans MT"/>
        </w:rPr>
        <w:t>INTRO</w:t>
      </w:r>
    </w:p>
    <w:p w14:paraId="6F9EFEA0" w14:textId="77777777" w:rsidR="008C3B0B" w:rsidRDefault="008C3B0B" w:rsidP="008C3B0B">
      <w:pPr>
        <w:pStyle w:val="NoSpacing"/>
        <w:spacing w:line="360" w:lineRule="auto"/>
        <w:rPr>
          <w:rFonts w:ascii="Gill Sans MT" w:hAnsi="Gill Sans MT"/>
        </w:rPr>
      </w:pPr>
      <w:r>
        <w:rPr>
          <w:rFonts w:ascii="Gill Sans MT" w:hAnsi="Gill Sans MT"/>
        </w:rPr>
        <w:t>References to burial can be found in even the earliest surviving English wills dating from the Anglo-Saxon period.</w:t>
      </w:r>
      <w:r>
        <w:rPr>
          <w:rStyle w:val="FootnoteReference"/>
          <w:rFonts w:ascii="Gill Sans MT" w:hAnsi="Gill Sans MT"/>
        </w:rPr>
        <w:footnoteReference w:id="1"/>
      </w:r>
      <w:r>
        <w:rPr>
          <w:rFonts w:ascii="Gill Sans MT" w:hAnsi="Gill Sans MT"/>
        </w:rPr>
        <w:t xml:space="preserve"> Whilst these early documents do not contain a clause detailing the location of the testator’s burial, they often note the amount given as a burial fee.</w:t>
      </w:r>
      <w:r>
        <w:rPr>
          <w:rStyle w:val="FootnoteReference"/>
          <w:rFonts w:ascii="Gill Sans MT" w:hAnsi="Gill Sans MT"/>
        </w:rPr>
        <w:footnoteReference w:id="2"/>
      </w:r>
      <w:r>
        <w:rPr>
          <w:rFonts w:ascii="Gill Sans MT" w:hAnsi="Gill Sans MT"/>
        </w:rPr>
        <w:t xml:space="preserve"> Much work has been done on the development on testamentary giving in recompense for burial, as it has been widely recognized that this provided a substantial portion of parish income.</w:t>
      </w:r>
      <w:r>
        <w:rPr>
          <w:rStyle w:val="FootnoteReference"/>
          <w:rFonts w:ascii="Gill Sans MT" w:hAnsi="Gill Sans MT"/>
        </w:rPr>
        <w:footnoteReference w:id="3"/>
      </w:r>
      <w:r>
        <w:rPr>
          <w:rFonts w:ascii="Gill Sans MT" w:hAnsi="Gill Sans MT"/>
        </w:rPr>
        <w:t xml:space="preserve"> So significant was this income that there are many records of disputes over burial location which provide valuable insight into the importance that was placed on this aspect of death and dying.</w:t>
      </w:r>
      <w:r>
        <w:rPr>
          <w:rStyle w:val="FootnoteReference"/>
          <w:rFonts w:ascii="Gill Sans MT" w:hAnsi="Gill Sans MT"/>
        </w:rPr>
        <w:footnoteReference w:id="4"/>
      </w:r>
      <w:r>
        <w:rPr>
          <w:rFonts w:ascii="Gill Sans MT" w:hAnsi="Gill Sans MT"/>
        </w:rPr>
        <w:t xml:space="preserve"> </w:t>
      </w:r>
    </w:p>
    <w:p w14:paraId="419B2D72" w14:textId="77777777" w:rsidR="008C3B0B" w:rsidRPr="00544689" w:rsidRDefault="008C3B0B" w:rsidP="008C3B0B">
      <w:pPr>
        <w:pStyle w:val="NoSpacing"/>
        <w:spacing w:line="360" w:lineRule="auto"/>
        <w:rPr>
          <w:rFonts w:ascii="Gill Sans MT" w:hAnsi="Gill Sans MT"/>
        </w:rPr>
      </w:pPr>
      <w:r>
        <w:rPr>
          <w:rFonts w:ascii="Gill Sans MT" w:hAnsi="Gill Sans MT"/>
        </w:rPr>
        <w:tab/>
        <w:t xml:space="preserve">Firstly it is important to note that this section refers to </w:t>
      </w:r>
      <w:r>
        <w:rPr>
          <w:rFonts w:ascii="Gill Sans MT" w:hAnsi="Gill Sans MT"/>
          <w:i/>
        </w:rPr>
        <w:t xml:space="preserve">testaments </w:t>
      </w:r>
      <w:r>
        <w:rPr>
          <w:rFonts w:ascii="Gill Sans MT" w:hAnsi="Gill Sans MT"/>
        </w:rPr>
        <w:t xml:space="preserve">instead of </w:t>
      </w:r>
      <w:r>
        <w:rPr>
          <w:rFonts w:ascii="Gill Sans MT" w:hAnsi="Gill Sans MT"/>
          <w:i/>
        </w:rPr>
        <w:t>wills.</w:t>
      </w:r>
      <w:r>
        <w:rPr>
          <w:rFonts w:ascii="Gill Sans MT" w:hAnsi="Gill Sans MT"/>
        </w:rPr>
        <w:t xml:space="preserve"> Whilst the two terms are often used interchangeably, their form and function differ greatly in practice. Where the two exist as separate entries in the probate act books, the testament comes first, and it here that the religious preamble and burial clause are found. Technically the testament deals with </w:t>
      </w:r>
      <w:commentRangeStart w:id="0"/>
      <w:r>
        <w:rPr>
          <w:rFonts w:ascii="Gill Sans MT" w:hAnsi="Gill Sans MT"/>
        </w:rPr>
        <w:t>moveable goods</w:t>
      </w:r>
      <w:commentRangeEnd w:id="0"/>
      <w:r>
        <w:rPr>
          <w:rStyle w:val="CommentReference"/>
        </w:rPr>
        <w:commentReference w:id="0"/>
      </w:r>
      <w:r>
        <w:rPr>
          <w:rFonts w:ascii="Gill Sans MT" w:hAnsi="Gill Sans MT"/>
        </w:rPr>
        <w:t>, whilst the last will deals with the disposition of lands and property.</w:t>
      </w:r>
      <w:r>
        <w:rPr>
          <w:rStyle w:val="FootnoteReference"/>
          <w:rFonts w:ascii="Gill Sans MT" w:hAnsi="Gill Sans MT"/>
        </w:rPr>
        <w:footnoteReference w:id="5"/>
      </w:r>
      <w:r>
        <w:rPr>
          <w:rFonts w:ascii="Gill Sans MT" w:hAnsi="Gill Sans MT"/>
        </w:rPr>
        <w:t xml:space="preserve"> As such, it was possible to make just a testament, without a last will, as some testators did not hold immoveable property. Similarly, it seems that it was also possible for some testators to just make a last will.</w:t>
      </w:r>
      <w:r>
        <w:rPr>
          <w:rStyle w:val="FootnoteReference"/>
          <w:rFonts w:ascii="Gill Sans MT" w:hAnsi="Gill Sans MT"/>
        </w:rPr>
        <w:footnoteReference w:id="6"/>
      </w:r>
      <w:r>
        <w:rPr>
          <w:rFonts w:ascii="Gill Sans MT" w:hAnsi="Gill Sans MT"/>
        </w:rPr>
        <w:t xml:space="preserve"> In the four instances where a will was made without a testament, none of the documents </w:t>
      </w:r>
      <w:commentRangeStart w:id="1"/>
      <w:r>
        <w:rPr>
          <w:rFonts w:ascii="Gill Sans MT" w:hAnsi="Gill Sans MT"/>
        </w:rPr>
        <w:t>contain</w:t>
      </w:r>
      <w:commentRangeEnd w:id="1"/>
      <w:r>
        <w:rPr>
          <w:rStyle w:val="CommentReference"/>
        </w:rPr>
        <w:commentReference w:id="1"/>
      </w:r>
      <w:r>
        <w:rPr>
          <w:rFonts w:ascii="Gill Sans MT" w:hAnsi="Gill Sans MT"/>
        </w:rPr>
        <w:t xml:space="preserve"> a burial clause. This is probably more to do with the formulaic construction of the will than any coincidental omission of this clause by all four of these testators. As such, it is necessary here to talk specifically about testaments, as opposed to wills, as it is only within the testament that burial clauses are found. </w:t>
      </w:r>
    </w:p>
    <w:p w14:paraId="792B48D9" w14:textId="77777777" w:rsidR="008C3B0B" w:rsidRDefault="008C3B0B" w:rsidP="008C3B0B">
      <w:pPr>
        <w:pStyle w:val="NoSpacing"/>
        <w:spacing w:line="360" w:lineRule="auto"/>
        <w:rPr>
          <w:rFonts w:ascii="Gill Sans MT" w:hAnsi="Gill Sans MT"/>
        </w:rPr>
      </w:pPr>
      <w:r>
        <w:rPr>
          <w:rFonts w:ascii="Gill Sans MT" w:hAnsi="Gill Sans MT"/>
        </w:rPr>
        <w:lastRenderedPageBreak/>
        <w:tab/>
        <w:t xml:space="preserve">This section traces the development of the burial clause within English testaments, and considers some of the ways in which historians have put this part of the document to use. It looks firstly at the evidence which exists for individuals expressing choice over their burial location, and how this caused friction particularly in the later medieval period. The development of the burial clause as a part of the testament is then discussed, before finally turning to examine whether this clause can be considered part of the preamble. </w:t>
      </w:r>
    </w:p>
    <w:p w14:paraId="0C96B641" w14:textId="77777777" w:rsidR="008C3B0B" w:rsidRDefault="008C3B0B" w:rsidP="008C3B0B">
      <w:pPr>
        <w:pStyle w:val="NoSpacing"/>
        <w:spacing w:line="360" w:lineRule="auto"/>
        <w:rPr>
          <w:rFonts w:ascii="Gill Sans MT" w:hAnsi="Gill Sans MT"/>
        </w:rPr>
      </w:pPr>
    </w:p>
    <w:p w14:paraId="0CDA9430" w14:textId="77777777" w:rsidR="008C3B0B" w:rsidRDefault="008C3B0B" w:rsidP="008C3B0B">
      <w:pPr>
        <w:pStyle w:val="NoSpacing"/>
        <w:spacing w:line="360" w:lineRule="auto"/>
        <w:rPr>
          <w:rFonts w:ascii="Gill Sans MT" w:hAnsi="Gill Sans MT"/>
        </w:rPr>
      </w:pPr>
      <w:r>
        <w:rPr>
          <w:rFonts w:ascii="Gill Sans MT" w:hAnsi="Gill Sans MT"/>
        </w:rPr>
        <w:t>CHOICE IN BURIAL LOCATION</w:t>
      </w:r>
    </w:p>
    <w:p w14:paraId="3873AE3C" w14:textId="77777777" w:rsidR="008C3B0B" w:rsidRDefault="008C3B0B" w:rsidP="008C3B0B">
      <w:pPr>
        <w:pStyle w:val="NoSpacing"/>
        <w:spacing w:line="360" w:lineRule="auto"/>
        <w:rPr>
          <w:rFonts w:ascii="Gill Sans MT" w:hAnsi="Gill Sans MT"/>
        </w:rPr>
      </w:pPr>
      <w:r>
        <w:rPr>
          <w:rFonts w:ascii="Gill Sans MT" w:hAnsi="Gill Sans MT"/>
        </w:rPr>
        <w:t>Wills from Anglo-Saxon England frequently document the amounts given by testators in return for their burial. This controversial payment appears in England as early as the ninth century, and one which, by the year 1000, was widely accepted within the church.</w:t>
      </w:r>
      <w:r>
        <w:rPr>
          <w:rStyle w:val="FootnoteReference"/>
          <w:rFonts w:ascii="Gill Sans MT" w:hAnsi="Gill Sans MT"/>
        </w:rPr>
        <w:footnoteReference w:id="7"/>
      </w:r>
      <w:r>
        <w:rPr>
          <w:rFonts w:ascii="Gill Sans MT" w:hAnsi="Gill Sans MT"/>
        </w:rPr>
        <w:t xml:space="preserve"> Indeed, reference to this payment is made in Archbishop Wulfstan’s law code, which states that </w:t>
      </w:r>
      <w:r w:rsidRPr="005C2B93">
        <w:rPr>
          <w:rFonts w:ascii="Gill Sans MT" w:hAnsi="Gill Sans MT"/>
        </w:rPr>
        <w:t>‘it is best that saulsceat be always paid at the open grave. And if any body is buried elsewhere, outside the proper parish, saulsceat is nevertheless to be paid at th</w:t>
      </w:r>
      <w:r>
        <w:rPr>
          <w:rFonts w:ascii="Gill Sans MT" w:hAnsi="Gill Sans MT"/>
        </w:rPr>
        <w:t>e minster to which it belonged’.</w:t>
      </w:r>
      <w:r>
        <w:rPr>
          <w:rStyle w:val="FootnoteReference"/>
          <w:rFonts w:ascii="Gill Sans MT" w:hAnsi="Gill Sans MT"/>
        </w:rPr>
        <w:footnoteReference w:id="8"/>
      </w:r>
      <w:r>
        <w:rPr>
          <w:rFonts w:ascii="Gill Sans MT" w:hAnsi="Gill Sans MT"/>
        </w:rPr>
        <w:t xml:space="preserve"> John Blair suggests that this demonstrates a growth in prescriptiveness surrounding burial arrangements, as well as increased competition between churchyards. Blair later suggests that this law could have been motivated by higher-status families seeking burial amongst the tombs of their ancestors in minsters outside of their parishes.</w:t>
      </w:r>
      <w:r>
        <w:rPr>
          <w:rStyle w:val="FootnoteReference"/>
          <w:rFonts w:ascii="Gill Sans MT" w:hAnsi="Gill Sans MT"/>
        </w:rPr>
        <w:footnoteReference w:id="9"/>
      </w:r>
      <w:r>
        <w:rPr>
          <w:rFonts w:ascii="Gill Sans MT" w:hAnsi="Gill Sans MT"/>
        </w:rPr>
        <w:t xml:space="preserve"> This demonstrates that as early as the eleventh century, individuals were choosing the location of their burials, even if those who made wills were not in the habit of writing this down.  </w:t>
      </w:r>
    </w:p>
    <w:p w14:paraId="48F0017F" w14:textId="77777777" w:rsidR="008C3B0B" w:rsidRDefault="008C3B0B" w:rsidP="008C3B0B">
      <w:pPr>
        <w:pStyle w:val="NoSpacing"/>
        <w:spacing w:line="360" w:lineRule="auto"/>
        <w:rPr>
          <w:rFonts w:ascii="Gill Sans MT" w:hAnsi="Gill Sans MT"/>
        </w:rPr>
      </w:pPr>
      <w:r>
        <w:rPr>
          <w:rFonts w:ascii="Gill Sans MT" w:hAnsi="Gill Sans MT"/>
        </w:rPr>
        <w:tab/>
        <w:t xml:space="preserve">Later on in the medieval period, issues of burial location and its associated income further worsened the conflict between friars and the secular clergy. This is illustrated in the text of </w:t>
      </w:r>
      <w:r>
        <w:rPr>
          <w:rFonts w:ascii="Gill Sans MT" w:hAnsi="Gill Sans MT"/>
          <w:i/>
        </w:rPr>
        <w:t xml:space="preserve">Piers Plowman, </w:t>
      </w:r>
      <w:r>
        <w:rPr>
          <w:rFonts w:ascii="Gill Sans MT" w:hAnsi="Gill Sans MT"/>
        </w:rPr>
        <w:t xml:space="preserve">the late fourteenth-century allegorical poem, at the point at which the Dreamer confronts his friar-confessor about the priorities of his order: </w:t>
      </w:r>
    </w:p>
    <w:p w14:paraId="3A764CD7" w14:textId="77777777" w:rsidR="008C3B0B" w:rsidRDefault="008C3B0B" w:rsidP="008C3B0B">
      <w:pPr>
        <w:pStyle w:val="NoSpacing"/>
        <w:spacing w:line="360" w:lineRule="auto"/>
        <w:rPr>
          <w:rFonts w:ascii="Gill Sans MT" w:hAnsi="Gill Sans MT"/>
        </w:rPr>
      </w:pPr>
    </w:p>
    <w:p w14:paraId="676E9691" w14:textId="77777777" w:rsidR="008C3B0B" w:rsidRPr="00421A90" w:rsidRDefault="008C3B0B" w:rsidP="008C3B0B">
      <w:pPr>
        <w:pStyle w:val="NoSpacing"/>
        <w:spacing w:line="360" w:lineRule="auto"/>
        <w:ind w:left="1440"/>
        <w:rPr>
          <w:rFonts w:ascii="Gill Sans MT" w:hAnsi="Gill Sans MT"/>
        </w:rPr>
      </w:pPr>
      <w:r w:rsidRPr="00421A90">
        <w:rPr>
          <w:rFonts w:ascii="Gill Sans MT" w:hAnsi="Gill Sans MT"/>
        </w:rPr>
        <w:t>And tho fond I the frere afered</w:t>
      </w:r>
      <w:r>
        <w:rPr>
          <w:rFonts w:ascii="Gill Sans MT" w:hAnsi="Gill Sans MT"/>
        </w:rPr>
        <w:t xml:space="preserve"> and flittynge bothe      </w:t>
      </w:r>
    </w:p>
    <w:p w14:paraId="189316F0" w14:textId="77777777" w:rsidR="008C3B0B" w:rsidRPr="00421A90" w:rsidRDefault="008C3B0B" w:rsidP="008C3B0B">
      <w:pPr>
        <w:pStyle w:val="NoSpacing"/>
        <w:spacing w:line="360" w:lineRule="auto"/>
        <w:ind w:left="1440"/>
        <w:rPr>
          <w:rFonts w:ascii="Gill Sans MT" w:hAnsi="Gill Sans MT"/>
        </w:rPr>
      </w:pPr>
      <w:r w:rsidRPr="00421A90">
        <w:rPr>
          <w:rFonts w:ascii="Gill Sans MT" w:hAnsi="Gill Sans MT"/>
        </w:rPr>
        <w:t>Ayeins oure firs</w:t>
      </w:r>
      <w:r>
        <w:rPr>
          <w:rFonts w:ascii="Gill Sans MT" w:hAnsi="Gill Sans MT"/>
        </w:rPr>
        <w:t>te forward, for I seide I nolde</w:t>
      </w:r>
    </w:p>
    <w:p w14:paraId="5DE3BBFE" w14:textId="77777777" w:rsidR="008C3B0B" w:rsidRPr="00421A90" w:rsidRDefault="008C3B0B" w:rsidP="008C3B0B">
      <w:pPr>
        <w:pStyle w:val="NoSpacing"/>
        <w:spacing w:line="360" w:lineRule="auto"/>
        <w:ind w:left="1440"/>
        <w:rPr>
          <w:rFonts w:ascii="Gill Sans MT" w:hAnsi="Gill Sans MT"/>
        </w:rPr>
      </w:pPr>
      <w:r w:rsidRPr="00421A90">
        <w:rPr>
          <w:rFonts w:ascii="Gill Sans MT" w:hAnsi="Gill Sans MT"/>
        </w:rPr>
        <w:t>Be buried at hire hous but a</w:t>
      </w:r>
      <w:r>
        <w:rPr>
          <w:rFonts w:ascii="Gill Sans MT" w:hAnsi="Gill Sans MT"/>
        </w:rPr>
        <w:t xml:space="preserve">t my parisshe chirche      </w:t>
      </w:r>
    </w:p>
    <w:p w14:paraId="04AFF211" w14:textId="77777777" w:rsidR="008C3B0B" w:rsidRPr="00421A90" w:rsidRDefault="008C3B0B" w:rsidP="008C3B0B">
      <w:pPr>
        <w:pStyle w:val="NoSpacing"/>
        <w:spacing w:line="360" w:lineRule="auto"/>
        <w:ind w:left="1440"/>
        <w:rPr>
          <w:rFonts w:ascii="Gill Sans MT" w:hAnsi="Gill Sans MT"/>
        </w:rPr>
      </w:pPr>
      <w:r w:rsidRPr="00421A90">
        <w:rPr>
          <w:rFonts w:ascii="Gill Sans MT" w:hAnsi="Gill Sans MT"/>
        </w:rPr>
        <w:t>(For I herde ones how</w:t>
      </w:r>
      <w:r>
        <w:rPr>
          <w:rFonts w:ascii="Gill Sans MT" w:hAnsi="Gill Sans MT"/>
        </w:rPr>
        <w:t xml:space="preserve"> Conscience it tolde      </w:t>
      </w:r>
    </w:p>
    <w:p w14:paraId="6CE63424" w14:textId="77777777" w:rsidR="008C3B0B" w:rsidRDefault="008C3B0B" w:rsidP="008C3B0B">
      <w:pPr>
        <w:pStyle w:val="NoSpacing"/>
        <w:spacing w:line="360" w:lineRule="auto"/>
        <w:ind w:left="1440"/>
        <w:rPr>
          <w:rFonts w:ascii="Gill Sans MT" w:hAnsi="Gill Sans MT"/>
        </w:rPr>
      </w:pPr>
      <w:r w:rsidRPr="00421A90">
        <w:rPr>
          <w:rFonts w:ascii="Gill Sans MT" w:hAnsi="Gill Sans MT"/>
        </w:rPr>
        <w:t>That there a man were cristned, by kynde he sholde be buryed).</w:t>
      </w:r>
    </w:p>
    <w:p w14:paraId="566B2B3C" w14:textId="77777777" w:rsidR="008C3B0B" w:rsidRPr="00D262DB" w:rsidRDefault="008C3B0B" w:rsidP="008C3B0B">
      <w:pPr>
        <w:pStyle w:val="NoSpacing"/>
        <w:spacing w:line="360" w:lineRule="auto"/>
        <w:ind w:left="1440"/>
        <w:rPr>
          <w:rFonts w:ascii="Gill Sans MT" w:hAnsi="Gill Sans MT"/>
        </w:rPr>
      </w:pPr>
      <w:r w:rsidRPr="00D262DB">
        <w:rPr>
          <w:rFonts w:ascii="Gill Sans MT" w:hAnsi="Gill Sans MT"/>
        </w:rPr>
        <w:t xml:space="preserve">And for I seide thus to freres, a fool thei me helden,      </w:t>
      </w:r>
    </w:p>
    <w:p w14:paraId="686674D6" w14:textId="77777777" w:rsidR="008C3B0B" w:rsidRPr="00D262DB" w:rsidRDefault="008C3B0B" w:rsidP="008C3B0B">
      <w:pPr>
        <w:pStyle w:val="NoSpacing"/>
        <w:spacing w:line="360" w:lineRule="auto"/>
        <w:ind w:left="1440"/>
        <w:rPr>
          <w:rFonts w:ascii="Gill Sans MT" w:hAnsi="Gill Sans MT"/>
        </w:rPr>
      </w:pPr>
      <w:r w:rsidRPr="00D262DB">
        <w:rPr>
          <w:rFonts w:ascii="Gill Sans MT" w:hAnsi="Gill Sans MT"/>
        </w:rPr>
        <w:t xml:space="preserve">And loved me the lasse for my lele speche.      </w:t>
      </w:r>
    </w:p>
    <w:p w14:paraId="3D9D1FFE" w14:textId="77777777" w:rsidR="008C3B0B" w:rsidRPr="00D262DB" w:rsidRDefault="008C3B0B" w:rsidP="008C3B0B">
      <w:pPr>
        <w:pStyle w:val="NoSpacing"/>
        <w:spacing w:line="360" w:lineRule="auto"/>
        <w:ind w:left="1440"/>
        <w:rPr>
          <w:rFonts w:ascii="Gill Sans MT" w:hAnsi="Gill Sans MT"/>
        </w:rPr>
      </w:pPr>
      <w:r w:rsidRPr="00D262DB">
        <w:rPr>
          <w:rFonts w:ascii="Gill Sans MT" w:hAnsi="Gill Sans MT"/>
        </w:rPr>
        <w:t xml:space="preserve">Ac yet I cryde on my confessour that [so konnyng heeld hymself].      </w:t>
      </w:r>
    </w:p>
    <w:p w14:paraId="4FE11C7A" w14:textId="77777777" w:rsidR="008C3B0B" w:rsidRDefault="008C3B0B" w:rsidP="008C3B0B">
      <w:pPr>
        <w:pStyle w:val="NoSpacing"/>
        <w:spacing w:line="360" w:lineRule="auto"/>
        <w:ind w:left="1440"/>
        <w:rPr>
          <w:rFonts w:ascii="Gill Sans MT" w:hAnsi="Gill Sans MT"/>
        </w:rPr>
      </w:pPr>
      <w:r>
        <w:rPr>
          <w:rFonts w:ascii="Gill Sans MT" w:hAnsi="Gill Sans MT"/>
        </w:rPr>
        <w:lastRenderedPageBreak/>
        <w:t xml:space="preserve">"By my feith, frere!' quod I […] </w:t>
      </w:r>
    </w:p>
    <w:p w14:paraId="0A0E5FEC" w14:textId="77777777" w:rsidR="008C3B0B" w:rsidRPr="00421A90" w:rsidRDefault="008C3B0B" w:rsidP="008C3B0B">
      <w:pPr>
        <w:pStyle w:val="NoSpacing"/>
        <w:spacing w:line="360" w:lineRule="auto"/>
        <w:ind w:left="1440"/>
        <w:rPr>
          <w:rFonts w:ascii="Gill Sans MT" w:hAnsi="Gill Sans MT"/>
        </w:rPr>
      </w:pPr>
      <w:r w:rsidRPr="00421A90">
        <w:rPr>
          <w:rFonts w:ascii="Gill Sans MT" w:hAnsi="Gill Sans MT"/>
        </w:rPr>
        <w:t xml:space="preserve">Where my body were buryed, by so ye hadde my silver!      </w:t>
      </w:r>
    </w:p>
    <w:p w14:paraId="64828DEA" w14:textId="77777777" w:rsidR="008C3B0B" w:rsidRPr="00421A90" w:rsidRDefault="008C3B0B" w:rsidP="008C3B0B">
      <w:pPr>
        <w:pStyle w:val="NoSpacing"/>
        <w:spacing w:line="360" w:lineRule="auto"/>
        <w:ind w:left="1440"/>
        <w:rPr>
          <w:rFonts w:ascii="Gill Sans MT" w:hAnsi="Gill Sans MT"/>
        </w:rPr>
      </w:pPr>
      <w:r w:rsidRPr="00421A90">
        <w:rPr>
          <w:rFonts w:ascii="Gill Sans MT" w:hAnsi="Gill Sans MT"/>
        </w:rPr>
        <w:t xml:space="preserve">Ich have muche merveille of yow, and so hath many another,      </w:t>
      </w:r>
    </w:p>
    <w:p w14:paraId="7F8B3826" w14:textId="77777777" w:rsidR="008C3B0B" w:rsidRPr="00421A90" w:rsidRDefault="008C3B0B" w:rsidP="008C3B0B">
      <w:pPr>
        <w:pStyle w:val="NoSpacing"/>
        <w:spacing w:line="360" w:lineRule="auto"/>
        <w:ind w:left="1440"/>
        <w:rPr>
          <w:rFonts w:ascii="Gill Sans MT" w:hAnsi="Gill Sans MT"/>
        </w:rPr>
      </w:pPr>
      <w:r w:rsidRPr="00421A90">
        <w:rPr>
          <w:rFonts w:ascii="Gill Sans MT" w:hAnsi="Gill Sans MT"/>
        </w:rPr>
        <w:t xml:space="preserve">Whi youre covent coveiteth to confesse and to burye      </w:t>
      </w:r>
    </w:p>
    <w:p w14:paraId="1AF60A76" w14:textId="77777777" w:rsidR="008C3B0B" w:rsidRDefault="008C3B0B" w:rsidP="008C3B0B">
      <w:pPr>
        <w:pStyle w:val="NoSpacing"/>
        <w:spacing w:line="360" w:lineRule="auto"/>
        <w:ind w:left="1440"/>
        <w:rPr>
          <w:rFonts w:ascii="Gill Sans MT" w:hAnsi="Gill Sans MT"/>
        </w:rPr>
      </w:pPr>
      <w:r w:rsidRPr="00421A90">
        <w:rPr>
          <w:rFonts w:ascii="Gill Sans MT" w:hAnsi="Gill Sans MT"/>
        </w:rPr>
        <w:t>Rather than to baptize barnes that ben catecumelynges.</w:t>
      </w:r>
      <w:r>
        <w:rPr>
          <w:rFonts w:ascii="Gill Sans MT" w:hAnsi="Gill Sans MT"/>
        </w:rPr>
        <w:t xml:space="preserve"> </w:t>
      </w:r>
      <w:commentRangeStart w:id="2"/>
      <w:r>
        <w:rPr>
          <w:rFonts w:ascii="Gill Sans MT" w:hAnsi="Gill Sans MT"/>
        </w:rPr>
        <w:t>(B XI 63-71; 74-77)</w:t>
      </w:r>
      <w:commentRangeEnd w:id="2"/>
      <w:r>
        <w:rPr>
          <w:rStyle w:val="CommentReference"/>
        </w:rPr>
        <w:commentReference w:id="2"/>
      </w:r>
    </w:p>
    <w:p w14:paraId="6BFBFFB2" w14:textId="77777777" w:rsidR="008C3B0B" w:rsidRPr="00421A90" w:rsidRDefault="008C3B0B" w:rsidP="008C3B0B">
      <w:pPr>
        <w:pStyle w:val="NoSpacing"/>
        <w:spacing w:line="360" w:lineRule="auto"/>
        <w:ind w:left="1440"/>
        <w:rPr>
          <w:rFonts w:ascii="Gill Sans MT" w:hAnsi="Gill Sans MT"/>
        </w:rPr>
      </w:pPr>
    </w:p>
    <w:p w14:paraId="3D8D3DA9" w14:textId="77777777" w:rsidR="008C3B0B" w:rsidRDefault="008C3B0B" w:rsidP="008C3B0B">
      <w:pPr>
        <w:pStyle w:val="NoSpacing"/>
        <w:spacing w:line="360" w:lineRule="auto"/>
        <w:rPr>
          <w:rFonts w:ascii="Gill Sans MT" w:hAnsi="Gill Sans MT"/>
        </w:rPr>
      </w:pPr>
      <w:r>
        <w:rPr>
          <w:rFonts w:ascii="Gill Sans MT" w:hAnsi="Gill Sans MT"/>
        </w:rPr>
        <w:t>As Wendy Scase has argued, this focus on burial is particularly pertinent in this late fourteenth-century context, at a time when understandings of pastoral care were being challenged.</w:t>
      </w:r>
      <w:r>
        <w:rPr>
          <w:rStyle w:val="FootnoteReference"/>
          <w:rFonts w:ascii="Gill Sans MT" w:hAnsi="Gill Sans MT"/>
        </w:rPr>
        <w:footnoteReference w:id="10"/>
      </w:r>
      <w:r>
        <w:rPr>
          <w:rFonts w:ascii="Gill Sans MT" w:hAnsi="Gill Sans MT"/>
        </w:rPr>
        <w:t xml:space="preserve"> As the above excerpt shows, however, Langland is critical of the friars’ attempts to divert income from parish churches by persuading individuals to be buried in friaries instead. This does demonstrate that individuals had a choice in their burial </w:t>
      </w:r>
      <w:commentRangeStart w:id="3"/>
      <w:r>
        <w:rPr>
          <w:rFonts w:ascii="Gill Sans MT" w:hAnsi="Gill Sans MT"/>
        </w:rPr>
        <w:t>location</w:t>
      </w:r>
      <w:commentRangeEnd w:id="3"/>
      <w:r>
        <w:rPr>
          <w:rStyle w:val="CommentReference"/>
        </w:rPr>
        <w:commentReference w:id="3"/>
      </w:r>
      <w:r>
        <w:rPr>
          <w:rFonts w:ascii="Gill Sans MT" w:hAnsi="Gill Sans MT"/>
        </w:rPr>
        <w:t xml:space="preserve">, and as the following section will show, testators were at this time able to express their burial preferences in their testaments.   </w:t>
      </w:r>
    </w:p>
    <w:p w14:paraId="6E8348BE" w14:textId="77777777" w:rsidR="008C3B0B" w:rsidRDefault="008C3B0B" w:rsidP="008C3B0B">
      <w:pPr>
        <w:pStyle w:val="NoSpacing"/>
        <w:spacing w:line="360" w:lineRule="auto"/>
        <w:rPr>
          <w:rFonts w:ascii="Gill Sans MT" w:hAnsi="Gill Sans MT"/>
        </w:rPr>
      </w:pPr>
    </w:p>
    <w:p w14:paraId="3D8AA4BF" w14:textId="77777777" w:rsidR="008C3B0B" w:rsidRPr="00C3348D" w:rsidRDefault="008C3B0B" w:rsidP="008C3B0B">
      <w:pPr>
        <w:pStyle w:val="NoSpacing"/>
        <w:spacing w:line="360" w:lineRule="auto"/>
        <w:rPr>
          <w:rFonts w:ascii="Gill Sans MT" w:hAnsi="Gill Sans MT"/>
        </w:rPr>
      </w:pPr>
      <w:r>
        <w:rPr>
          <w:rFonts w:ascii="Gill Sans MT" w:hAnsi="Gill Sans MT"/>
        </w:rPr>
        <w:t>BURIALS IN TESTAMENTS: THE WORDING OF THE BURIAL CLAUSE</w:t>
      </w:r>
    </w:p>
    <w:p w14:paraId="0ADF19D1" w14:textId="77777777" w:rsidR="008C3B0B" w:rsidRDefault="008C3B0B" w:rsidP="008C3B0B">
      <w:pPr>
        <w:pStyle w:val="NoSpacing"/>
        <w:spacing w:line="360" w:lineRule="auto"/>
        <w:rPr>
          <w:rFonts w:ascii="Gill Sans MT" w:hAnsi="Gill Sans MT"/>
        </w:rPr>
      </w:pPr>
      <w:r>
        <w:rPr>
          <w:rFonts w:ascii="Gill Sans MT" w:hAnsi="Gill Sans MT"/>
        </w:rPr>
        <w:t xml:space="preserve">Very little work has been done on the development of the wording of the burial clause within testaments. Jameson Weetman’s PhD research on piety and charity in London’s Husting Court wills and testaments does make some reference to this. Weetman notes that prior to the 1340s it is unusual to find references to burial location in these particular testaments. </w:t>
      </w:r>
      <w:commentRangeStart w:id="4"/>
      <w:r>
        <w:rPr>
          <w:rFonts w:ascii="Gill Sans MT" w:hAnsi="Gill Sans MT"/>
        </w:rPr>
        <w:t xml:space="preserve">In a short period of time, however, he argues that </w:t>
      </w:r>
      <w:commentRangeEnd w:id="4"/>
      <w:r>
        <w:rPr>
          <w:rStyle w:val="CommentReference"/>
        </w:rPr>
        <w:commentReference w:id="4"/>
      </w:r>
      <w:r>
        <w:rPr>
          <w:rFonts w:ascii="Gill Sans MT" w:hAnsi="Gill Sans MT"/>
        </w:rPr>
        <w:t xml:space="preserve">this changed dramatically. In the period 1339-1350, 40 percent of testaments made provision for burial, </w:t>
      </w:r>
      <w:commentRangeStart w:id="5"/>
      <w:r>
        <w:rPr>
          <w:rFonts w:ascii="Gill Sans MT" w:hAnsi="Gill Sans MT"/>
        </w:rPr>
        <w:t>and from 1351 onward, he claims that a majority of noted their preferred burial site</w:t>
      </w:r>
      <w:commentRangeEnd w:id="5"/>
      <w:r>
        <w:rPr>
          <w:rStyle w:val="CommentReference"/>
        </w:rPr>
        <w:commentReference w:id="5"/>
      </w:r>
      <w:r>
        <w:rPr>
          <w:rFonts w:ascii="Gill Sans MT" w:hAnsi="Gill Sans MT"/>
        </w:rPr>
        <w:t>.</w:t>
      </w:r>
      <w:r>
        <w:rPr>
          <w:rStyle w:val="FootnoteReference"/>
          <w:rFonts w:ascii="Gill Sans MT" w:hAnsi="Gill Sans MT"/>
        </w:rPr>
        <w:footnoteReference w:id="11"/>
      </w:r>
      <w:r>
        <w:rPr>
          <w:rFonts w:ascii="Gill Sans MT" w:hAnsi="Gill Sans MT"/>
        </w:rPr>
        <w:t xml:space="preserve"> Weetman frames this change in terms of the impact of the Black Death and its associated social, religious and economic repercussions. The increase in wealth associated with the post-plague period meant that testators could spend more on expensive tombs within churches. From a socio-religious perspective, Weetman argues that there was a greater need to </w:t>
      </w:r>
      <w:commentRangeStart w:id="6"/>
      <w:r>
        <w:rPr>
          <w:rFonts w:ascii="Gill Sans MT" w:hAnsi="Gill Sans MT"/>
        </w:rPr>
        <w:t xml:space="preserve">propagate memory </w:t>
      </w:r>
      <w:commentRangeEnd w:id="6"/>
      <w:r>
        <w:rPr>
          <w:rStyle w:val="CommentReference"/>
        </w:rPr>
        <w:commentReference w:id="6"/>
      </w:r>
      <w:r>
        <w:rPr>
          <w:rFonts w:ascii="Gill Sans MT" w:hAnsi="Gill Sans MT"/>
        </w:rPr>
        <w:t>and ensure individualised commemoration. And although Weetman rejects the idea that the Black Death fundamentally changed burial and funerary practices, arguing instead for a change in scale rather than type, it would certainly seem that the plague had a profound impact on the form of the testament in London.</w:t>
      </w:r>
      <w:r>
        <w:rPr>
          <w:rStyle w:val="FootnoteReference"/>
          <w:rFonts w:ascii="Gill Sans MT" w:hAnsi="Gill Sans MT"/>
        </w:rPr>
        <w:footnoteReference w:id="12"/>
      </w:r>
    </w:p>
    <w:p w14:paraId="2BEE2604" w14:textId="77777777" w:rsidR="008C3B0B" w:rsidRPr="00B959F9" w:rsidRDefault="008C3B0B" w:rsidP="008C3B0B">
      <w:pPr>
        <w:pStyle w:val="NoSpacing"/>
        <w:spacing w:line="360" w:lineRule="auto"/>
        <w:rPr>
          <w:rFonts w:ascii="Gill Sans MT" w:hAnsi="Gill Sans MT"/>
        </w:rPr>
      </w:pPr>
      <w:r>
        <w:rPr>
          <w:rFonts w:ascii="Gill Sans MT" w:hAnsi="Gill Sans MT"/>
        </w:rPr>
        <w:tab/>
        <w:t xml:space="preserve">Looking more widely across England, evidence from pre-plague testaments from York do not seem to support Weetman’s thesis. Instead, of the thirty-eight testaments which are recorded in </w:t>
      </w:r>
      <w:r>
        <w:rPr>
          <w:rFonts w:ascii="Gill Sans MT" w:hAnsi="Gill Sans MT"/>
          <w:i/>
        </w:rPr>
        <w:t xml:space="preserve">Testamenta Eboracensia </w:t>
      </w:r>
      <w:r>
        <w:rPr>
          <w:rFonts w:ascii="Gill Sans MT" w:hAnsi="Gill Sans MT"/>
        </w:rPr>
        <w:t xml:space="preserve">for the years 1316-1347, </w:t>
      </w:r>
      <w:commentRangeStart w:id="7"/>
      <w:r>
        <w:rPr>
          <w:rFonts w:ascii="Gill Sans MT" w:hAnsi="Gill Sans MT"/>
        </w:rPr>
        <w:t xml:space="preserve">only four of them do not </w:t>
      </w:r>
      <w:commentRangeEnd w:id="7"/>
      <w:r>
        <w:rPr>
          <w:rStyle w:val="CommentReference"/>
        </w:rPr>
        <w:commentReference w:id="7"/>
      </w:r>
      <w:r>
        <w:rPr>
          <w:rFonts w:ascii="Gill Sans MT" w:hAnsi="Gill Sans MT"/>
        </w:rPr>
        <w:t>contain a burial clause.</w:t>
      </w:r>
      <w:r>
        <w:rPr>
          <w:rStyle w:val="FootnoteReference"/>
          <w:rFonts w:ascii="Gill Sans MT" w:hAnsi="Gill Sans MT"/>
        </w:rPr>
        <w:footnoteReference w:id="13"/>
      </w:r>
      <w:r>
        <w:rPr>
          <w:rFonts w:ascii="Gill Sans MT" w:hAnsi="Gill Sans MT"/>
        </w:rPr>
        <w:t xml:space="preserve"> Does the standardisation of the burial clause as part of the testament depend upon ecclesiastical jurisdiction, then, or on other factors? Status may well play a part: the testators whose testaments </w:t>
      </w:r>
      <w:r>
        <w:rPr>
          <w:rFonts w:ascii="Gill Sans MT" w:hAnsi="Gill Sans MT"/>
        </w:rPr>
        <w:lastRenderedPageBreak/>
        <w:t xml:space="preserve">are enrolled in the York volumes are frequently members of the nobility or aristocracy, and could well have been heavily invested in their burial location. For example, as Karen </w:t>
      </w:r>
      <w:r w:rsidRPr="0017379D">
        <w:rPr>
          <w:rFonts w:ascii="Gill Sans MT" w:hAnsi="Gill Sans MT"/>
        </w:rPr>
        <w:t>Stöber</w:t>
      </w:r>
      <w:r>
        <w:rPr>
          <w:rFonts w:ascii="Gill Sans MT" w:hAnsi="Gill Sans MT"/>
        </w:rPr>
        <w:t xml:space="preserve"> has shown, burial in one’s own family monastery was understood to be of great importance as an expression of status, wealth and connections. Testators who were patrons of such institutions thus had good cause to ensure that they were buried there, which they could do through their testaments.</w:t>
      </w:r>
      <w:r>
        <w:rPr>
          <w:rStyle w:val="FootnoteReference"/>
          <w:rFonts w:ascii="Gill Sans MT" w:hAnsi="Gill Sans MT"/>
        </w:rPr>
        <w:footnoteReference w:id="14"/>
      </w:r>
      <w:r>
        <w:rPr>
          <w:rFonts w:ascii="Gill Sans MT" w:hAnsi="Gill Sans MT"/>
        </w:rPr>
        <w:t xml:space="preserve"> Similar arguments could be made for other churches which testators could well have been connected to either through family, their own lifetime giving, or devotional interests. Perhaps for these wealthier members of society it was more important to ensure that burial and commemoration – often very visual, and permanent markers of an individual’s identity – was in the location that they required. Weetman does not reflect on the status of the individuals whose testaments were enrolled in the Husting court, </w:t>
      </w:r>
    </w:p>
    <w:p w14:paraId="6A353F0B" w14:textId="77777777" w:rsidR="008C3B0B" w:rsidRDefault="008C3B0B" w:rsidP="008C3B0B">
      <w:pPr>
        <w:pStyle w:val="NoSpacing"/>
        <w:spacing w:line="360" w:lineRule="auto"/>
        <w:ind w:firstLine="720"/>
        <w:rPr>
          <w:rFonts w:ascii="Gill Sans MT" w:hAnsi="Gill Sans MT"/>
        </w:rPr>
      </w:pPr>
      <w:r>
        <w:rPr>
          <w:rFonts w:ascii="Gill Sans MT" w:hAnsi="Gill Sans MT"/>
        </w:rPr>
        <w:t xml:space="preserve">Certainly by 1387 the burial clause seems to have been a standard part of testaments from London, as evidenced by Frederick Furnivall’s edited collection of early London testaments, starting in the year 1387 and ending in 1454. Of the fifty testaments in the collection, eight do not </w:t>
      </w:r>
      <w:commentRangeStart w:id="8"/>
      <w:r>
        <w:rPr>
          <w:rFonts w:ascii="Gill Sans MT" w:hAnsi="Gill Sans MT"/>
        </w:rPr>
        <w:t>mention</w:t>
      </w:r>
      <w:commentRangeEnd w:id="8"/>
      <w:r>
        <w:rPr>
          <w:rStyle w:val="CommentReference"/>
        </w:rPr>
        <w:commentReference w:id="8"/>
      </w:r>
      <w:r>
        <w:rPr>
          <w:rFonts w:ascii="Gill Sans MT" w:hAnsi="Gill Sans MT"/>
        </w:rPr>
        <w:t xml:space="preserve"> a burial clause, although in three cases this could be down to editorial amendments rather than accurately reflecting the wording of the </w:t>
      </w:r>
      <w:commentRangeStart w:id="9"/>
      <w:r>
        <w:rPr>
          <w:rFonts w:ascii="Gill Sans MT" w:hAnsi="Gill Sans MT"/>
        </w:rPr>
        <w:t>testament</w:t>
      </w:r>
      <w:commentRangeEnd w:id="9"/>
      <w:r>
        <w:rPr>
          <w:rStyle w:val="CommentReference"/>
        </w:rPr>
        <w:commentReference w:id="9"/>
      </w:r>
      <w:r>
        <w:rPr>
          <w:rFonts w:ascii="Gill Sans MT" w:hAnsi="Gill Sans MT"/>
        </w:rPr>
        <w:t>.</w:t>
      </w:r>
      <w:r>
        <w:rPr>
          <w:rStyle w:val="FootnoteReference"/>
          <w:rFonts w:ascii="Gill Sans MT" w:hAnsi="Gill Sans MT"/>
        </w:rPr>
        <w:footnoteReference w:id="15"/>
      </w:r>
      <w:r>
        <w:rPr>
          <w:rFonts w:ascii="Gill Sans MT" w:hAnsi="Gill Sans MT"/>
        </w:rPr>
        <w:t xml:space="preserve"> A </w:t>
      </w:r>
      <w:commentRangeStart w:id="10"/>
      <w:r>
        <w:rPr>
          <w:rFonts w:ascii="Gill Sans MT" w:hAnsi="Gill Sans MT"/>
        </w:rPr>
        <w:t xml:space="preserve">working majority </w:t>
      </w:r>
      <w:commentRangeEnd w:id="10"/>
      <w:r>
        <w:rPr>
          <w:rStyle w:val="CommentReference"/>
        </w:rPr>
        <w:commentReference w:id="10"/>
      </w:r>
      <w:r>
        <w:rPr>
          <w:rFonts w:ascii="Gill Sans MT" w:hAnsi="Gill Sans MT"/>
        </w:rPr>
        <w:t xml:space="preserve">of 84 percent of testaments that do contain a burial clause does however tend to support the argument that by the late fourteenth century at least, London testaments contained a burial clause as part of the testamentary formula.   </w:t>
      </w:r>
    </w:p>
    <w:p w14:paraId="17C06FCD" w14:textId="77777777" w:rsidR="008C3B0B" w:rsidRDefault="008C3B0B" w:rsidP="008C3B0B">
      <w:pPr>
        <w:pStyle w:val="NoSpacing"/>
        <w:spacing w:line="360" w:lineRule="auto"/>
        <w:rPr>
          <w:rFonts w:ascii="Gill Sans MT" w:hAnsi="Gill Sans MT"/>
        </w:rPr>
      </w:pPr>
    </w:p>
    <w:p w14:paraId="4C8DC70A" w14:textId="77777777" w:rsidR="008C3B0B" w:rsidRDefault="008C3B0B" w:rsidP="008C3B0B">
      <w:pPr>
        <w:pStyle w:val="NoSpacing"/>
        <w:spacing w:line="360" w:lineRule="auto"/>
        <w:rPr>
          <w:rFonts w:ascii="Gill Sans MT" w:hAnsi="Gill Sans MT"/>
        </w:rPr>
      </w:pPr>
    </w:p>
    <w:p w14:paraId="7619B3FB" w14:textId="77777777" w:rsidR="008C3B0B" w:rsidRDefault="008C3B0B" w:rsidP="008C3B0B">
      <w:pPr>
        <w:pStyle w:val="NoSpacing"/>
        <w:spacing w:line="360" w:lineRule="auto"/>
        <w:rPr>
          <w:rFonts w:ascii="Gill Sans MT" w:hAnsi="Gill Sans MT"/>
        </w:rPr>
      </w:pPr>
      <w:r>
        <w:rPr>
          <w:rFonts w:ascii="Gill Sans MT" w:hAnsi="Gill Sans MT"/>
        </w:rPr>
        <w:t>BURIALS IN TESTAMENTS: THE PLACE OF THE BURIAL CLAUSE</w:t>
      </w:r>
    </w:p>
    <w:p w14:paraId="531A8CDC" w14:textId="77777777" w:rsidR="008C3B0B" w:rsidRDefault="008C3B0B" w:rsidP="008C3B0B">
      <w:pPr>
        <w:pStyle w:val="NoSpacing"/>
        <w:spacing w:line="360" w:lineRule="auto"/>
        <w:rPr>
          <w:rFonts w:ascii="Gill Sans MT" w:hAnsi="Gill Sans MT"/>
        </w:rPr>
      </w:pPr>
      <w:r>
        <w:rPr>
          <w:rFonts w:ascii="Gill Sans MT" w:hAnsi="Gill Sans MT"/>
        </w:rPr>
        <w:t xml:space="preserve">By the fourteenth century, burial clauses belonged to the opening portion of the testament, forming part of the preamble, and as such </w:t>
      </w:r>
      <w:commentRangeStart w:id="11"/>
      <w:r>
        <w:rPr>
          <w:rFonts w:ascii="Gill Sans MT" w:hAnsi="Gill Sans MT"/>
        </w:rPr>
        <w:t>belong to a rich historiography which has been explored by linguists and historians alike</w:t>
      </w:r>
      <w:commentRangeEnd w:id="11"/>
      <w:r>
        <w:rPr>
          <w:rStyle w:val="CommentReference"/>
        </w:rPr>
        <w:commentReference w:id="11"/>
      </w:r>
      <w:r>
        <w:rPr>
          <w:rFonts w:ascii="Gill Sans MT" w:hAnsi="Gill Sans MT"/>
        </w:rPr>
        <w:t>. Studies have considered the extent to which these often formulaic opening lines can be used as evidence of a testator’s faith, whilst other research has looked at the longevity of these clauses as markers of their significance.</w:t>
      </w:r>
      <w:r>
        <w:rPr>
          <w:rStyle w:val="FootnoteReference"/>
          <w:rFonts w:ascii="Gill Sans MT" w:hAnsi="Gill Sans MT"/>
        </w:rPr>
        <w:footnoteReference w:id="16"/>
      </w:r>
      <w:r>
        <w:rPr>
          <w:rFonts w:ascii="Gill Sans MT" w:hAnsi="Gill Sans MT"/>
        </w:rPr>
        <w:t xml:space="preserve"> More recently Alison Spedding has </w:t>
      </w:r>
      <w:r>
        <w:rPr>
          <w:rFonts w:ascii="Gill Sans MT" w:hAnsi="Gill Sans MT"/>
        </w:rPr>
        <w:lastRenderedPageBreak/>
        <w:t>linguistically analysed formulaic phrases from preambles written in English, French and Latin in order to assess the extent to which testamentary language facilitated individual expression and creativity.</w:t>
      </w:r>
      <w:r>
        <w:rPr>
          <w:rStyle w:val="FootnoteReference"/>
          <w:rFonts w:ascii="Gill Sans MT" w:hAnsi="Gill Sans MT"/>
        </w:rPr>
        <w:footnoteReference w:id="17"/>
      </w:r>
      <w:r>
        <w:rPr>
          <w:rFonts w:ascii="Gill Sans MT" w:hAnsi="Gill Sans MT"/>
        </w:rPr>
        <w:t xml:space="preserve"> This ties in with work by Elisabeth Salter which shows that the burial clause marks the end of the formulaic preamble, and the beginning of the testament, arguably opening up creative possibilities for the testator.</w:t>
      </w:r>
      <w:r>
        <w:rPr>
          <w:rStyle w:val="FootnoteReference"/>
          <w:rFonts w:ascii="Gill Sans MT" w:hAnsi="Gill Sans MT"/>
        </w:rPr>
        <w:footnoteReference w:id="18"/>
      </w:r>
      <w:r>
        <w:rPr>
          <w:rFonts w:ascii="Gill Sans MT" w:hAnsi="Gill Sans MT"/>
        </w:rPr>
        <w:t xml:space="preserve"> Spedding however conceptualises the post-1300 preamble as comprising of three sections: the divine invocation, general preamble, and pious preamble. It is in this last section that we find the burial clause, and it is followed by obsequies, pious bequests and the payment of debts.</w:t>
      </w:r>
      <w:r>
        <w:rPr>
          <w:rStyle w:val="FootnoteReference"/>
          <w:rFonts w:ascii="Gill Sans MT" w:hAnsi="Gill Sans MT"/>
        </w:rPr>
        <w:footnoteReference w:id="19"/>
      </w:r>
      <w:r>
        <w:rPr>
          <w:rFonts w:ascii="Gill Sans MT" w:hAnsi="Gill Sans MT"/>
        </w:rPr>
        <w:t xml:space="preserve"> Although the burial clause is, according to Spedding, part of the formulaic preamble as opposed to marking the start of the testament proper, the variation in descriptions of burial space certainly seem to point to the creative potential which this section of the testament held for testators.</w:t>
      </w:r>
      <w:r>
        <w:rPr>
          <w:rStyle w:val="FootnoteReference"/>
          <w:rFonts w:ascii="Gill Sans MT" w:hAnsi="Gill Sans MT"/>
        </w:rPr>
        <w:footnoteReference w:id="20"/>
      </w:r>
      <w:r>
        <w:rPr>
          <w:rFonts w:ascii="Gill Sans MT" w:hAnsi="Gill Sans MT"/>
        </w:rPr>
        <w:t xml:space="preserve"> </w:t>
      </w:r>
    </w:p>
    <w:p w14:paraId="3C9AA452" w14:textId="77777777" w:rsidR="008C3B0B" w:rsidRDefault="008C3B0B" w:rsidP="008C3B0B">
      <w:pPr>
        <w:pStyle w:val="NoSpacing"/>
        <w:spacing w:line="360" w:lineRule="auto"/>
        <w:rPr>
          <w:rFonts w:ascii="Gill Sans MT" w:hAnsi="Gill Sans MT"/>
        </w:rPr>
      </w:pPr>
    </w:p>
    <w:p w14:paraId="139EB3CF" w14:textId="77777777" w:rsidR="008C3B0B" w:rsidRDefault="008C3B0B" w:rsidP="008C3B0B">
      <w:pPr>
        <w:pStyle w:val="NoSpacing"/>
        <w:spacing w:line="360" w:lineRule="auto"/>
        <w:rPr>
          <w:rFonts w:ascii="Gill Sans MT" w:hAnsi="Gill Sans MT"/>
        </w:rPr>
      </w:pPr>
    </w:p>
    <w:p w14:paraId="4A64D3C1" w14:textId="77777777" w:rsidR="004920B6" w:rsidRDefault="004920B6">
      <w:bookmarkStart w:id="12" w:name="_GoBack"/>
      <w:bookmarkEnd w:id="12"/>
    </w:p>
    <w:sectPr w:rsidR="004920B6">
      <w:footerReference w:type="default" r:id="rI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endy Scase" w:date="2017-12-14T10:02:00Z" w:initials="WS">
    <w:p w14:paraId="4E169E52" w14:textId="77777777" w:rsidR="008C3B0B" w:rsidRDefault="008C3B0B" w:rsidP="008C3B0B">
      <w:pPr>
        <w:pStyle w:val="CommentText"/>
      </w:pPr>
      <w:r>
        <w:rPr>
          <w:rStyle w:val="CommentReference"/>
        </w:rPr>
        <w:annotationRef/>
      </w:r>
      <w:r>
        <w:t>What was the status of the body as regards ‘goods’, moveable and immoveable??</w:t>
      </w:r>
    </w:p>
  </w:comment>
  <w:comment w:id="1" w:author="Wendy Scase" w:date="2017-12-14T10:01:00Z" w:initials="WS">
    <w:p w14:paraId="54C4A068" w14:textId="77777777" w:rsidR="008C3B0B" w:rsidRDefault="008C3B0B" w:rsidP="008C3B0B">
      <w:pPr>
        <w:pStyle w:val="CommentText"/>
      </w:pPr>
      <w:r>
        <w:rPr>
          <w:rStyle w:val="CommentReference"/>
        </w:rPr>
        <w:annotationRef/>
      </w:r>
      <w:r>
        <w:t>contains</w:t>
      </w:r>
    </w:p>
  </w:comment>
  <w:comment w:id="2" w:author="Marchbank Alexandra" w:date="2017-12-12T14:38:00Z" w:initials="MA">
    <w:p w14:paraId="164A8FD9" w14:textId="77777777" w:rsidR="008C3B0B" w:rsidRDefault="008C3B0B" w:rsidP="008C3B0B">
      <w:pPr>
        <w:pStyle w:val="CommentText"/>
        <w:rPr>
          <w:color w:val="000000"/>
          <w:sz w:val="22"/>
          <w:szCs w:val="22"/>
          <w:shd w:val="clear" w:color="auto" w:fill="EFEFEF"/>
        </w:rPr>
      </w:pPr>
      <w:r>
        <w:rPr>
          <w:rStyle w:val="CommentReference"/>
        </w:rPr>
        <w:annotationRef/>
      </w:r>
      <w:r>
        <w:t xml:space="preserve">I’ve used the B-text from the ‘Corpus of Middle English Prose and Verse’ for this (at </w:t>
      </w:r>
      <w:hyperlink r:id="rId1" w:history="1">
        <w:r w:rsidRPr="00421A90">
          <w:rPr>
            <w:rStyle w:val="Hyperlink"/>
            <w:sz w:val="22"/>
            <w:szCs w:val="22"/>
            <w:shd w:val="clear" w:color="auto" w:fill="EFEFEF"/>
          </w:rPr>
          <w:t>http://name.umdl.umich.edu/PPlLan</w:t>
        </w:r>
      </w:hyperlink>
      <w:r w:rsidRPr="00421A90">
        <w:rPr>
          <w:color w:val="000000"/>
          <w:sz w:val="22"/>
          <w:szCs w:val="22"/>
          <w:shd w:val="clear" w:color="auto" w:fill="EFEFEF"/>
        </w:rPr>
        <w:t>) – Wendy, is this ok or are there better versions out there? Thanks!</w:t>
      </w:r>
    </w:p>
    <w:p w14:paraId="457D380C" w14:textId="77777777" w:rsidR="008C3B0B" w:rsidRDefault="008C3B0B" w:rsidP="008C3B0B">
      <w:pPr>
        <w:pStyle w:val="CommentText"/>
        <w:rPr>
          <w:color w:val="000000"/>
          <w:sz w:val="22"/>
          <w:szCs w:val="22"/>
          <w:shd w:val="clear" w:color="auto" w:fill="EFEFEF"/>
        </w:rPr>
      </w:pPr>
    </w:p>
    <w:p w14:paraId="6FDBF162" w14:textId="77777777" w:rsidR="008C3B0B" w:rsidRPr="00421A90" w:rsidRDefault="008C3B0B" w:rsidP="008C3B0B">
      <w:pPr>
        <w:pStyle w:val="CommentText"/>
        <w:rPr>
          <w:b/>
        </w:rPr>
      </w:pPr>
      <w:r>
        <w:rPr>
          <w:color w:val="000000"/>
          <w:sz w:val="22"/>
          <w:szCs w:val="22"/>
          <w:shd w:val="clear" w:color="auto" w:fill="EFEFEF"/>
        </w:rPr>
        <w:t>Standard editions are the B-Text edition ed. by AVC Schmidt or the parallel text edn ed by Schmidt.</w:t>
      </w:r>
    </w:p>
  </w:comment>
  <w:comment w:id="3" w:author="Wendy Scase" w:date="2017-12-14T10:04:00Z" w:initials="WS">
    <w:p w14:paraId="63C83250" w14:textId="77777777" w:rsidR="008C3B0B" w:rsidRDefault="008C3B0B" w:rsidP="008C3B0B">
      <w:pPr>
        <w:pStyle w:val="CommentText"/>
      </w:pPr>
      <w:r>
        <w:rPr>
          <w:rStyle w:val="CommentReference"/>
        </w:rPr>
        <w:annotationRef/>
      </w:r>
      <w:r>
        <w:t>And that decisions were politically freighted</w:t>
      </w:r>
    </w:p>
  </w:comment>
  <w:comment w:id="4" w:author="Wendy Scase" w:date="2017-12-14T10:05:00Z" w:initials="WS">
    <w:p w14:paraId="123F0EB1" w14:textId="77777777" w:rsidR="008C3B0B" w:rsidRDefault="008C3B0B" w:rsidP="008C3B0B">
      <w:pPr>
        <w:pStyle w:val="CommentText"/>
      </w:pPr>
      <w:r>
        <w:rPr>
          <w:rStyle w:val="CommentReference"/>
        </w:rPr>
        <w:annotationRef/>
      </w:r>
      <w:r>
        <w:t>Syntax needs revision: ‘He argues that in a short period of time, however, ...’</w:t>
      </w:r>
    </w:p>
  </w:comment>
  <w:comment w:id="5" w:author="Wendy Scase" w:date="2017-12-14T10:07:00Z" w:initials="WS">
    <w:p w14:paraId="182357CC" w14:textId="77777777" w:rsidR="008C3B0B" w:rsidRDefault="008C3B0B" w:rsidP="008C3B0B">
      <w:pPr>
        <w:pStyle w:val="CommentText"/>
      </w:pPr>
      <w:r>
        <w:rPr>
          <w:rStyle w:val="CommentReference"/>
        </w:rPr>
        <w:annotationRef/>
      </w:r>
      <w:r>
        <w:t>and he claims that from 1351 onwards ...</w:t>
      </w:r>
    </w:p>
  </w:comment>
  <w:comment w:id="6" w:author="Wendy Scase" w:date="2017-12-14T10:08:00Z" w:initials="WS">
    <w:p w14:paraId="1EEBE921" w14:textId="77777777" w:rsidR="008C3B0B" w:rsidRDefault="008C3B0B" w:rsidP="008C3B0B">
      <w:pPr>
        <w:pStyle w:val="CommentText"/>
      </w:pPr>
      <w:r>
        <w:rPr>
          <w:rStyle w:val="CommentReference"/>
        </w:rPr>
        <w:annotationRef/>
      </w:r>
      <w:r>
        <w:t>clarify?</w:t>
      </w:r>
    </w:p>
  </w:comment>
  <w:comment w:id="7" w:author="Wendy Scase" w:date="2017-12-14T10:09:00Z" w:initials="WS">
    <w:p w14:paraId="5B5B5D6B" w14:textId="77777777" w:rsidR="008C3B0B" w:rsidRDefault="008C3B0B" w:rsidP="008C3B0B">
      <w:pPr>
        <w:pStyle w:val="CommentText"/>
      </w:pPr>
      <w:r>
        <w:rPr>
          <w:rStyle w:val="CommentReference"/>
        </w:rPr>
        <w:annotationRef/>
      </w:r>
      <w:r>
        <w:t>Convincing rebuttal of Weetman</w:t>
      </w:r>
    </w:p>
  </w:comment>
  <w:comment w:id="8" w:author="Wendy Scase" w:date="2017-12-14T10:11:00Z" w:initials="WS">
    <w:p w14:paraId="5B1BC82E" w14:textId="77777777" w:rsidR="008C3B0B" w:rsidRDefault="008C3B0B" w:rsidP="008C3B0B">
      <w:pPr>
        <w:pStyle w:val="CommentText"/>
      </w:pPr>
      <w:r>
        <w:rPr>
          <w:rStyle w:val="CommentReference"/>
        </w:rPr>
        <w:annotationRef/>
      </w:r>
      <w:r>
        <w:t>include</w:t>
      </w:r>
    </w:p>
  </w:comment>
  <w:comment w:id="9" w:author="Wendy Scase" w:date="2017-12-14T10:11:00Z" w:initials="WS">
    <w:p w14:paraId="53DB85A5" w14:textId="77777777" w:rsidR="008C3B0B" w:rsidRDefault="008C3B0B" w:rsidP="008C3B0B">
      <w:pPr>
        <w:pStyle w:val="CommentText"/>
      </w:pPr>
      <w:r>
        <w:rPr>
          <w:rStyle w:val="CommentReference"/>
        </w:rPr>
        <w:annotationRef/>
      </w:r>
      <w:r>
        <w:t xml:space="preserve">probably you need to investigate this to assess the </w:t>
      </w:r>
    </w:p>
    <w:p w14:paraId="27A2EB3A" w14:textId="77777777" w:rsidR="008C3B0B" w:rsidRDefault="008C3B0B" w:rsidP="008C3B0B">
      <w:pPr>
        <w:pStyle w:val="CommentText"/>
      </w:pPr>
    </w:p>
    <w:p w14:paraId="3026D335" w14:textId="77777777" w:rsidR="008C3B0B" w:rsidRDefault="008C3B0B" w:rsidP="008C3B0B">
      <w:pPr>
        <w:pStyle w:val="CommentText"/>
      </w:pPr>
    </w:p>
    <w:p w14:paraId="5C816880" w14:textId="77777777" w:rsidR="008C3B0B" w:rsidRDefault="008C3B0B" w:rsidP="008C3B0B">
      <w:pPr>
        <w:pStyle w:val="CommentText"/>
      </w:pPr>
    </w:p>
    <w:p w14:paraId="6B92E4F1" w14:textId="77777777" w:rsidR="008C3B0B" w:rsidRDefault="008C3B0B" w:rsidP="008C3B0B">
      <w:pPr>
        <w:pStyle w:val="CommentText"/>
      </w:pPr>
    </w:p>
  </w:comment>
  <w:comment w:id="10" w:author="Wendy Scase" w:date="2017-12-14T10:12:00Z" w:initials="WS">
    <w:p w14:paraId="7D65E7B6" w14:textId="77777777" w:rsidR="008C3B0B" w:rsidRDefault="008C3B0B" w:rsidP="008C3B0B">
      <w:pPr>
        <w:pStyle w:val="CommentText"/>
      </w:pPr>
      <w:r>
        <w:rPr>
          <w:rStyle w:val="CommentReference"/>
        </w:rPr>
        <w:annotationRef/>
      </w:r>
      <w:r>
        <w:t>clarify</w:t>
      </w:r>
    </w:p>
  </w:comment>
  <w:comment w:id="11" w:author="Wendy Scase" w:date="2017-12-14T10:13:00Z" w:initials="WS">
    <w:p w14:paraId="49771C31" w14:textId="77777777" w:rsidR="008C3B0B" w:rsidRDefault="008C3B0B" w:rsidP="008C3B0B">
      <w:pPr>
        <w:pStyle w:val="CommentText"/>
      </w:pPr>
      <w:r>
        <w:rPr>
          <w:rStyle w:val="CommentReference"/>
        </w:rPr>
        <w:annotationRef/>
      </w:r>
      <w:r>
        <w:t>rephrase – linguists and historians contribute to the historiography, rather than investigating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169E52" w15:done="0"/>
  <w15:commentEx w15:paraId="54C4A068" w15:done="0"/>
  <w15:commentEx w15:paraId="6FDBF162" w15:done="0"/>
  <w15:commentEx w15:paraId="63C83250" w15:done="0"/>
  <w15:commentEx w15:paraId="123F0EB1" w15:done="0"/>
  <w15:commentEx w15:paraId="182357CC" w15:done="0"/>
  <w15:commentEx w15:paraId="1EEBE921" w15:done="0"/>
  <w15:commentEx w15:paraId="5B5B5D6B" w15:done="0"/>
  <w15:commentEx w15:paraId="5B1BC82E" w15:done="0"/>
  <w15:commentEx w15:paraId="6B92E4F1" w15:done="0"/>
  <w15:commentEx w15:paraId="7D65E7B6" w15:done="0"/>
  <w15:commentEx w15:paraId="49771C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47A7E" w14:textId="77777777" w:rsidR="008C3B0B" w:rsidRDefault="008C3B0B" w:rsidP="008C3B0B">
      <w:pPr>
        <w:spacing w:after="0" w:line="240" w:lineRule="auto"/>
      </w:pPr>
      <w:r>
        <w:separator/>
      </w:r>
    </w:p>
  </w:endnote>
  <w:endnote w:type="continuationSeparator" w:id="0">
    <w:p w14:paraId="427B5A4D" w14:textId="77777777" w:rsidR="008C3B0B" w:rsidRDefault="008C3B0B" w:rsidP="008C3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ill Sans MT">
    <w:altName w:val="Segoe UI"/>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205524"/>
      <w:docPartObj>
        <w:docPartGallery w:val="Page Numbers (Bottom of Page)"/>
        <w:docPartUnique/>
      </w:docPartObj>
    </w:sdtPr>
    <w:sdtEndPr>
      <w:rPr>
        <w:noProof/>
      </w:rPr>
    </w:sdtEndPr>
    <w:sdtContent>
      <w:p w14:paraId="7967DC5D" w14:textId="77777777" w:rsidR="00B83DF1" w:rsidRDefault="008C3B0B">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207DDCAA" w14:textId="77777777" w:rsidR="00B83DF1" w:rsidRDefault="008C3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40AF5" w14:textId="77777777" w:rsidR="008C3B0B" w:rsidRDefault="008C3B0B" w:rsidP="008C3B0B">
      <w:pPr>
        <w:spacing w:after="0" w:line="240" w:lineRule="auto"/>
      </w:pPr>
      <w:r>
        <w:separator/>
      </w:r>
    </w:p>
  </w:footnote>
  <w:footnote w:type="continuationSeparator" w:id="0">
    <w:p w14:paraId="48DAA2DD" w14:textId="77777777" w:rsidR="008C3B0B" w:rsidRDefault="008C3B0B" w:rsidP="008C3B0B">
      <w:pPr>
        <w:spacing w:after="0" w:line="240" w:lineRule="auto"/>
      </w:pPr>
      <w:r>
        <w:continuationSeparator/>
      </w:r>
    </w:p>
  </w:footnote>
  <w:footnote w:id="1">
    <w:p w14:paraId="17B6015F" w14:textId="77777777" w:rsidR="008C3B0B" w:rsidRDefault="008C3B0B" w:rsidP="008C3B0B">
      <w:pPr>
        <w:pStyle w:val="FootnoteText"/>
      </w:pPr>
      <w:r>
        <w:rPr>
          <w:rStyle w:val="FootnoteReference"/>
        </w:rPr>
        <w:footnoteRef/>
      </w:r>
      <w:r>
        <w:t xml:space="preserve"> </w:t>
      </w:r>
      <w:r>
        <w:rPr>
          <w:rFonts w:ascii="Gill Sans MT" w:hAnsi="Gill Sans MT"/>
        </w:rPr>
        <w:t xml:space="preserve">By later standards these documents are not ‘wills’ as they do not necessarily deal with the post-mortem distribution of the testators property, they do not always name an executor, and they are not always revocable and ambulatory, although they may possess some of these qualities. </w:t>
      </w:r>
      <w:r>
        <w:rPr>
          <w:rFonts w:ascii="Gill Sans MT" w:hAnsi="Gill Sans MT"/>
        </w:rPr>
        <w:fldChar w:fldCharType="begin"/>
      </w:r>
      <w:r>
        <w:rPr>
          <w:rFonts w:ascii="Gill Sans MT" w:hAnsi="Gill Sans MT"/>
        </w:rPr>
        <w:instrText xml:space="preserve"> ADDIN ZOTERO_ITEM CSL_CITATION {"citationID":"CQUzXqlq","properties":{"formattedCitation":"{\\rtf H. D. Hazeltine, \\uc0\\u8216{}General Preface\\uc0\\u8217{}, in {\\i{}Anglo-Saxon Wills}, ed. by Dorothy Whitelock (Cambridge, 1930), pp. vii\\uc0\\u8211{}xl (p. vii).}","plainCitation":"H. D. Hazeltine, ‘General Preface’, in Anglo-Saxon Wills, ed. by Dorothy Whitelock (Cambridge, 1930), pp. vii–xl (p. vii)."},"citationItems":[{"id":987,"uris":["http://zotero.org/users/3040898/items/TP7X9HVY"],"uri":["http://zotero.org/users/3040898/items/TP7X9HVY"],"itemData":{"id":987,"type":"chapter","title":"General Preface","container-title":"Anglo-Saxon Wills","publisher-place":"Cambridge","page":"vii-xl","source":"Google book","event-place":"Cambridge","note":"some notes on m/s - google book not complete\nAlso available in Hallward","author":[{"family":"Hazeltine","given":"H. D."}],"editor":[{"family":"Whitelock","given":"Dorothy"}],"issued":{"date-parts":[["1930"]]}},"locator":"vii"}],"schema":"https://github.com/citation-style-language/schema/raw/master/csl-citation.json"} </w:instrText>
      </w:r>
      <w:r>
        <w:rPr>
          <w:rFonts w:ascii="Gill Sans MT" w:hAnsi="Gill Sans MT"/>
        </w:rPr>
        <w:fldChar w:fldCharType="separate"/>
      </w:r>
      <w:r w:rsidRPr="00B83DF1">
        <w:rPr>
          <w:rFonts w:ascii="Gill Sans MT" w:hAnsi="Gill Sans MT" w:cs="Times New Roman"/>
          <w:szCs w:val="24"/>
        </w:rPr>
        <w:t xml:space="preserve">H. D. Hazeltine, ‘General Preface’, in </w:t>
      </w:r>
      <w:r w:rsidRPr="00B83DF1">
        <w:rPr>
          <w:rFonts w:ascii="Gill Sans MT" w:hAnsi="Gill Sans MT" w:cs="Times New Roman"/>
          <w:i/>
          <w:iCs/>
          <w:szCs w:val="24"/>
        </w:rPr>
        <w:t>Anglo-Saxon Wills</w:t>
      </w:r>
      <w:r w:rsidRPr="00B83DF1">
        <w:rPr>
          <w:rFonts w:ascii="Gill Sans MT" w:hAnsi="Gill Sans MT" w:cs="Times New Roman"/>
          <w:szCs w:val="24"/>
        </w:rPr>
        <w:t>, ed. by Dorothy Whit</w:t>
      </w:r>
      <w:r>
        <w:rPr>
          <w:rFonts w:ascii="Gill Sans MT" w:hAnsi="Gill Sans MT" w:cs="Times New Roman"/>
          <w:szCs w:val="24"/>
        </w:rPr>
        <w:t xml:space="preserve">elock (Cambridge, 1930), </w:t>
      </w:r>
      <w:r w:rsidRPr="00B83DF1">
        <w:rPr>
          <w:rFonts w:ascii="Gill Sans MT" w:hAnsi="Gill Sans MT" w:cs="Times New Roman"/>
          <w:szCs w:val="24"/>
        </w:rPr>
        <w:t>p. vii.</w:t>
      </w:r>
      <w:r>
        <w:rPr>
          <w:rFonts w:ascii="Gill Sans MT" w:hAnsi="Gill Sans MT"/>
        </w:rPr>
        <w:fldChar w:fldCharType="end"/>
      </w:r>
      <w:r>
        <w:rPr>
          <w:rFonts w:ascii="Gill Sans MT" w:hAnsi="Gill Sans MT"/>
        </w:rPr>
        <w:t xml:space="preserve"> </w:t>
      </w:r>
    </w:p>
  </w:footnote>
  <w:footnote w:id="2">
    <w:p w14:paraId="3C5F4592" w14:textId="77777777" w:rsidR="008C3B0B" w:rsidRDefault="008C3B0B" w:rsidP="008C3B0B">
      <w:pPr>
        <w:pStyle w:val="FootnoteText"/>
      </w:pPr>
      <w:r>
        <w:rPr>
          <w:rStyle w:val="FootnoteReference"/>
        </w:rPr>
        <w:footnoteRef/>
      </w:r>
      <w:r>
        <w:t xml:space="preserve"> </w:t>
      </w:r>
      <w:r>
        <w:fldChar w:fldCharType="begin"/>
      </w:r>
      <w:r>
        <w:instrText xml:space="preserve"> ADDIN ZOTERO_ITEM CSL_CITATION {"citationID":"uf3Hr4uk","properties":{"formattedCitation":"{\\rtf {\\i{}Anglo-Saxon Wills}, ed. by Dorothy Whitelock (Cambridge, 1930).}","plainCitation":"Anglo-Saxon Wills, ed. by Dorothy Whitelock (Cambridge, 1930)."},"citationItems":[{"id":997,"uris":["http://zotero.org/users/3040898/items/KHRTGCI6"],"uri":["http://zotero.org/users/3040898/items/KHRTGCI6"],"itemData":{"id":997,"type":"book","title":"Anglo-Saxon Wills","publisher-place":"Cambridge","source":"Google book","event-place":"Cambridge","note":"some notes on m/s - google book not complete\nAlso available in Hallward","editor":[{"family":"Whitelock","given":"Dorothy"}],"issued":{"date-parts":[["1930"]]}}}],"schema":"https://github.com/citation-style-language/schema/raw/master/csl-citation.json"} </w:instrText>
      </w:r>
      <w:r>
        <w:fldChar w:fldCharType="separate"/>
      </w:r>
      <w:r w:rsidRPr="004E0B7A">
        <w:rPr>
          <w:rFonts w:ascii="Calibri" w:hAnsi="Calibri" w:cs="Times New Roman"/>
          <w:i/>
          <w:iCs/>
          <w:szCs w:val="24"/>
        </w:rPr>
        <w:t>Anglo-Saxon Wills</w:t>
      </w:r>
      <w:r w:rsidRPr="004E0B7A">
        <w:rPr>
          <w:rFonts w:ascii="Calibri" w:hAnsi="Calibri" w:cs="Times New Roman"/>
          <w:szCs w:val="24"/>
        </w:rPr>
        <w:t>, ed. by Dorothy Whitelock (Cambridge, 1930).</w:t>
      </w:r>
      <w:r>
        <w:fldChar w:fldCharType="end"/>
      </w:r>
    </w:p>
  </w:footnote>
  <w:footnote w:id="3">
    <w:p w14:paraId="2DFCC463" w14:textId="77777777" w:rsidR="008C3B0B" w:rsidRDefault="008C3B0B" w:rsidP="008C3B0B">
      <w:pPr>
        <w:pStyle w:val="FootnoteText"/>
      </w:pPr>
      <w:r>
        <w:rPr>
          <w:rStyle w:val="FootnoteReference"/>
        </w:rPr>
        <w:footnoteRef/>
      </w:r>
      <w:r>
        <w:t xml:space="preserve"> </w:t>
      </w:r>
      <w:r>
        <w:fldChar w:fldCharType="begin"/>
      </w:r>
      <w:r>
        <w:instrText xml:space="preserve"> ADDIN ZOTERO_ITEM CSL_CITATION {"citationID":"UrgkqMoN","properties":{"formattedCitation":"{\\rtf Vanessa A. Harding, \\uc0\\u8216{}\\uc0\\u8220{}And One More May Be Laid There\\uc0\\u8221{}: The Location of Burials in Early Modern London\\uc0\\u8217{}, {\\i{}The London Journal}, 14 (1989), 112\\uc0\\u8211{}29 (p. 113).}","plainCitation":"Vanessa A. Harding, ‘“And One More May Be Laid There”: The Location of Burials in Early Modern London’, The London Journal, 14 (1989), 112–29 (p. 113)."},"citationItems":[{"id":857,"uris":["http://zotero.org/users/3040898/items/WKJTFJCC"],"uri":["http://zotero.org/users/3040898/items/WKJTFJCC"],"itemData":{"id":857,"type":"article-journal","title":"'And one more may be laid there': the Location of Burials in Early Modern London","container-title":"The London Journal","page":"112-129","volume":"14","source":"ILL","note":"PDF on m/s \nPrintout in folder\nNotes on m/s","author":[{"family":"Harding","given":"Vanessa A."}],"issued":{"date-parts":[["1989"]]}},"locator":"113"}],"schema":"https://github.com/citation-style-language/schema/raw/master/csl-citation.json"} </w:instrText>
      </w:r>
      <w:r>
        <w:fldChar w:fldCharType="separate"/>
      </w:r>
      <w:r w:rsidRPr="002121D4">
        <w:rPr>
          <w:rFonts w:ascii="Calibri" w:hAnsi="Calibri" w:cs="Times New Roman"/>
          <w:szCs w:val="24"/>
        </w:rPr>
        <w:t xml:space="preserve">Vanessa A. Harding, ‘“And One More May Be Laid There”: The Location of Burials in Early Modern London’, </w:t>
      </w:r>
      <w:r w:rsidRPr="002121D4">
        <w:rPr>
          <w:rFonts w:ascii="Calibri" w:hAnsi="Calibri" w:cs="Times New Roman"/>
          <w:i/>
          <w:iCs/>
          <w:szCs w:val="24"/>
        </w:rPr>
        <w:t>The London Journal</w:t>
      </w:r>
      <w:r w:rsidRPr="002121D4">
        <w:rPr>
          <w:rFonts w:ascii="Calibri" w:hAnsi="Calibri" w:cs="Times New Roman"/>
          <w:szCs w:val="24"/>
        </w:rPr>
        <w:t>, 14 (1989), 112–29 (p. 113).</w:t>
      </w:r>
      <w:r>
        <w:fldChar w:fldCharType="end"/>
      </w:r>
    </w:p>
  </w:footnote>
  <w:footnote w:id="4">
    <w:p w14:paraId="5506D557" w14:textId="77777777" w:rsidR="008C3B0B" w:rsidRDefault="008C3B0B" w:rsidP="008C3B0B">
      <w:pPr>
        <w:pStyle w:val="FootnoteText"/>
      </w:pPr>
      <w:r>
        <w:rPr>
          <w:rStyle w:val="FootnoteReference"/>
        </w:rPr>
        <w:footnoteRef/>
      </w:r>
      <w:r>
        <w:t xml:space="preserve"> </w:t>
      </w:r>
      <w:r>
        <w:fldChar w:fldCharType="begin"/>
      </w:r>
      <w:r>
        <w:instrText xml:space="preserve"> ADDIN ZOTERO_ITEM CSL_CITATION {"citationID":"0bB1c1jv","properties":{"formattedCitation":"{\\rtf Ian Forrest, \\uc0\\u8216{}The Politics of Burial in Late Medieval Hereford\\uc0\\u8217{}, {\\i{}English Historical Review}, 125.516 (2010), 1110\\uc0\\u8211{}38.}","plainCitation":"Ian Forrest, ‘The Politics of Burial in Late Medieval Hereford’, English Historical Review, 125.516 (2010), 1110–38."},"citationItems":[{"id":643,"uris":["http://zotero.org/users/3040898/items/SUF5R4EZ"],"uri":["http://zotero.org/users/3040898/items/SUF5R4EZ"],"itemData":{"id":643,"type":"article-journal","title":"The politics of burial in late medieval Hereford","container-title":"English Historical Review","page":"1110-1138","volume":"125","issue":"516","archive_location":"PDF on m/s","note":"printout in folder","author":[{"family":"Forrest","given":"Ian"}],"issued":{"date-parts":[["2010"]]}}}],"schema":"https://github.com/citation-style-language/schema/raw/master/csl-citation.json"} </w:instrText>
      </w:r>
      <w:r>
        <w:fldChar w:fldCharType="separate"/>
      </w:r>
      <w:r w:rsidRPr="00D37758">
        <w:rPr>
          <w:rFonts w:ascii="Calibri" w:hAnsi="Calibri" w:cs="Times New Roman"/>
          <w:szCs w:val="24"/>
        </w:rPr>
        <w:t xml:space="preserve">Ian Forrest, ‘The Politics of Burial in Late Medieval Hereford’, </w:t>
      </w:r>
      <w:r w:rsidRPr="00D37758">
        <w:rPr>
          <w:rFonts w:ascii="Calibri" w:hAnsi="Calibri" w:cs="Times New Roman"/>
          <w:i/>
          <w:iCs/>
          <w:szCs w:val="24"/>
        </w:rPr>
        <w:t>English Historical Review</w:t>
      </w:r>
      <w:r w:rsidRPr="00D37758">
        <w:rPr>
          <w:rFonts w:ascii="Calibri" w:hAnsi="Calibri" w:cs="Times New Roman"/>
          <w:szCs w:val="24"/>
        </w:rPr>
        <w:t>, 125.516 (2010), 1110–38.</w:t>
      </w:r>
      <w:r>
        <w:fldChar w:fldCharType="end"/>
      </w:r>
    </w:p>
  </w:footnote>
  <w:footnote w:id="5">
    <w:p w14:paraId="02336079" w14:textId="77777777" w:rsidR="008C3B0B" w:rsidRDefault="008C3B0B" w:rsidP="008C3B0B">
      <w:pPr>
        <w:pStyle w:val="FootnoteText"/>
      </w:pPr>
      <w:r>
        <w:rPr>
          <w:rStyle w:val="FootnoteReference"/>
        </w:rPr>
        <w:footnoteRef/>
      </w:r>
      <w:r>
        <w:t xml:space="preserve"> </w:t>
      </w:r>
      <w:r>
        <w:fldChar w:fldCharType="begin"/>
      </w:r>
      <w:r>
        <w:instrText xml:space="preserve"> ADDIN ZOTERO_ITEM CSL_CITATION {"citationID":"jhk7QQMk","properties":{"formattedCitation":"{\\rtf S. K. Wray and R. Cossar, \\uc0\\u8216{}Wills as Primary Sources\\uc0\\u8217{}, in {\\i{}Understanding Medieval Primary Sources}, ed. by Joel T. Rosenthal (Abingdon, 2012), pp. 59\\uc0\\u8211{}71 (p. 61).}","plainCitation":"S. K. Wray and R. Cossar, ‘Wills as Primary Sources’, in Understanding Medieval Primary Sources, ed. by Joel T. Rosenthal (Abingdon, 2012), pp. 59–71 (p. 61)."},"citationItems":[{"id":322,"uris":["http://zotero.org/users/3040898/items/JVMRD9ER"],"uri":["http://zotero.org/users/3040898/items/JVMRD9ER"],"itemData":{"id":322,"type":"chapter","title":"Wills as Primary Sources","container-title":"Understanding Medieval Primary Sources","publisher-place":"Abingdon","page":"59-71","source":"D113.U6 also Google Book","event-place":"Abingdon","note":"From Hannah Ward bibliography","author":[{"family":"Wray","given":"S. K."},{"family":"Cossar","given":"R."}],"editor":[{"family":"Rosenthal","given":"Joel T."}],"issued":{"date-parts":[["2012"]]}},"locator":"61"}],"schema":"https://github.com/citation-style-language/schema/raw/master/csl-citation.json"} </w:instrText>
      </w:r>
      <w:r>
        <w:fldChar w:fldCharType="separate"/>
      </w:r>
      <w:r w:rsidRPr="00D24663">
        <w:rPr>
          <w:rFonts w:ascii="Calibri" w:hAnsi="Calibri" w:cs="Times New Roman"/>
          <w:szCs w:val="24"/>
        </w:rPr>
        <w:t xml:space="preserve">S. K. Wray and R. Cossar, ‘Wills as Primary Sources’, in </w:t>
      </w:r>
      <w:r w:rsidRPr="00D24663">
        <w:rPr>
          <w:rFonts w:ascii="Calibri" w:hAnsi="Calibri" w:cs="Times New Roman"/>
          <w:i/>
          <w:iCs/>
          <w:szCs w:val="24"/>
        </w:rPr>
        <w:t>Understanding Medieval Primary Sources</w:t>
      </w:r>
      <w:r w:rsidRPr="00D24663">
        <w:rPr>
          <w:rFonts w:ascii="Calibri" w:hAnsi="Calibri" w:cs="Times New Roman"/>
          <w:szCs w:val="24"/>
        </w:rPr>
        <w:t>, ed. by Joel T. Rosenthal (Abingdon, 2012), pp. 59–71 (p. 61).</w:t>
      </w:r>
      <w:r>
        <w:fldChar w:fldCharType="end"/>
      </w:r>
    </w:p>
  </w:footnote>
  <w:footnote w:id="6">
    <w:p w14:paraId="0808AAB9" w14:textId="77777777" w:rsidR="008C3B0B" w:rsidRDefault="008C3B0B" w:rsidP="008C3B0B">
      <w:pPr>
        <w:pStyle w:val="FootnoteText"/>
      </w:pPr>
      <w:r>
        <w:rPr>
          <w:rStyle w:val="FootnoteReference"/>
        </w:rPr>
        <w:footnoteRef/>
      </w:r>
      <w:r>
        <w:t xml:space="preserve"> All of these testators are from Faversham, suggesting different attitudes to the making of wills and testaments in the two towns. William Best </w:t>
      </w:r>
      <w:r>
        <w:rPr>
          <w:rFonts w:ascii="Gill Sans MT" w:hAnsi="Gill Sans MT"/>
        </w:rPr>
        <w:t xml:space="preserve">PRC/17/12/2b, William More PRC/17/12/449a, William Thornbury PRC/17/3/494a, and Symond Warmecourte </w:t>
      </w:r>
      <w:r w:rsidRPr="00544689">
        <w:rPr>
          <w:rFonts w:ascii="Gill Sans MT" w:hAnsi="Gill Sans MT"/>
        </w:rPr>
        <w:t>PRC/17/6/215</w:t>
      </w:r>
      <w:r>
        <w:rPr>
          <w:rFonts w:ascii="Gill Sans MT" w:hAnsi="Gill Sans MT"/>
        </w:rPr>
        <w:t>.</w:t>
      </w:r>
    </w:p>
  </w:footnote>
  <w:footnote w:id="7">
    <w:p w14:paraId="4F8A277E" w14:textId="77777777" w:rsidR="008C3B0B" w:rsidRDefault="008C3B0B" w:rsidP="008C3B0B">
      <w:pPr>
        <w:pStyle w:val="FootnoteText"/>
      </w:pPr>
      <w:r>
        <w:rPr>
          <w:rStyle w:val="FootnoteReference"/>
        </w:rPr>
        <w:footnoteRef/>
      </w:r>
      <w:r>
        <w:t xml:space="preserve"> </w:t>
      </w:r>
      <w:r>
        <w:fldChar w:fldCharType="begin"/>
      </w:r>
      <w:r>
        <w:instrText xml:space="preserve"> ADDIN ZOTERO_ITEM CSL_CITATION {"citationID":"nQ7gda4N","properties":{"formattedCitation":"{\\rtf John Blair, {\\i{}The Church in Anglo-Saxon Society} (Oxford, 2005), p. 437.}","plainCitation":"John Blair, The Church in Anglo-Saxon Society (Oxford, 2005), p. 437."},"citationItems":[{"id":999,"uris":["http://zotero.org/users/3040898/items/RC2DC2MY"],"uri":["http://zotero.org/users/3040898/items/RC2DC2MY"],"itemData":{"id":999,"type":"book","title":"The Church in Anglo-Saxon Society","publisher-place":"Oxford","source":"Ebook","event-place":"Oxford","note":"Notes on m/s","author":[{"family":"Blair","given":"John"}],"issued":{"date-parts":[["2005"]]}},"locator":"437"}],"schema":"https://github.com/citation-style-language/schema/raw/master/csl-citation.json"} </w:instrText>
      </w:r>
      <w:r>
        <w:fldChar w:fldCharType="separate"/>
      </w:r>
      <w:r w:rsidRPr="00DA3E42">
        <w:rPr>
          <w:rFonts w:ascii="Calibri" w:hAnsi="Calibri" w:cs="Times New Roman"/>
          <w:szCs w:val="24"/>
        </w:rPr>
        <w:t xml:space="preserve">John Blair, </w:t>
      </w:r>
      <w:r w:rsidRPr="00DA3E42">
        <w:rPr>
          <w:rFonts w:ascii="Calibri" w:hAnsi="Calibri" w:cs="Times New Roman"/>
          <w:i/>
          <w:iCs/>
          <w:szCs w:val="24"/>
        </w:rPr>
        <w:t>The Church in Anglo-Saxon Society</w:t>
      </w:r>
      <w:r w:rsidRPr="00DA3E42">
        <w:rPr>
          <w:rFonts w:ascii="Calibri" w:hAnsi="Calibri" w:cs="Times New Roman"/>
          <w:szCs w:val="24"/>
        </w:rPr>
        <w:t xml:space="preserve"> (Oxford, 2005), p. 437.</w:t>
      </w:r>
      <w:r>
        <w:fldChar w:fldCharType="end"/>
      </w:r>
    </w:p>
  </w:footnote>
  <w:footnote w:id="8">
    <w:p w14:paraId="0219E4A9" w14:textId="77777777" w:rsidR="008C3B0B" w:rsidRDefault="008C3B0B" w:rsidP="008C3B0B">
      <w:pPr>
        <w:pStyle w:val="FootnoteText"/>
      </w:pPr>
      <w:r>
        <w:rPr>
          <w:rStyle w:val="FootnoteReference"/>
        </w:rPr>
        <w:footnoteRef/>
      </w:r>
      <w:r>
        <w:t xml:space="preserve"> </w:t>
      </w:r>
      <w:r>
        <w:fldChar w:fldCharType="begin"/>
      </w:r>
      <w:r>
        <w:instrText xml:space="preserve"> ADDIN ZOTERO_ITEM CSL_CITATION {"citationID":"JZXkTs69","properties":{"formattedCitation":"{\\rtf Francesca Tinti, \\uc0\\u8216{}The \\uc0\\u8220{}costs\\uc0\\u8221{} of Pastoral Care: Church Dues in Late Anglo-Saxon England\\uc0\\u8217{}, in {\\i{}Pastoral Care in Late Anglo-Saxon England}, ed. by Francesca Tinti, Anglo-Saxon Studies, 6 (Woodbridge, 2005), pp. 27\\uc0\\u8211{}51 (p. 34).}","plainCitation":"Francesca Tinti, ‘The “costs” of Pastoral Care: Church Dues in Late Anglo-Saxon England’, in Pastoral Care in Late Anglo-Saxon England, ed. by Francesca Tinti, Anglo-Saxon Studies, 6 (Woodbridge, 2005), pp. 27–51 (p. 34)."},"citationItems":[{"id":998,"uris":["http://zotero.org/users/3040898/items/PQ7HGSWI"],"uri":["http://zotero.org/users/3040898/items/PQ7HGSWI"],"itemData":{"id":998,"type":"chapter","title":"The 'costs' of pastoral care: church dues in late Anglo-Saxon England","container-title":"Pastoral Care in Late Anglo-Saxon England","collection-title":"Anglo-Saxon studies","collection-number":"6","publisher-place":"Woodbridge","page":"27-51","source":"Google Book","event-place":"Woodbridge","author":[{"family":"Tinti","given":"Francesca"}],"editor":[{"family":"Tinti","given":"Francesca"}],"issued":{"date-parts":[["2005"]]}},"locator":"34"}],"schema":"https://github.com/citation-style-language/schema/raw/master/csl-citation.json"} </w:instrText>
      </w:r>
      <w:r>
        <w:fldChar w:fldCharType="separate"/>
      </w:r>
      <w:r w:rsidRPr="00034153">
        <w:rPr>
          <w:rFonts w:ascii="Calibri" w:hAnsi="Calibri" w:cs="Times New Roman"/>
          <w:szCs w:val="24"/>
        </w:rPr>
        <w:t xml:space="preserve">Francesca Tinti, ‘The “costs” of Pastoral Care: Church Dues in Late Anglo-Saxon England’, in </w:t>
      </w:r>
      <w:r w:rsidRPr="00034153">
        <w:rPr>
          <w:rFonts w:ascii="Calibri" w:hAnsi="Calibri" w:cs="Times New Roman"/>
          <w:i/>
          <w:iCs/>
          <w:szCs w:val="24"/>
        </w:rPr>
        <w:t>Pastoral Care in Late Anglo-Saxon England</w:t>
      </w:r>
      <w:r w:rsidRPr="00034153">
        <w:rPr>
          <w:rFonts w:ascii="Calibri" w:hAnsi="Calibri" w:cs="Times New Roman"/>
          <w:szCs w:val="24"/>
        </w:rPr>
        <w:t>, ed. by Francesca Tinti, Anglo-Saxon Studies, 6 (Woodbridge, 2005), pp. 27–51 (p. 34).</w:t>
      </w:r>
      <w:r>
        <w:fldChar w:fldCharType="end"/>
      </w:r>
    </w:p>
  </w:footnote>
  <w:footnote w:id="9">
    <w:p w14:paraId="3665CE0F" w14:textId="77777777" w:rsidR="008C3B0B" w:rsidRDefault="008C3B0B" w:rsidP="008C3B0B">
      <w:pPr>
        <w:pStyle w:val="FootnoteText"/>
      </w:pPr>
      <w:r>
        <w:rPr>
          <w:rStyle w:val="FootnoteReference"/>
        </w:rPr>
        <w:footnoteRef/>
      </w:r>
      <w:r>
        <w:t xml:space="preserve"> </w:t>
      </w:r>
      <w:r>
        <w:fldChar w:fldCharType="begin"/>
      </w:r>
      <w:r>
        <w:instrText xml:space="preserve"> ADDIN ZOTERO_ITEM CSL_CITATION {"citationID":"kFGBhu2h","properties":{"formattedCitation":"Blair, pp. 444, 470.","plainCitation":"Blair, pp. 444, 470."},"citationItems":[{"id":999,"uris":["http://zotero.org/users/3040898/items/RC2DC2MY"],"uri":["http://zotero.org/users/3040898/items/RC2DC2MY"],"itemData":{"id":999,"type":"book","title":"The Church in Anglo-Saxon Society","publisher-place":"Oxford","source":"Ebook","event-place":"Oxford","note":"Notes on m/s","author":[{"family":"Blair","given":"John"}],"issued":{"date-parts":[["2005"]]}},"locator":"444, 470"}],"schema":"https://github.com/citation-style-language/schema/raw/master/csl-citation.json"} </w:instrText>
      </w:r>
      <w:r>
        <w:fldChar w:fldCharType="separate"/>
      </w:r>
      <w:r w:rsidRPr="00DA3E42">
        <w:rPr>
          <w:rFonts w:ascii="Calibri" w:hAnsi="Calibri"/>
        </w:rPr>
        <w:t>Blair, pp. 444, 470.</w:t>
      </w:r>
      <w:r>
        <w:fldChar w:fldCharType="end"/>
      </w:r>
    </w:p>
  </w:footnote>
  <w:footnote w:id="10">
    <w:p w14:paraId="7A9EE4CC" w14:textId="77777777" w:rsidR="008C3B0B" w:rsidRDefault="008C3B0B" w:rsidP="008C3B0B">
      <w:pPr>
        <w:pStyle w:val="FootnoteText"/>
      </w:pPr>
      <w:r>
        <w:rPr>
          <w:rStyle w:val="FootnoteReference"/>
        </w:rPr>
        <w:footnoteRef/>
      </w:r>
      <w:r>
        <w:t xml:space="preserve"> </w:t>
      </w:r>
      <w:r>
        <w:fldChar w:fldCharType="begin"/>
      </w:r>
      <w:r>
        <w:instrText xml:space="preserve"> ADDIN ZOTERO_ITEM CSL_CITATION {"citationID":"Q2XSUJIW","properties":{"formattedCitation":"{\\rtf Wendy Scase, {\\i{}\\uc0\\u8216{}Piers Plowman\\uc0\\u8217{} and the New Anticlericalism} (Cambridge, 1989), p. 34.}","plainCitation":"Wendy Scase, ‘Piers Plowman’ and the New Anticlericalism (Cambridge, 1989), p. 34."},"citationItems":[{"id":963,"uris":["http://zotero.org/users/3040898/items/XICK4M9E"],"uri":["http://zotero.org/users/3040898/items/XICK4M9E"],"itemData":{"id":963,"type":"book","title":"‘Piers Plowman’ and the New Anticlericalism","publisher-place":"Cambridge","source":"PR2015.S3","event-place":"Cambridge","note":"Notes on m/s\n'Piers Plowman' originally in italics","author":[{"family":"Scase","given":"Wendy"}],"issued":{"date-parts":[["1989"]]}},"locator":"34"}],"schema":"https://github.com/citation-style-language/schema/raw/master/csl-citation.json"} </w:instrText>
      </w:r>
      <w:r>
        <w:fldChar w:fldCharType="separate"/>
      </w:r>
      <w:r w:rsidRPr="00D262DB">
        <w:rPr>
          <w:rFonts w:ascii="Calibri" w:hAnsi="Calibri" w:cs="Times New Roman"/>
          <w:szCs w:val="24"/>
        </w:rPr>
        <w:t xml:space="preserve">Wendy Scase, </w:t>
      </w:r>
      <w:r w:rsidRPr="00D262DB">
        <w:rPr>
          <w:rFonts w:ascii="Calibri" w:hAnsi="Calibri" w:cs="Times New Roman"/>
          <w:i/>
          <w:iCs/>
          <w:szCs w:val="24"/>
        </w:rPr>
        <w:t>‘Piers Plowman’ and the New Anticlericalism</w:t>
      </w:r>
      <w:r w:rsidRPr="00D262DB">
        <w:rPr>
          <w:rFonts w:ascii="Calibri" w:hAnsi="Calibri" w:cs="Times New Roman"/>
          <w:szCs w:val="24"/>
        </w:rPr>
        <w:t xml:space="preserve"> (Cambridge, 1989), p. 34.</w:t>
      </w:r>
      <w:r>
        <w:fldChar w:fldCharType="end"/>
      </w:r>
    </w:p>
  </w:footnote>
  <w:footnote w:id="11">
    <w:p w14:paraId="3CBC64AA" w14:textId="77777777" w:rsidR="008C3B0B" w:rsidRDefault="008C3B0B" w:rsidP="008C3B0B">
      <w:pPr>
        <w:pStyle w:val="FootnoteText"/>
      </w:pPr>
      <w:r>
        <w:rPr>
          <w:rStyle w:val="FootnoteReference"/>
        </w:rPr>
        <w:footnoteRef/>
      </w:r>
      <w:r>
        <w:t xml:space="preserve"> </w:t>
      </w:r>
      <w:r>
        <w:fldChar w:fldCharType="begin"/>
      </w:r>
      <w:r>
        <w:instrText xml:space="preserve"> ADDIN ZOTERO_ITEM CSL_CITATION {"citationID":"ffmFL8ct","properties":{"formattedCitation":"{\\rtf J. Weetman, \\uc0\\u8216{}Testamentary Piety and Charity in London, 1259-1370\\uc0\\u8217{} (University of Oxford, 2003), p. 230.}","plainCitation":"J. Weetman, ‘Testamentary Piety and Charity in London, 1259-1370’ (University of Oxford, 2003), p. 230."},"citationItems":[{"id":848,"uris":["http://zotero.org/users/3040898/items/JEICNFUE"],"uri":["http://zotero.org/users/3040898/items/JEICNFUE"],"itemData":{"id":848,"type":"thesis","title":"Testamentary Piety and Charity in London, 1259-1370","publisher":"University of Oxford","publisher-place":"Oxford","event-place":"Oxford","note":"Bodleian Library (Stored Offsite)\nMS. D.Phil. c.16955\t\n\nWill probably have to go to Oxford to read","author":[{"family":"Weetman","given":"J."}],"issued":{"date-parts":[["2003"]]}},"locator":"230"}],"schema":"https://github.com/citation-style-language/schema/raw/master/csl-citation.json"} </w:instrText>
      </w:r>
      <w:r>
        <w:fldChar w:fldCharType="separate"/>
      </w:r>
      <w:r w:rsidRPr="00352A8A">
        <w:rPr>
          <w:rFonts w:ascii="Calibri" w:hAnsi="Calibri" w:cs="Times New Roman"/>
          <w:szCs w:val="24"/>
        </w:rPr>
        <w:t>J. Weetman, ‘Testamentary Piety and Charity in London, 1259-1370’ (University of Oxford, 2003), p. 230.</w:t>
      </w:r>
      <w:r>
        <w:fldChar w:fldCharType="end"/>
      </w:r>
    </w:p>
  </w:footnote>
  <w:footnote w:id="12">
    <w:p w14:paraId="226E9FA8" w14:textId="77777777" w:rsidR="008C3B0B" w:rsidRDefault="008C3B0B" w:rsidP="008C3B0B">
      <w:pPr>
        <w:pStyle w:val="FootnoteText"/>
      </w:pPr>
      <w:r>
        <w:rPr>
          <w:rStyle w:val="FootnoteReference"/>
        </w:rPr>
        <w:footnoteRef/>
      </w:r>
      <w:r>
        <w:t xml:space="preserve"> </w:t>
      </w:r>
      <w:r>
        <w:fldChar w:fldCharType="begin"/>
      </w:r>
      <w:r>
        <w:instrText xml:space="preserve"> ADDIN ZOTERO_ITEM CSL_CITATION {"citationID":"Tn6wQZ44","properties":{"formattedCitation":"{\\rtf Weetman, pp. 244\\uc0\\u8211{}45, 261.}","plainCitation":"Weetman, pp. 244–45, 261."},"citationItems":[{"id":848,"uris":["http://zotero.org/users/3040898/items/JEICNFUE"],"uri":["http://zotero.org/users/3040898/items/JEICNFUE"],"itemData":{"id":848,"type":"thesis","title":"Testamentary Piety and Charity in London, 1259-1370","publisher":"University of Oxford","publisher-place":"Oxford","event-place":"Oxford","note":"Bodleian Library (Stored Offsite)\nMS. D.Phil. c.16955\t\n\nWill probably have to go to Oxford to read","author":[{"family":"Weetman","given":"J."}],"issued":{"date-parts":[["2003"]]}},"locator":"244-245, 261"}],"schema":"https://github.com/citation-style-language/schema/raw/master/csl-citation.json"} </w:instrText>
      </w:r>
      <w:r>
        <w:fldChar w:fldCharType="separate"/>
      </w:r>
      <w:r w:rsidRPr="00123ACA">
        <w:rPr>
          <w:rFonts w:ascii="Calibri" w:hAnsi="Calibri" w:cs="Times New Roman"/>
          <w:szCs w:val="24"/>
        </w:rPr>
        <w:t xml:space="preserve">Weetman, </w:t>
      </w:r>
      <w:r>
        <w:rPr>
          <w:rFonts w:ascii="Calibri" w:hAnsi="Calibri" w:cs="Times New Roman"/>
          <w:szCs w:val="24"/>
        </w:rPr>
        <w:t xml:space="preserve">'Testamentary Piety', </w:t>
      </w:r>
      <w:r w:rsidRPr="00123ACA">
        <w:rPr>
          <w:rFonts w:ascii="Calibri" w:hAnsi="Calibri" w:cs="Times New Roman"/>
          <w:szCs w:val="24"/>
        </w:rPr>
        <w:t>pp. 244–45, 261.</w:t>
      </w:r>
      <w:r>
        <w:fldChar w:fldCharType="end"/>
      </w:r>
    </w:p>
  </w:footnote>
  <w:footnote w:id="13">
    <w:p w14:paraId="08EFB7F7" w14:textId="77777777" w:rsidR="008C3B0B" w:rsidRDefault="008C3B0B" w:rsidP="008C3B0B">
      <w:pPr>
        <w:pStyle w:val="FootnoteText"/>
      </w:pPr>
      <w:r>
        <w:rPr>
          <w:rStyle w:val="FootnoteReference"/>
        </w:rPr>
        <w:footnoteRef/>
      </w:r>
      <w:r>
        <w:t xml:space="preserve"> </w:t>
      </w:r>
      <w:r>
        <w:fldChar w:fldCharType="begin"/>
      </w:r>
      <w:r>
        <w:instrText xml:space="preserve"> ADDIN ZOTERO_ITEM CSL_CITATION {"citationID":"7QL6BCS0","properties":{"formattedCitation":"{\\rtf {\\i{}Testamenta Eboracensia}, ed. by James Raine (London, 1836), {\\scaps i}, pp. 1\\uc0\\u8211{}38.}","plainCitation":"Testamenta Eboracensia, ed. by James Raine (London, 1836), i, pp. 1–38."},"citationItems":[{"id":993,"uris":["http://zotero.org/users/3040898/items/LG7GATFA"],"uri":["http://zotero.org/users/3040898/items/LG7GATFA"],"itemData":{"id":993,"type":"book","title":"Testamenta Eboracensia","publisher-place":"London","volume":"1","source":"Internet Archive","event-place":"London","note":"Some notes on m/s in notes &gt; testamenta eboracensia (think about moving this to research folder?)","editor":[{"family":"Raine","given":"James"}],"issued":{"date-parts":[["1836"]]}},"locator":"1-38"}],"schema":"https://github.com/citation-style-language/schema/raw/master/csl-citation.json"} </w:instrText>
      </w:r>
      <w:r>
        <w:fldChar w:fldCharType="separate"/>
      </w:r>
      <w:r w:rsidRPr="00B959F9">
        <w:rPr>
          <w:rFonts w:ascii="Calibri" w:hAnsi="Calibri" w:cs="Times New Roman"/>
          <w:i/>
          <w:iCs/>
          <w:szCs w:val="24"/>
        </w:rPr>
        <w:t>Testamenta Eboracensia</w:t>
      </w:r>
      <w:r w:rsidRPr="00B959F9">
        <w:rPr>
          <w:rFonts w:ascii="Calibri" w:hAnsi="Calibri" w:cs="Times New Roman"/>
          <w:szCs w:val="24"/>
        </w:rPr>
        <w:t xml:space="preserve">, ed. by James Raine (London, 1836), </w:t>
      </w:r>
      <w:r w:rsidRPr="00B959F9">
        <w:rPr>
          <w:rFonts w:ascii="Calibri" w:hAnsi="Calibri" w:cs="Times New Roman"/>
          <w:smallCaps/>
          <w:szCs w:val="24"/>
        </w:rPr>
        <w:t>i</w:t>
      </w:r>
      <w:r w:rsidRPr="00B959F9">
        <w:rPr>
          <w:rFonts w:ascii="Calibri" w:hAnsi="Calibri" w:cs="Times New Roman"/>
          <w:szCs w:val="24"/>
        </w:rPr>
        <w:t>, pp. 1–38.</w:t>
      </w:r>
      <w:r>
        <w:fldChar w:fldCharType="end"/>
      </w:r>
    </w:p>
  </w:footnote>
  <w:footnote w:id="14">
    <w:p w14:paraId="6F714097" w14:textId="77777777" w:rsidR="008C3B0B" w:rsidRDefault="008C3B0B" w:rsidP="008C3B0B">
      <w:pPr>
        <w:pStyle w:val="FootnoteText"/>
      </w:pPr>
      <w:r>
        <w:rPr>
          <w:rStyle w:val="FootnoteReference"/>
        </w:rPr>
        <w:footnoteRef/>
      </w:r>
      <w:r>
        <w:t xml:space="preserve"> </w:t>
      </w:r>
      <w:r>
        <w:fldChar w:fldCharType="begin"/>
      </w:r>
      <w:r>
        <w:instrText xml:space="preserve"> ADDIN ZOTERO_ITEM CSL_CITATION {"citationID":"ZL0z7rAp","properties":{"formattedCitation":"{\\rtf Karen St\\uc0\\u246{}ber, {\\i{}Late Medieval Monasteries and Their Patrons} (Woodbridge, 2007), p. 113.}","plainCitation":"Karen Stöber, Late Medieval Monasteries and Their Patrons (Woodbridge, 2007), p. 113."},"citationItems":[{"id":820,"uris":["http://zotero.org/users/3040898/items/QK3BD4SQ"],"uri":["http://zotero.org/users/3040898/items/QK3BD4SQ"],"itemData":{"id":820,"type":"book","title":"Late Medieval Monasteries and their Patrons","publisher-place":"Woodbridge","source":"BX2592.S8","event-place":"Woodbridge","note":"Notes on m/s","author":[{"family":"Stöber","given":"Karen"}],"issued":{"date-parts":[["2007"]]}},"locator":"113"}],"schema":"https://github.com/citation-style-language/schema/raw/master/csl-citation.json"} </w:instrText>
      </w:r>
      <w:r>
        <w:fldChar w:fldCharType="separate"/>
      </w:r>
      <w:r w:rsidRPr="0017379D">
        <w:rPr>
          <w:rFonts w:ascii="Calibri" w:hAnsi="Calibri" w:cs="Times New Roman"/>
          <w:szCs w:val="24"/>
        </w:rPr>
        <w:t xml:space="preserve">Karen Stöber, </w:t>
      </w:r>
      <w:r w:rsidRPr="0017379D">
        <w:rPr>
          <w:rFonts w:ascii="Calibri" w:hAnsi="Calibri" w:cs="Times New Roman"/>
          <w:i/>
          <w:iCs/>
          <w:szCs w:val="24"/>
        </w:rPr>
        <w:t>Late Medieval Monasteries and Their Patrons</w:t>
      </w:r>
      <w:r w:rsidRPr="0017379D">
        <w:rPr>
          <w:rFonts w:ascii="Calibri" w:hAnsi="Calibri" w:cs="Times New Roman"/>
          <w:szCs w:val="24"/>
        </w:rPr>
        <w:t xml:space="preserve"> (Woodbridge, 2007), p. 113.</w:t>
      </w:r>
      <w:r>
        <w:fldChar w:fldCharType="end"/>
      </w:r>
      <w:r>
        <w:t xml:space="preserve"> </w:t>
      </w:r>
      <w:r>
        <w:rPr>
          <w:rFonts w:ascii="Gill Sans MT" w:hAnsi="Gill Sans MT"/>
        </w:rPr>
        <w:t>Individuals of lower status may well have patronised monastic houses during the fourteenth century, but they did not tend to make wills.</w:t>
      </w:r>
    </w:p>
  </w:footnote>
  <w:footnote w:id="15">
    <w:p w14:paraId="66C7D418" w14:textId="77777777" w:rsidR="008C3B0B" w:rsidRDefault="008C3B0B" w:rsidP="008C3B0B">
      <w:pPr>
        <w:pStyle w:val="FootnoteText"/>
      </w:pPr>
      <w:r>
        <w:rPr>
          <w:rStyle w:val="FootnoteReference"/>
        </w:rPr>
        <w:footnoteRef/>
      </w:r>
      <w:r>
        <w:t xml:space="preserve"> </w:t>
      </w:r>
      <w:r>
        <w:fldChar w:fldCharType="begin"/>
      </w:r>
      <w:r>
        <w:instrText xml:space="preserve"> ADDIN ZOTERO_ITEM CSL_CITATION {"citationID":"b1LZ2C29","properties":{"formattedCitation":"{\\rtf F. J. Furnivall, {\\i{}Fifty Earliest English Wills in the Court of Probate, London} (London, 1882).}","plainCitation":"F. J. Furnivall, Fifty Earliest English Wills in the Court of Probate, London (London, 1882)."},"citationItems":[{"id":992,"uris":["http://zotero.org/users/3040898/items/GUAPRB3J"],"uri":["http://zotero.org/users/3040898/items/GUAPRB3J"],"itemData":{"id":992,"type":"book","title":"Fifty earliest English wills in the Court of Probate, London","publisher-place":"London","source":"Ebook","event-place":"London","note":"Notes on m/s - burial clause noted for each will","author":[{"family":"Furnivall","given":"F. J."}],"issued":{"date-parts":[["1882"]]}}}],"schema":"https://github.com/citation-style-language/schema/raw/master/csl-citation.json"} </w:instrText>
      </w:r>
      <w:r>
        <w:fldChar w:fldCharType="separate"/>
      </w:r>
      <w:r w:rsidRPr="00F80DFD">
        <w:rPr>
          <w:rFonts w:ascii="Calibri" w:hAnsi="Calibri" w:cs="Times New Roman"/>
          <w:szCs w:val="24"/>
        </w:rPr>
        <w:t xml:space="preserve">F. J. Furnivall, </w:t>
      </w:r>
      <w:r w:rsidRPr="00F80DFD">
        <w:rPr>
          <w:rFonts w:ascii="Calibri" w:hAnsi="Calibri" w:cs="Times New Roman"/>
          <w:i/>
          <w:iCs/>
          <w:szCs w:val="24"/>
        </w:rPr>
        <w:t>Fifty Earliest English Wills in the Court of Probate, London</w:t>
      </w:r>
      <w:r w:rsidRPr="00F80DFD">
        <w:rPr>
          <w:rFonts w:ascii="Calibri" w:hAnsi="Calibri" w:cs="Times New Roman"/>
          <w:szCs w:val="24"/>
        </w:rPr>
        <w:t xml:space="preserve"> (London, 1882).</w:t>
      </w:r>
      <w:r>
        <w:fldChar w:fldCharType="end"/>
      </w:r>
      <w:r>
        <w:t xml:space="preserve"> The three wills which have been edited and may well contain a burial clause in the original are those of: John Pincheon (1392), Thomas Bathe (1420) and Roger Flore (1424-5). </w:t>
      </w:r>
    </w:p>
  </w:footnote>
  <w:footnote w:id="16">
    <w:p w14:paraId="1B2084A6" w14:textId="77777777" w:rsidR="008C3B0B" w:rsidRDefault="008C3B0B" w:rsidP="008C3B0B">
      <w:pPr>
        <w:pStyle w:val="FootnoteText"/>
      </w:pPr>
      <w:r>
        <w:rPr>
          <w:rStyle w:val="FootnoteReference"/>
        </w:rPr>
        <w:footnoteRef/>
      </w:r>
      <w:r>
        <w:t xml:space="preserve"> </w:t>
      </w:r>
      <w:r>
        <w:fldChar w:fldCharType="begin"/>
      </w:r>
      <w:r>
        <w:instrText xml:space="preserve"> ADDIN ZOTERO_ITEM CSL_CITATION {"citationID":"8Dmu9a4E","properties":{"formattedCitation":"{\\rtf Margaret Spufford, \\uc0\\u8216{}Religious Preambles and the Scribes of Villagers\\uc0\\u8217{} Wills in Cambrdigeshire, 1570-1700\\uc0\\u8217{}, in {\\i{}When Death Do Us Part: Understanding and Interpreting the Probate Record of Early Modern England}, ed. by Tom Arkell, Nigel Goose, and Nesta Evans (Oxford, 2000), pp. 144\\uc0\\u8211{}57; Michael Zell, \\uc0\\u8216{}The Use of Religious Preambles as a Measure of Religious Belief in the Sixteenth Century\\uc0\\u8217{}, {\\i{}Bulletin of the Institute of Historical Research}, 50.122 (1977), 246\\uc0\\u8211{}49; J. D. Alsop, \\uc0\\u8216{}Religious Preambles in Early Modern English Wills as Formulae\\uc0\\u8217{}, {\\i{}Journal of Ecclesiastical History}, 40.1 (1989), 19\\uc0\\u8211{}27; Christopher Marsh, \\uc0\\u8216{}Attitudes to Will-Making in Early Modern England\\uc0\\u8217{}, in {\\i{}When Death Do Us Part: Understanding and Interpreting the Probate Record of Early Modern England}, ed. by Tom Arkell, Nigel Goose, and Nesta Evans (Oxford, 2000), pp. 158\\uc0\\u8211{}75.}","plainCitation":"Margaret Spufford, ‘Religious Preambles and the Scribes of Villagers’ Wills in Cambrdigeshire, 1570-1700’, in When Death Do Us Part: Understanding and Interpreting the Probate Record of Early Modern England, ed. by Tom Arkell, Nigel Goose, and Nesta Evans (Oxford, 2000), pp. 144–57; Michael Zell, ‘The Use of Religious Preambles as a Measure of Religious Belief in the Sixteenth Century’, Bulletin of the Institute of Historical Research, 50.122 (1977), 246–49; J. D. Alsop, ‘Religious Preambles in Early Modern English Wills as Formulae’, Journal of Ecclesiastical History, 40.1 (1989), 19–27; Christopher Marsh, ‘Attitudes to Will-Making in Early Modern England’, in When Death Do Us Part: Understanding and Interpreting the Probate Record of Early Modern England, ed. by Tom Arkell, Nigel Goose, and Nesta Evans (Oxford, 2000), pp. 158–75."},"citationItems":[{"id":1002,"uris":["http://zotero.org/users/3040898/items/KRB47NTP"],"uri":["http://zotero.org/users/3040898/items/KRB47NTP"],"itemData":{"id":1002,"type":"chapter","title":"Religious Preambles and the Scribes of Villagers' Wills in Cambrdigeshire, 1570-1700","container-title":"When Death Do Us Part: Understanding and Interpreting the Probate Record of Early Modern England","publisher-place":"Oxford","page":"144-157","source":"Rob's book","event-place":"Oxford","author":[{"family":"Spufford","given":"Margaret"}],"editor":[{"family":"Arkell","given":"Tom"},{"family":"Goose","given":"Nigel"},{"family":"Evans","given":"Nesta"}],"issued":{"date-parts":[["2000"]]}}},{"id":435,"uris":["http://zotero.org/users/3040898/items/RQJU5TA3"],"uri":["http://zotero.org/users/3040898/items/RQJU5TA3"],"itemData":{"id":435,"type":"article-journal","title":"The Use of Religious Preambles as a Measure of Religious Belief in the Sixteenth Century","container-title":"Bulletin of the Institute of Historical Research","page":"246-249","volume":"50","issue":"122","source":"Photocopy in folder","shortTitle":"Use of Religious Preambles","author":[{"family":"Zell","given":"Michael"}],"issued":{"date-parts":[["1977"]]}}},{"id":109,"uris":["http://zotero.org/users/3040898/items/7XV32ESW"],"uri":["http://zotero.org/users/3040898/items/7XV32ESW"],"itemData":{"id":109,"type":"article-journal","title":"Religious Preambles in Early Modern English Wills as Formulae","container-title":"Journal of Ecclesiastical History","page":"19-27","volume":"40","issue":"1","note":"PDF on memory stick; notes in folder","shortTitle":"Religious Preambles","author":[{"family":"Alsop","given":"J. D."}],"issued":{"date-parts":[["1989"]]}}},{"id":996,"uris":["http://zotero.org/users/3040898/items/C4I6ZZ9Q"],"uri":["http://zotero.org/users/3040898/items/C4I6ZZ9Q"],"itemData":{"id":996,"type":"chapter","title":"Attitudes to Will-Making in Early Modern England","container-title":"When Death Do Us Part: Understanding and Interpreting the Probate Record of Early Modern England","publisher-place":"Oxford","page":"158-175","source":"Own book","event-place":"Oxford","note":"notes on m/s","author":[{"family":"Marsh","given":"Christopher"}],"editor":[{"family":"Arkell","given":"Tom"},{"family":"Goose","given":"Nigel"},{"family":"Evans","given":"Nesta"}],"issued":{"date-parts":[["2000"]]}}}],"schema":"https://github.com/citation-style-language/schema/raw/master/csl-citation.json"} </w:instrText>
      </w:r>
      <w:r>
        <w:fldChar w:fldCharType="separate"/>
      </w:r>
      <w:r w:rsidRPr="00587C9E">
        <w:rPr>
          <w:rFonts w:ascii="Calibri" w:hAnsi="Calibri" w:cs="Times New Roman"/>
          <w:szCs w:val="24"/>
        </w:rPr>
        <w:t xml:space="preserve">Margaret Spufford, ‘Religious Preambles and the Scribes of Villagers’ Wills in Cambrdigeshire, 1570-1700’, in </w:t>
      </w:r>
      <w:r w:rsidRPr="00587C9E">
        <w:rPr>
          <w:rFonts w:ascii="Calibri" w:hAnsi="Calibri" w:cs="Times New Roman"/>
          <w:i/>
          <w:iCs/>
          <w:szCs w:val="24"/>
        </w:rPr>
        <w:t>When Death Do Us Part: Understanding and Interpreting the Probate Record of Early Modern England</w:t>
      </w:r>
      <w:r w:rsidRPr="00587C9E">
        <w:rPr>
          <w:rFonts w:ascii="Calibri" w:hAnsi="Calibri" w:cs="Times New Roman"/>
          <w:szCs w:val="24"/>
        </w:rPr>
        <w:t xml:space="preserve">, ed. by Tom Arkell, Nigel Goose, and Nesta Evans (Oxford, 2000), pp. 144–57; Michael Zell, ‘The Use of Religious Preambles as a Measure of Religious Belief in the Sixteenth Century’, </w:t>
      </w:r>
      <w:r w:rsidRPr="00587C9E">
        <w:rPr>
          <w:rFonts w:ascii="Calibri" w:hAnsi="Calibri" w:cs="Times New Roman"/>
          <w:i/>
          <w:iCs/>
          <w:szCs w:val="24"/>
        </w:rPr>
        <w:t>Bulletin of the Institute of Historical Research</w:t>
      </w:r>
      <w:r w:rsidRPr="00587C9E">
        <w:rPr>
          <w:rFonts w:ascii="Calibri" w:hAnsi="Calibri" w:cs="Times New Roman"/>
          <w:szCs w:val="24"/>
        </w:rPr>
        <w:t xml:space="preserve">, 50.122 (1977), 246–49; J. D. Alsop, ‘Religious Preambles in Early Modern English Wills as Formulae’, </w:t>
      </w:r>
      <w:r w:rsidRPr="00587C9E">
        <w:rPr>
          <w:rFonts w:ascii="Calibri" w:hAnsi="Calibri" w:cs="Times New Roman"/>
          <w:i/>
          <w:iCs/>
          <w:szCs w:val="24"/>
        </w:rPr>
        <w:t>Journal of Ecclesiastical History</w:t>
      </w:r>
      <w:r w:rsidRPr="00587C9E">
        <w:rPr>
          <w:rFonts w:ascii="Calibri" w:hAnsi="Calibri" w:cs="Times New Roman"/>
          <w:szCs w:val="24"/>
        </w:rPr>
        <w:t>, 40</w:t>
      </w:r>
      <w:r>
        <w:rPr>
          <w:rFonts w:ascii="Calibri" w:hAnsi="Calibri" w:cs="Times New Roman"/>
          <w:szCs w:val="24"/>
        </w:rPr>
        <w:t>/</w:t>
      </w:r>
      <w:r w:rsidRPr="00587C9E">
        <w:rPr>
          <w:rFonts w:ascii="Calibri" w:hAnsi="Calibri" w:cs="Times New Roman"/>
          <w:szCs w:val="24"/>
        </w:rPr>
        <w:t>1</w:t>
      </w:r>
      <w:r>
        <w:rPr>
          <w:rFonts w:ascii="Calibri" w:hAnsi="Calibri" w:cs="Times New Roman"/>
          <w:szCs w:val="24"/>
        </w:rPr>
        <w:t>,</w:t>
      </w:r>
      <w:r w:rsidRPr="00587C9E">
        <w:rPr>
          <w:rFonts w:ascii="Calibri" w:hAnsi="Calibri" w:cs="Times New Roman"/>
          <w:szCs w:val="24"/>
        </w:rPr>
        <w:t xml:space="preserve"> (1989), 19–</w:t>
      </w:r>
      <w:r>
        <w:rPr>
          <w:rFonts w:ascii="Calibri" w:hAnsi="Calibri" w:cs="Times New Roman"/>
          <w:szCs w:val="24"/>
        </w:rPr>
        <w:t>27. Christopher Marsh has argued for the role of testators themselves in the continued existence of the dedicatory religious phrases: 'The religious preamble would surely have had a much shorter life than it did if England's testators had no desire at all for its continuing existence.'</w:t>
      </w:r>
      <w:r w:rsidRPr="00587C9E">
        <w:rPr>
          <w:rFonts w:ascii="Calibri" w:hAnsi="Calibri" w:cs="Times New Roman"/>
          <w:szCs w:val="24"/>
        </w:rPr>
        <w:t xml:space="preserve"> Christopher Marsh, ‘Attitudes to Will-Making in Early Modern England’, in </w:t>
      </w:r>
      <w:r w:rsidRPr="00587C9E">
        <w:rPr>
          <w:rFonts w:ascii="Calibri" w:hAnsi="Calibri" w:cs="Times New Roman"/>
          <w:i/>
          <w:iCs/>
          <w:szCs w:val="24"/>
        </w:rPr>
        <w:t>When Death Do Us Part: Understanding and Interpreting the Probate Record of Early Modern England</w:t>
      </w:r>
      <w:r w:rsidRPr="00587C9E">
        <w:rPr>
          <w:rFonts w:ascii="Calibri" w:hAnsi="Calibri" w:cs="Times New Roman"/>
          <w:szCs w:val="24"/>
        </w:rPr>
        <w:t>, ed. by Tom Arkell, Nigel Goose, and Nes</w:t>
      </w:r>
      <w:r>
        <w:rPr>
          <w:rFonts w:ascii="Calibri" w:hAnsi="Calibri" w:cs="Times New Roman"/>
          <w:szCs w:val="24"/>
        </w:rPr>
        <w:t>ta Evans (Oxford, 2000), pp. 167-168</w:t>
      </w:r>
      <w:r w:rsidRPr="00587C9E">
        <w:rPr>
          <w:rFonts w:ascii="Calibri" w:hAnsi="Calibri" w:cs="Times New Roman"/>
          <w:szCs w:val="24"/>
        </w:rPr>
        <w:t>.</w:t>
      </w:r>
      <w:r>
        <w:fldChar w:fldCharType="end"/>
      </w:r>
    </w:p>
  </w:footnote>
  <w:footnote w:id="17">
    <w:p w14:paraId="498D854F" w14:textId="77777777" w:rsidR="008C3B0B" w:rsidRDefault="008C3B0B" w:rsidP="008C3B0B">
      <w:pPr>
        <w:pStyle w:val="FootnoteText"/>
      </w:pPr>
      <w:r>
        <w:rPr>
          <w:rStyle w:val="FootnoteReference"/>
        </w:rPr>
        <w:footnoteRef/>
      </w:r>
      <w:r>
        <w:t xml:space="preserve"> </w:t>
      </w:r>
      <w:r>
        <w:fldChar w:fldCharType="begin"/>
      </w:r>
      <w:r>
        <w:instrText xml:space="preserve"> ADDIN ZOTERO_ITEM CSL_CITATION {"citationID":"WwEZAHoh","properties":{"formattedCitation":"{\\rtf Alison Spedding, \\uc0\\u8216{}\\uc0\\u8220{}My Testament in Englisshe Tonge\\uc0\\u8221{}: A Study in the Use of the Vernacular in Medieval Wills\\uc0\\u8217{} (unpublished Unpublished PhD Thesis, University of Birmingham, 2010), pp. 131\\uc0\\u8211{}83.}","plainCitation":"Alison Spedding, ‘“My Testament in Englisshe Tonge”: A Study in the Use of the Vernacular in Medieval Wills’ (unpublished Unpublished PhD Thesis, University of Birmingham, 2010), pp. 131–83."},"citationItems":[{"id":195,"uris":["http://zotero.org/users/3040898/items/CMZ2SE3A"],"uri":["http://zotero.org/users/3040898/items/CMZ2SE3A"],"itemData":{"id":195,"type":"thesis","title":"'My Testament in Englisshe Tonge': A study in the use of the vernacular in medieval wills","publisher":"University of Birmingham","publisher-place":"Birmingham","genre":"Unpublished PhD Thesis","event-place":"Birmingham","note":"Notes on m/s","author":[{"family":"Spedding","given":"Alison"}],"issued":{"date-parts":[["2010"]]}},"locator":"131-183"}],"schema":"https://github.com/citation-style-language/schema/raw/master/csl-citation.json"} </w:instrText>
      </w:r>
      <w:r>
        <w:fldChar w:fldCharType="separate"/>
      </w:r>
      <w:r w:rsidRPr="00CE26E7">
        <w:rPr>
          <w:rFonts w:ascii="Calibri" w:hAnsi="Calibri" w:cs="Times New Roman"/>
          <w:szCs w:val="24"/>
        </w:rPr>
        <w:t>Alison Spedding, ‘“My Testament in Englisshe Tonge”: A Study in the Use of the Vernacular in Medieval Wills’ (Unpublished PhD Thesis, University of Birmingham, 2010), pp. 131–83.</w:t>
      </w:r>
      <w:r>
        <w:fldChar w:fldCharType="end"/>
      </w:r>
    </w:p>
  </w:footnote>
  <w:footnote w:id="18">
    <w:p w14:paraId="553FF998" w14:textId="77777777" w:rsidR="008C3B0B" w:rsidRDefault="008C3B0B" w:rsidP="008C3B0B">
      <w:pPr>
        <w:pStyle w:val="FootnoteText"/>
      </w:pPr>
      <w:r>
        <w:rPr>
          <w:rStyle w:val="FootnoteReference"/>
        </w:rPr>
        <w:footnoteRef/>
      </w:r>
      <w:r>
        <w:t xml:space="preserve"> </w:t>
      </w:r>
      <w:r>
        <w:fldChar w:fldCharType="begin"/>
      </w:r>
      <w:r>
        <w:instrText xml:space="preserve"> ADDIN ZOTERO_ITEM CSL_CITATION {"citationID":"aRmJSeuD","properties":{"formattedCitation":"Salter, p. 130.","plainCitation":"Salter, p. 130.","dontUpdate":true},"citationItems":[{"id":532,"uris":["http://zotero.org/users/3040898/items/WP72UIH6"],"uri":["http://zotero.org/users/3040898/items/WP72UIH6"],"itemData":{"id":532,"type":"book","title":"Cultural Creativity in the Early English Renaissance","publisher-place":"Basingstoke","source":"DA380.S2 also ebook","event-place":"Basingstoke","note":"Notes on m/s","author":[{"family":"Salter","given":"Elisabeth"}],"issued":{"date-parts":[["2006"]]}},"locator":"130"}],"schema":"https://github.com/citation-style-language/schema/raw/master/csl-citation.json"} </w:instrText>
      </w:r>
      <w:r>
        <w:fldChar w:fldCharType="separate"/>
      </w:r>
      <w:r w:rsidRPr="0097235E">
        <w:rPr>
          <w:rFonts w:ascii="Calibri" w:hAnsi="Calibri"/>
        </w:rPr>
        <w:t xml:space="preserve">Salter, </w:t>
      </w:r>
      <w:r>
        <w:rPr>
          <w:rFonts w:ascii="Calibri" w:hAnsi="Calibri"/>
          <w:i/>
        </w:rPr>
        <w:t xml:space="preserve">Cultural Creativity, </w:t>
      </w:r>
      <w:r w:rsidRPr="0097235E">
        <w:rPr>
          <w:rFonts w:ascii="Calibri" w:hAnsi="Calibri"/>
        </w:rPr>
        <w:t>p. 130.</w:t>
      </w:r>
      <w:r>
        <w:fldChar w:fldCharType="end"/>
      </w:r>
    </w:p>
  </w:footnote>
  <w:footnote w:id="19">
    <w:p w14:paraId="12572A84" w14:textId="77777777" w:rsidR="008C3B0B" w:rsidRDefault="008C3B0B" w:rsidP="008C3B0B">
      <w:pPr>
        <w:pStyle w:val="FootnoteText"/>
      </w:pPr>
      <w:r>
        <w:rPr>
          <w:rStyle w:val="FootnoteReference"/>
        </w:rPr>
        <w:footnoteRef/>
      </w:r>
      <w:r>
        <w:t xml:space="preserve"> </w:t>
      </w:r>
      <w:r>
        <w:fldChar w:fldCharType="begin"/>
      </w:r>
      <w:r>
        <w:instrText xml:space="preserve"> ADDIN ZOTERO_ITEM CSL_CITATION {"citationID":"DyptihH6","properties":{"formattedCitation":"{\\rtf Alison J. Spedding, \\uc0\\u8216{}Hoc Est Testamentum: The Structure and Development of Introductory Clauses in Latin Testamentary Writing\\uc0\\u8217{}, {\\i{}Viator}, 45.1 (2014), 281\\uc0\\u8211{}310 (pp. 283\\uc0\\u8211{}87).}","plainCitation":"Alison J. Spedding, ‘Hoc Est Testamentum: The Structure and Development of Introductory Clauses in Latin Testamentary Writing’, Viator, 45.1 (2014), 281–310 (pp. 283–87)."},"citationItems":[{"id":140,"uris":["http://zotero.org/users/3040898/items/9T4VTQRX"],"uri":["http://zotero.org/users/3040898/items/9T4VTQRX"],"itemData":{"id":140,"type":"article-journal","title":"Hoc est Testamentum: The Structure and Development of Introductory Clauses in Latin Testamentary Writing","container-title":"Viator","page":"281-310","volume":"45","issue":"1","source":"PDF on m/s","author":[{"family":"Spedding","given":"Alison J."}],"issued":{"date-parts":[["2014"]]}},"locator":"283-287"}],"schema":"https://github.com/citation-style-language/schema/raw/master/csl-citation.json"} </w:instrText>
      </w:r>
      <w:r>
        <w:fldChar w:fldCharType="separate"/>
      </w:r>
      <w:r w:rsidRPr="00CE26E7">
        <w:rPr>
          <w:rFonts w:ascii="Calibri" w:hAnsi="Calibri" w:cs="Times New Roman"/>
          <w:szCs w:val="24"/>
        </w:rPr>
        <w:t xml:space="preserve">Alison J. Spedding, ‘Hoc Est Testamentum: The Structure and Development of Introductory Clauses in Latin Testamentary Writing’, </w:t>
      </w:r>
      <w:r w:rsidRPr="00CE26E7">
        <w:rPr>
          <w:rFonts w:ascii="Calibri" w:hAnsi="Calibri" w:cs="Times New Roman"/>
          <w:i/>
          <w:iCs/>
          <w:szCs w:val="24"/>
        </w:rPr>
        <w:t>Viator</w:t>
      </w:r>
      <w:r>
        <w:rPr>
          <w:rFonts w:ascii="Calibri" w:hAnsi="Calibri" w:cs="Times New Roman"/>
          <w:szCs w:val="24"/>
        </w:rPr>
        <w:t xml:space="preserve">, 45/1, (2014), </w:t>
      </w:r>
      <w:r w:rsidRPr="00CE26E7">
        <w:rPr>
          <w:rFonts w:ascii="Calibri" w:hAnsi="Calibri" w:cs="Times New Roman"/>
          <w:szCs w:val="24"/>
        </w:rPr>
        <w:t>pp. 283–87.</w:t>
      </w:r>
      <w:r>
        <w:fldChar w:fldCharType="end"/>
      </w:r>
    </w:p>
  </w:footnote>
  <w:footnote w:id="20">
    <w:p w14:paraId="3506CBD1" w14:textId="77777777" w:rsidR="008C3B0B" w:rsidRDefault="008C3B0B" w:rsidP="008C3B0B">
      <w:pPr>
        <w:pStyle w:val="FootnoteText"/>
      </w:pPr>
      <w:r>
        <w:rPr>
          <w:rStyle w:val="FootnoteReference"/>
        </w:rPr>
        <w:footnoteRef/>
      </w:r>
      <w:r>
        <w:t xml:space="preserve"> This is noted by Spedding: ‘The church of burial was named, perhaps including the identification of a specific location either inside or outside the building, or with a spouse or other family member.’ </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ndy Scase">
    <w15:presenceInfo w15:providerId="Windows Live" w15:userId="089f5f291fc47b43"/>
  </w15:person>
  <w15:person w15:author="Marchbank Alexandra">
    <w15:presenceInfo w15:providerId="AD" w15:userId="S-1-5-21-1664130791-3153540899-3044996548-5132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AC"/>
    <w:rsid w:val="004920B6"/>
    <w:rsid w:val="00590DAC"/>
    <w:rsid w:val="008C3B0B"/>
    <w:rsid w:val="00ED3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838A"/>
  <w15:chartTrackingRefBased/>
  <w15:docId w15:val="{B04C998E-DD2B-4D10-B1DC-F534F4BD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3B0B"/>
    <w:pPr>
      <w:spacing w:after="0" w:line="240" w:lineRule="auto"/>
    </w:pPr>
  </w:style>
  <w:style w:type="paragraph" w:styleId="FootnoteText">
    <w:name w:val="footnote text"/>
    <w:basedOn w:val="Normal"/>
    <w:link w:val="FootnoteTextChar"/>
    <w:uiPriority w:val="99"/>
    <w:semiHidden/>
    <w:unhideWhenUsed/>
    <w:rsid w:val="008C3B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3B0B"/>
    <w:rPr>
      <w:sz w:val="20"/>
      <w:szCs w:val="20"/>
    </w:rPr>
  </w:style>
  <w:style w:type="character" w:styleId="FootnoteReference">
    <w:name w:val="footnote reference"/>
    <w:basedOn w:val="DefaultParagraphFont"/>
    <w:uiPriority w:val="99"/>
    <w:semiHidden/>
    <w:unhideWhenUsed/>
    <w:rsid w:val="008C3B0B"/>
    <w:rPr>
      <w:vertAlign w:val="superscript"/>
    </w:rPr>
  </w:style>
  <w:style w:type="paragraph" w:styleId="Footer">
    <w:name w:val="footer"/>
    <w:basedOn w:val="Normal"/>
    <w:link w:val="FooterChar"/>
    <w:uiPriority w:val="99"/>
    <w:unhideWhenUsed/>
    <w:rsid w:val="008C3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B0B"/>
  </w:style>
  <w:style w:type="character" w:styleId="CommentReference">
    <w:name w:val="annotation reference"/>
    <w:basedOn w:val="DefaultParagraphFont"/>
    <w:uiPriority w:val="99"/>
    <w:semiHidden/>
    <w:unhideWhenUsed/>
    <w:rsid w:val="008C3B0B"/>
    <w:rPr>
      <w:sz w:val="16"/>
      <w:szCs w:val="16"/>
    </w:rPr>
  </w:style>
  <w:style w:type="paragraph" w:styleId="CommentText">
    <w:name w:val="annotation text"/>
    <w:basedOn w:val="Normal"/>
    <w:link w:val="CommentTextChar"/>
    <w:uiPriority w:val="99"/>
    <w:semiHidden/>
    <w:unhideWhenUsed/>
    <w:rsid w:val="008C3B0B"/>
    <w:pPr>
      <w:spacing w:line="240" w:lineRule="auto"/>
    </w:pPr>
    <w:rPr>
      <w:sz w:val="20"/>
      <w:szCs w:val="20"/>
    </w:rPr>
  </w:style>
  <w:style w:type="character" w:customStyle="1" w:styleId="CommentTextChar">
    <w:name w:val="Comment Text Char"/>
    <w:basedOn w:val="DefaultParagraphFont"/>
    <w:link w:val="CommentText"/>
    <w:uiPriority w:val="99"/>
    <w:semiHidden/>
    <w:rsid w:val="008C3B0B"/>
    <w:rPr>
      <w:sz w:val="20"/>
      <w:szCs w:val="20"/>
    </w:rPr>
  </w:style>
  <w:style w:type="character" w:styleId="Hyperlink">
    <w:name w:val="Hyperlink"/>
    <w:basedOn w:val="DefaultParagraphFont"/>
    <w:uiPriority w:val="99"/>
    <w:unhideWhenUsed/>
    <w:rsid w:val="008C3B0B"/>
    <w:rPr>
      <w:color w:val="0563C1" w:themeColor="hyperlink"/>
      <w:u w:val="single"/>
    </w:rPr>
  </w:style>
  <w:style w:type="paragraph" w:styleId="BalloonText">
    <w:name w:val="Balloon Text"/>
    <w:basedOn w:val="Normal"/>
    <w:link w:val="BalloonTextChar"/>
    <w:uiPriority w:val="99"/>
    <w:semiHidden/>
    <w:unhideWhenUsed/>
    <w:rsid w:val="008C3B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B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name.umdl.umich.edu/PPlLan"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1555</Words>
  <Characters>8869</Characters>
  <Application>Microsoft Office Word</Application>
  <DocSecurity>0</DocSecurity>
  <Lines>73</Lines>
  <Paragraphs>20</Paragraphs>
  <ScaleCrop>false</ScaleCrop>
  <Company>University of Nottingham</Company>
  <LinksUpToDate>false</LinksUpToDate>
  <CharactersWithSpaces>10404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Marchbank Alexandra</dc:creator>
  <cp:keywords/>
  <dc:description/>
  <cp:lastModifiedBy>Marchbank Alexandra</cp:lastModifiedBy>
  <cp:revision>2</cp:revision>
  <dcterms:created xsi:type="dcterms:W3CDTF">2017-12-18T14:12:00Z</dcterms:created>
  <dcterms:modified xsi:type="dcterms:W3CDTF">2017-12-18T14:12:00Z</dcterms:modified>
</cp:coreProperties>
</file>