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游ゴシック" w:cs="游ゴシック" w:eastAsia="游ゴシック" w:hAnsi="游ゴシック"/>
          <w:b/>
          <w:bCs/>
          <w:color w:val="17375E"/>
          <w:sz w:val="34"/>
          <w:szCs w:val="34"/>
        </w:rPr>
        <w:t xml:space="preserve">作業評価のしくみについて</w:t>
      </w:r>
    </w:p>
    <w:p>
      <w:pPr>
        <w:spacing w:after="240"/>
        <w:jc w:val="center"/>
      </w:pPr>
      <w:r>
        <w:rPr>
          <w:rFonts w:ascii="游ゴシック" w:cs="游ゴシック" w:eastAsia="游ゴシック" w:hAnsi="游ゴシック"/>
          <w:color w:val="404040"/>
          <w:sz w:val="22"/>
          <w:szCs w:val="22"/>
        </w:rPr>
        <w:t xml:space="preserve">― なぜ「1件あたり何分」での比較をやめたのか ―</w:t>
      </w:r>
    </w:p>
    <w:p>
      <w:pPr>
        <w:spacing w:after="240"/>
        <w:jc w:val="right"/>
      </w:pPr>
      <w:r>
        <w:rPr>
          <w:rFonts w:ascii="游ゴシック" w:cs="游ゴシック" w:eastAsia="游ゴシック" w:hAnsi="游ゴシック"/>
          <w:color w:val="595959"/>
          <w:sz w:val="20"/>
          <w:szCs w:val="20"/>
        </w:rPr>
        <w:t xml:space="preserve">【　部署名　】　2026年　月　日</w:t>
      </w:r>
    </w:p>
    <w:p>
      <w:pPr>
        <w:spacing w:after="120" w:before="0" w:line="300"/>
      </w:pPr>
      <w:r>
        <w:rPr>
          <w:rFonts w:ascii="游ゴシック" w:cs="游ゴシック" w:eastAsia="游ゴシック" w:hAnsi="游ゴシック"/>
          <w:sz w:val="21"/>
          <w:szCs w:val="21"/>
        </w:rPr>
        <w:t xml:space="preserve">この文書は、2026年4月から使っている作業評価のしくみを、評価を受ける皆さんご本人に向けて説明するものです。何を測っているのか、なぜそう測ることにしたのか、そして何は測れないのかを、隠さずに書きます。</w:t>
      </w:r>
    </w:p>
    <w:p>
      <w:pPr>
        <w:pStyle w:val="Heading1"/>
        <w:pBdr>
          <w:bottom w:val="single" w:color="17375E" w:sz="10" w:space="4"/>
        </w:pBdr>
        <w:spacing w:after="160" w:before="320"/>
      </w:pPr>
      <w:r>
        <w:rPr>
          <w:rFonts w:ascii="游ゴシック" w:cs="游ゴシック" w:eastAsia="游ゴシック" w:hAnsi="游ゴシック"/>
          <w:b/>
          <w:bCs/>
          <w:color w:val="17375E"/>
          <w:sz w:val="26"/>
          <w:szCs w:val="26"/>
        </w:rPr>
        <w:t xml:space="preserve">1. きっかけ ― 従来の「1件あたり何分」を検証しました</w:t>
      </w:r>
    </w:p>
    <w:p>
      <w:pPr>
        <w:spacing w:after="120" w:before="0" w:line="300"/>
      </w:pPr>
      <w:r>
        <w:rPr>
          <w:rFonts w:ascii="游ゴシック" w:cs="游ゴシック" w:eastAsia="游ゴシック" w:hAnsi="游ゴシック"/>
          <w:sz w:val="21"/>
          <w:szCs w:val="21"/>
        </w:rPr>
        <w:t xml:space="preserve">これまでは「実際にかかった時間 ÷ 件数」、つまり1件あたり何分かかったか、という数字で見ていました。単純で分かりやすい数字です。</w:t>
      </w:r>
    </w:p>
    <w:p>
      <w:pPr>
        <w:spacing w:after="120" w:before="0" w:line="300"/>
      </w:pPr>
      <w:r>
        <w:rPr>
          <w:rFonts w:ascii="游ゴシック" w:cs="游ゴシック" w:eastAsia="游ゴシック" w:hAnsi="游ゴシック"/>
          <w:sz w:val="21"/>
          <w:szCs w:val="21"/>
        </w:rPr>
        <w:t xml:space="preserve">ところが2026年4月の実績（29名・45,716件・記録の揃った21日分）で検証したところ、この数字は、その人の速さではなく、担当したリストの中身で決まっていたことが分かりました。</w:t>
      </w:r>
    </w:p>
    <w:p>
      <w:pPr>
        <w:pStyle w:val="Heading1"/>
        <w:pBdr>
          <w:bottom w:val="single" w:color="17375E" w:sz="10" w:space="4"/>
        </w:pBdr>
        <w:spacing w:after="160" w:before="320"/>
      </w:pPr>
      <w:r>
        <w:rPr>
          <w:rFonts w:ascii="游ゴシック" w:cs="游ゴシック" w:eastAsia="游ゴシック" w:hAnsi="游ゴシック"/>
          <w:b/>
          <w:bCs/>
          <w:color w:val="17375E"/>
          <w:sz w:val="26"/>
          <w:szCs w:val="26"/>
        </w:rPr>
        <w:t xml:space="preserve">2. 何が起きていたのか</w:t>
      </w:r>
    </w:p>
    <w:p>
      <w:pPr>
        <w:spacing w:after="120" w:before="0" w:line="300"/>
      </w:pPr>
      <w:r>
        <w:rPr>
          <w:rFonts w:ascii="游ゴシック" w:cs="游ゴシック" w:eastAsia="游ゴシック" w:hAnsi="游ゴシック"/>
          <w:sz w:val="21"/>
          <w:szCs w:val="21"/>
        </w:rPr>
        <w:t xml:space="preserve">ピッキングには、1社ごとに必ず発生する時間があります。リストを見るのに約46秒、伝票を挟むのに約46秒。合わせて1社あたり約92秒です。これを「段取り」と呼びます。</w:t>
      </w:r>
    </w:p>
    <w:p>
      <w:pPr>
        <w:spacing w:after="120" w:before="0" w:line="300"/>
      </w:pPr>
      <w:r>
        <w:rPr>
          <w:rFonts w:ascii="游ゴシック" w:cs="游ゴシック" w:eastAsia="游ゴシック" w:hAnsi="游ゴシック"/>
          <w:sz w:val="21"/>
          <w:szCs w:val="21"/>
        </w:rPr>
        <w:t xml:space="preserve">この段取りは、4月のピッキング総時間679.7時間のうち233.2時間、割合にして34.3％を占めていました。作業時間の3分の1が、件数ではなく社数で決まっていたことになります。</w:t>
      </w:r>
    </w:p>
    <w:p>
      <w:pPr>
        <w:spacing w:after="120" w:before="0" w:line="300"/>
      </w:pPr>
      <w:r>
        <w:rPr>
          <w:rFonts w:ascii="游ゴシック" w:cs="游ゴシック" w:eastAsia="游ゴシック" w:hAnsi="游ゴシック"/>
          <w:sz w:val="21"/>
          <w:szCs w:val="21"/>
        </w:rPr>
        <w:t xml:space="preserve">ここで問題になるのがリストの中身です。1社から10個まとめて引くリストと、1社1個のリストを10枚引くのとでは、同じ10個でも背負う段取りが10倍違います。</w:t>
      </w:r>
    </w:p>
    <w:p>
      <w:pPr>
        <w:spacing w:after="120" w:before="0" w:line="300"/>
      </w:pPr>
      <w:r>
        <w:rPr>
          <w:rFonts w:ascii="游ゴシック" w:cs="游ゴシック" w:eastAsia="游ゴシック" w:hAnsi="游ゴシック"/>
          <w:sz w:val="21"/>
          <w:szCs w:val="21"/>
        </w:rPr>
        <w:t xml:space="preserve">そこで「1件あたり何社ぶんの段取りを背負ったか」と「1件あたり何分かかったか」の関係を調べました。結果ははっきりと右上がりでした。</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F2F2" w:val="clear"/>
            <w:tcMar>
              <w:top w:type="dxa" w:w="120"/>
              <w:left w:type="dxa" w:w="180"/>
              <w:bottom w:type="dxa" w:w="120"/>
              <w:right w:type="dxa" w:w="180"/>
            </w:tcMar>
          </w:tcPr>
          <w:p>
            <w:pPr>
              <w:spacing w:after="80" w:line="300"/>
              <w:jc w:val="center"/>
            </w:pPr>
            <w:r>
              <w:rPr>
                <w:rFonts w:ascii="游ゴシック" w:cs="游ゴシック" w:eastAsia="游ゴシック" w:hAnsi="游ゴシック"/>
                <w:b w:val="false"/>
                <w:bCs w:val="false"/>
                <w:color w:val="404040"/>
                <w:sz w:val="20"/>
                <w:szCs w:val="20"/>
              </w:rPr>
              <w:t xml:space="preserve">従来の「1件あたり何分」と、リスト構成との関係</w:t>
            </w:r>
          </w:p>
          <w:p>
            <w:pPr>
              <w:spacing w:after="80" w:line="300"/>
              <w:jc w:val="center"/>
            </w:pPr>
            <w:r>
              <w:rPr>
                <w:rFonts w:ascii="游ゴシック" w:cs="游ゴシック" w:eastAsia="游ゴシック" w:hAnsi="游ゴシック"/>
                <w:b/>
                <w:bCs/>
                <w:color w:val="C00000"/>
                <w:sz w:val="24"/>
                <w:szCs w:val="24"/>
              </w:rPr>
              <w:t xml:space="preserve">相関 r ＝ 0.43　（p ＝ 0.019、29名）</w:t>
            </w:r>
          </w:p>
          <w:p>
            <w:pPr>
              <w:spacing w:after="0" w:line="300"/>
              <w:jc w:val="center"/>
            </w:pPr>
            <w:r>
              <w:rPr>
                <w:rFonts w:ascii="游ゴシック" w:cs="游ゴシック" w:eastAsia="游ゴシック" w:hAnsi="游ゴシック"/>
                <w:b w:val="false"/>
                <w:bCs w:val="false"/>
                <w:color w:val="404040"/>
                <w:sz w:val="20"/>
                <w:szCs w:val="20"/>
              </w:rPr>
              <w:t xml:space="preserve">この大きさの偏りは、偶然では説明できません</w:t>
            </w:r>
          </w:p>
        </w:tc>
      </w:tr>
    </w:tbl>
    <w:p>
      <w:pPr>
        <w:spacing w:after="120" w:before="120" w:line="300"/>
      </w:pPr>
      <w:r>
        <w:rPr>
          <w:rFonts w:ascii="游ゴシック" w:cs="游ゴシック" w:eastAsia="游ゴシック" w:hAnsi="游ゴシック"/>
          <w:sz w:val="21"/>
          <w:szCs w:val="21"/>
        </w:rPr>
        <w:t xml:space="preserve">つまり、1社1個のリストを多く引いた人ほど、同じ速さで働いても数字が悪く出ていたということです。本人の努力や技能とは関係のない差が、評価に混ざっていました。</w:t>
      </w:r>
    </w:p>
    <w:p>
      <w:pPr>
        <w:spacing w:after="120" w:before="0" w:line="300"/>
      </w:pPr>
      <w:r>
        <w:rPr>
          <w:rFonts w:ascii="游ゴシック" w:cs="游ゴシック" w:eastAsia="游ゴシック" w:hAnsi="游ゴシック"/>
          <w:sz w:val="21"/>
          <w:szCs w:val="21"/>
        </w:rPr>
        <w:t xml:space="preserve">そこで段取りの分を差し引いた「手を動かす速さそのもの」で、同じ関係を調べ直しました。</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1FAF6" w:val="clear"/>
            <w:tcMar>
              <w:top w:type="dxa" w:w="120"/>
              <w:left w:type="dxa" w:w="180"/>
              <w:bottom w:type="dxa" w:w="120"/>
              <w:right w:type="dxa" w:w="180"/>
            </w:tcMar>
          </w:tcPr>
          <w:p>
            <w:pPr>
              <w:spacing w:after="80" w:line="300"/>
              <w:jc w:val="center"/>
            </w:pPr>
            <w:r>
              <w:rPr>
                <w:rFonts w:ascii="游ゴシック" w:cs="游ゴシック" w:eastAsia="游ゴシック" w:hAnsi="游ゴシック"/>
                <w:b w:val="false"/>
                <w:bCs w:val="false"/>
                <w:color w:val="404040"/>
                <w:sz w:val="20"/>
                <w:szCs w:val="20"/>
              </w:rPr>
              <w:t xml:space="preserve">段取りを除いたあとの速さと、リスト構成との関係</w:t>
            </w:r>
          </w:p>
          <w:p>
            <w:pPr>
              <w:spacing w:after="80" w:line="300"/>
              <w:jc w:val="center"/>
            </w:pPr>
            <w:r>
              <w:rPr>
                <w:rFonts w:ascii="游ゴシック" w:cs="游ゴシック" w:eastAsia="游ゴシック" w:hAnsi="游ゴシック"/>
                <w:b/>
                <w:bCs/>
                <w:color w:val="1BAF7A"/>
                <w:sz w:val="24"/>
                <w:szCs w:val="24"/>
              </w:rPr>
              <w:t xml:space="preserve">相関 r ＝ 0.09　（p ＝ 0.64、29名）</w:t>
            </w:r>
          </w:p>
          <w:p>
            <w:pPr>
              <w:spacing w:after="0" w:line="300"/>
              <w:jc w:val="center"/>
            </w:pPr>
            <w:r>
              <w:rPr>
                <w:rFonts w:ascii="游ゴシック" w:cs="游ゴシック" w:eastAsia="游ゴシック" w:hAnsi="游ゴシック"/>
                <w:b w:val="false"/>
                <w:bCs w:val="false"/>
                <w:color w:val="404040"/>
                <w:sz w:val="20"/>
                <w:szCs w:val="20"/>
              </w:rPr>
              <w:t xml:space="preserve">偶然の範囲です。担当リストの偏りを取り除けました</w:t>
            </w:r>
          </w:p>
        </w:tc>
      </w:tr>
    </w:tbl>
    <w:p>
      <w:pPr>
        <w:spacing w:after="120" w:before="120" w:line="300"/>
      </w:pPr>
      <w:r>
        <w:rPr>
          <w:rFonts w:ascii="游ゴシック" w:cs="游ゴシック" w:eastAsia="游ゴシック" w:hAnsi="游ゴシック"/>
          <w:sz w:val="21"/>
          <w:szCs w:val="21"/>
        </w:rPr>
        <w:t xml:space="preserve">この確認が取れたので、新しい方式に切り替えました。</w:t>
      </w:r>
    </w:p>
    <w:p>
      <w:pPr>
        <w:pStyle w:val="Heading1"/>
        <w:pBdr>
          <w:bottom w:val="single" w:color="17375E" w:sz="10" w:space="4"/>
        </w:pBdr>
        <w:spacing w:after="160" w:before="320"/>
      </w:pPr>
      <w:r>
        <w:rPr>
          <w:rFonts w:ascii="游ゴシック" w:cs="游ゴシック" w:eastAsia="游ゴシック" w:hAnsi="游ゴシック"/>
          <w:b/>
          <w:bCs/>
          <w:color w:val="17375E"/>
          <w:sz w:val="26"/>
          <w:szCs w:val="26"/>
        </w:rPr>
        <w:t xml:space="preserve">3. 新しいしくみ</w:t>
      </w:r>
    </w:p>
    <w:p>
      <w:pPr>
        <w:spacing w:after="120" w:before="0" w:line="300"/>
      </w:pPr>
      <w:r>
        <w:rPr>
          <w:rFonts w:ascii="游ゴシック" w:cs="游ゴシック" w:eastAsia="游ゴシック" w:hAnsi="游ゴシック"/>
          <w:sz w:val="21"/>
          <w:szCs w:val="21"/>
        </w:rPr>
        <w:t xml:space="preserve">一人ひとりについて「その物量なら本来これくらいかかるはず」という時間（標準時間）を先に計算し、実際にかかった時間と比べます。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2F6FA" w:val="clear"/>
            <w:tcMar>
              <w:top w:type="dxa" w:w="120"/>
              <w:left w:type="dxa" w:w="180"/>
              <w:bottom w:type="dxa" w:w="120"/>
              <w:right w:type="dxa" w:w="180"/>
            </w:tcMar>
          </w:tcPr>
          <w:p>
            <w:pPr>
              <w:spacing w:after="80" w:line="300"/>
              <w:jc w:val="center"/>
            </w:pPr>
            <w:r>
              <w:rPr>
                <w:rFonts w:ascii="游ゴシック" w:cs="游ゴシック" w:eastAsia="游ゴシック" w:hAnsi="游ゴシック"/>
                <w:b/>
                <w:bCs/>
                <w:sz w:val="22"/>
                <w:szCs w:val="22"/>
              </w:rPr>
              <w:t xml:space="preserve">標準時間 ＝ 1社あたりの時間 × 企業数 ＋ 1件あたりの時間 × 件数</w:t>
            </w:r>
          </w:p>
          <w:p>
            <w:pPr>
              <w:spacing w:after="0" w:line="300"/>
              <w:jc w:val="center"/>
            </w:pPr>
            <w:r>
              <w:rPr>
                <w:rFonts w:ascii="游ゴシック" w:cs="游ゴシック" w:eastAsia="游ゴシック" w:hAnsi="游ゴシック"/>
                <w:b/>
                <w:bCs/>
                <w:sz w:val="22"/>
                <w:szCs w:val="22"/>
              </w:rPr>
              <w:t xml:space="preserve">効率 ＝ 標準時間 ÷ 実際にかかった時間 × 100　（100 なら標準どおり）</w:t>
            </w:r>
          </w:p>
        </w:tc>
      </w:tr>
    </w:tbl>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rPr>
          <w:tblHeader/>
        </w:trPr>
        <w:tc>
          <w:tcPr>
            <w:tcW w:type="dxa" w:w="2000"/>
            <w:shd w:fill="17375E" w:val="clear"/>
            <w:tcMar>
              <w:top w:type="dxa" w:w="80"/>
              <w:left w:type="dxa" w:w="120"/>
              <w:bottom w:type="dxa" w:w="80"/>
              <w:right w:type="dxa" w:w="120"/>
            </w:tcMar>
          </w:tcPr>
          <w:p>
            <w:pPr>
              <w:spacing w:after="0" w:line="280"/>
              <w:jc w:val="center"/>
            </w:pPr>
            <w:r>
              <w:rPr>
                <w:rFonts w:ascii="游ゴシック" w:cs="游ゴシック" w:eastAsia="游ゴシック" w:hAnsi="游ゴシック"/>
                <w:b/>
                <w:bCs/>
                <w:color w:val="FFFFFF"/>
                <w:sz w:val="20"/>
                <w:szCs w:val="20"/>
              </w:rPr>
              <w:t xml:space="preserve">工程</w:t>
            </w:r>
          </w:p>
        </w:tc>
        <w:tc>
          <w:tcPr>
            <w:tcW w:type="dxa" w:w="3500"/>
            <w:shd w:fill="17375E" w:val="clear"/>
            <w:tcMar>
              <w:top w:type="dxa" w:w="80"/>
              <w:left w:type="dxa" w:w="120"/>
              <w:bottom w:type="dxa" w:w="80"/>
              <w:right w:type="dxa" w:w="120"/>
            </w:tcMar>
          </w:tcPr>
          <w:p>
            <w:pPr>
              <w:spacing w:after="0" w:line="280"/>
              <w:jc w:val="center"/>
            </w:pPr>
            <w:r>
              <w:rPr>
                <w:rFonts w:ascii="游ゴシック" w:cs="游ゴシック" w:eastAsia="游ゴシック" w:hAnsi="游ゴシック"/>
                <w:b/>
                <w:bCs/>
                <w:color w:val="FFFFFF"/>
                <w:sz w:val="20"/>
                <w:szCs w:val="20"/>
              </w:rPr>
              <w:t xml:space="preserve">1社あたり（段取り）</w:t>
            </w:r>
          </w:p>
        </w:tc>
        <w:tc>
          <w:tcPr>
            <w:tcW w:type="dxa" w:w="3500"/>
            <w:shd w:fill="17375E" w:val="clear"/>
            <w:tcMar>
              <w:top w:type="dxa" w:w="80"/>
              <w:left w:type="dxa" w:w="120"/>
              <w:bottom w:type="dxa" w:w="80"/>
              <w:right w:type="dxa" w:w="120"/>
            </w:tcMar>
          </w:tcPr>
          <w:p>
            <w:pPr>
              <w:spacing w:after="0" w:line="280"/>
              <w:jc w:val="center"/>
            </w:pPr>
            <w:r>
              <w:rPr>
                <w:rFonts w:ascii="游ゴシック" w:cs="游ゴシック" w:eastAsia="游ゴシック" w:hAnsi="游ゴシック"/>
                <w:b/>
                <w:bCs/>
                <w:color w:val="FFFFFF"/>
                <w:sz w:val="20"/>
                <w:szCs w:val="20"/>
              </w:rPr>
              <w:t xml:space="preserve">1件あたり（作業）</w:t>
            </w:r>
          </w:p>
        </w:tc>
      </w:tr>
      <w:tr>
        <w:trPr>
          <w:tblHeader w:val="false"/>
        </w:trPr>
        <w:tc>
          <w:tcPr>
            <w:tcW w:type="dxa" w:w="2000"/>
            <w:tcMar>
              <w:top w:type="dxa" w:w="80"/>
              <w:left w:type="dxa" w:w="120"/>
              <w:bottom w:type="dxa" w:w="80"/>
              <w:right w:type="dxa" w:w="120"/>
            </w:tcMar>
          </w:tcPr>
          <w:p>
            <w:pPr>
              <w:spacing w:after="0" w:line="280"/>
            </w:pPr>
            <w:r>
              <w:rPr>
                <w:rFonts w:ascii="游ゴシック" w:cs="游ゴシック" w:eastAsia="游ゴシック" w:hAnsi="游ゴシック"/>
                <w:b w:val="false"/>
                <w:bCs w:val="false"/>
                <w:sz w:val="20"/>
                <w:szCs w:val="20"/>
              </w:rPr>
              <w:t xml:space="preserve">ピッキング</w:t>
            </w:r>
          </w:p>
        </w:tc>
        <w:tc>
          <w:tcPr>
            <w:tcW w:type="dxa" w:w="3500"/>
            <w:tcMar>
              <w:top w:type="dxa" w:w="80"/>
              <w:left w:type="dxa" w:w="120"/>
              <w:bottom w:type="dxa" w:w="80"/>
              <w:right w:type="dxa" w:w="120"/>
            </w:tcMar>
          </w:tcPr>
          <w:p>
            <w:pPr>
              <w:spacing w:after="0" w:line="280"/>
            </w:pPr>
            <w:r>
              <w:rPr>
                <w:rFonts w:ascii="游ゴシック" w:cs="游ゴシック" w:eastAsia="游ゴシック" w:hAnsi="游ゴシック"/>
                <w:b w:val="false"/>
                <w:bCs w:val="false"/>
                <w:sz w:val="20"/>
                <w:szCs w:val="20"/>
              </w:rPr>
              <w:t xml:space="preserve">92.1秒（リストを見る＋伝票を挟む）</w:t>
            </w:r>
          </w:p>
        </w:tc>
        <w:tc>
          <w:tcPr>
            <w:tcW w:type="dxa" w:w="3500"/>
            <w:tcMar>
              <w:top w:type="dxa" w:w="80"/>
              <w:left w:type="dxa" w:w="120"/>
              <w:bottom w:type="dxa" w:w="80"/>
              <w:right w:type="dxa" w:w="120"/>
            </w:tcMar>
          </w:tcPr>
          <w:p>
            <w:pPr>
              <w:spacing w:after="0" w:line="280"/>
            </w:pPr>
            <w:r>
              <w:rPr>
                <w:rFonts w:ascii="游ゴシック" w:cs="游ゴシック" w:eastAsia="游ゴシック" w:hAnsi="游ゴシック"/>
                <w:b w:val="false"/>
                <w:bCs w:val="false"/>
                <w:sz w:val="20"/>
                <w:szCs w:val="20"/>
              </w:rPr>
              <w:t xml:space="preserve">75.6秒（棚まで移動＋棚から取ってカゴへ）</w:t>
            </w:r>
          </w:p>
        </w:tc>
      </w:tr>
      <w:tr>
        <w:trPr>
          <w:tblHeader w:val="false"/>
        </w:trPr>
        <w:tc>
          <w:tcPr>
            <w:tcW w:type="dxa" w:w="2000"/>
            <w:shd w:fill="F7F9FC" w:val="clear"/>
            <w:tcMar>
              <w:top w:type="dxa" w:w="80"/>
              <w:left w:type="dxa" w:w="120"/>
              <w:bottom w:type="dxa" w:w="80"/>
              <w:right w:type="dxa" w:w="120"/>
            </w:tcMar>
          </w:tcPr>
          <w:p>
            <w:pPr>
              <w:spacing w:after="0" w:line="280"/>
            </w:pPr>
            <w:r>
              <w:rPr>
                <w:rFonts w:ascii="游ゴシック" w:cs="游ゴシック" w:eastAsia="游ゴシック" w:hAnsi="游ゴシック"/>
                <w:b w:val="false"/>
                <w:bCs w:val="false"/>
                <w:sz w:val="20"/>
                <w:szCs w:val="20"/>
              </w:rPr>
              <w:t xml:space="preserve">梱包</w:t>
            </w:r>
          </w:p>
        </w:tc>
        <w:tc>
          <w:tcPr>
            <w:tcW w:type="dxa" w:w="3500"/>
            <w:shd w:fill="F7F9FC" w:val="clear"/>
            <w:tcMar>
              <w:top w:type="dxa" w:w="80"/>
              <w:left w:type="dxa" w:w="120"/>
              <w:bottom w:type="dxa" w:w="80"/>
              <w:right w:type="dxa" w:w="120"/>
            </w:tcMar>
          </w:tcPr>
          <w:p>
            <w:pPr>
              <w:spacing w:after="0" w:line="280"/>
            </w:pPr>
            <w:r>
              <w:rPr>
                <w:rFonts w:ascii="游ゴシック" w:cs="游ゴシック" w:eastAsia="游ゴシック" w:hAnsi="游ゴシック"/>
                <w:b w:val="false"/>
                <w:bCs w:val="false"/>
                <w:sz w:val="20"/>
                <w:szCs w:val="20"/>
              </w:rPr>
              <w:t xml:space="preserve">92.1秒</w:t>
            </w:r>
          </w:p>
        </w:tc>
        <w:tc>
          <w:tcPr>
            <w:tcW w:type="dxa" w:w="3500"/>
            <w:shd w:fill="F7F9FC" w:val="clear"/>
            <w:tcMar>
              <w:top w:type="dxa" w:w="80"/>
              <w:left w:type="dxa" w:w="120"/>
              <w:bottom w:type="dxa" w:w="80"/>
              <w:right w:type="dxa" w:w="120"/>
            </w:tcMar>
          </w:tcPr>
          <w:p>
            <w:pPr>
              <w:spacing w:after="0" w:line="280"/>
            </w:pPr>
            <w:r>
              <w:rPr>
                <w:rFonts w:ascii="游ゴシック" w:cs="游ゴシック" w:eastAsia="游ゴシック" w:hAnsi="游ゴシック"/>
                <w:b w:val="false"/>
                <w:bCs w:val="false"/>
                <w:sz w:val="20"/>
                <w:szCs w:val="20"/>
              </w:rPr>
              <w:t xml:space="preserve">69.5秒</w:t>
            </w:r>
          </w:p>
        </w:tc>
      </w:tr>
    </w:tbl>
    <w:p>
      <w:pPr>
        <w:spacing w:after="120" w:before="160" w:line="300"/>
      </w:pPr>
      <w:r>
        <w:rPr>
          <w:rFonts w:ascii="游ゴシック" w:cs="游ゴシック" w:eastAsia="游ゴシック" w:hAnsi="游ゴシック"/>
          <w:sz w:val="21"/>
          <w:szCs w:val="21"/>
        </w:rPr>
        <w:t xml:space="preserve">4月の全体平均は 99.98 でした。ほぼ100であることは、この標準時間の設定が実態と大きくずれていないことを示しています。</w:t>
      </w:r>
    </w:p>
    <w:p>
      <w:pPr>
        <w:pStyle w:val="Heading1"/>
        <w:pBdr>
          <w:bottom w:val="single" w:color="17375E" w:sz="10" w:space="4"/>
        </w:pBdr>
        <w:spacing w:after="160" w:before="320"/>
      </w:pPr>
      <w:r>
        <w:rPr>
          <w:rFonts w:ascii="游ゴシック" w:cs="游ゴシック" w:eastAsia="游ゴシック" w:hAnsi="游ゴシック"/>
          <w:b/>
          <w:bCs/>
          <w:color w:val="17375E"/>
          <w:sz w:val="26"/>
          <w:szCs w:val="26"/>
        </w:rPr>
        <w:t xml:space="preserve">4. 皆さんにとって何が良くなるか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7375E" w:val="clear"/>
            <w:tcMar>
              <w:top w:type="dxa" w:w="80"/>
              <w:left w:type="dxa" w:w="120"/>
              <w:bottom w:type="dxa" w:w="80"/>
              <w:right w:type="dxa" w:w="120"/>
            </w:tcMar>
          </w:tcPr>
          <w:p>
            <w:pPr>
              <w:spacing w:after="0" w:line="280"/>
              <w:jc w:val="center"/>
            </w:pPr>
            <w:r>
              <w:rPr>
                <w:rFonts w:ascii="游ゴシック" w:cs="游ゴシック" w:eastAsia="游ゴシック" w:hAnsi="游ゴシック"/>
                <w:b/>
                <w:bCs/>
                <w:color w:val="FFFFFF"/>
                <w:sz w:val="20"/>
                <w:szCs w:val="20"/>
              </w:rPr>
              <w:t xml:space="preserve">変わること</w:t>
            </w:r>
          </w:p>
        </w:tc>
        <w:tc>
          <w:tcPr>
            <w:tcW w:type="dxa" w:w="6400"/>
            <w:shd w:fill="17375E" w:val="clear"/>
            <w:tcMar>
              <w:top w:type="dxa" w:w="80"/>
              <w:left w:type="dxa" w:w="120"/>
              <w:bottom w:type="dxa" w:w="80"/>
              <w:right w:type="dxa" w:w="120"/>
            </w:tcMar>
          </w:tcPr>
          <w:p>
            <w:pPr>
              <w:spacing w:after="0" w:line="280"/>
              <w:jc w:val="center"/>
            </w:pPr>
            <w:r>
              <w:rPr>
                <w:rFonts w:ascii="游ゴシック" w:cs="游ゴシック" w:eastAsia="游ゴシック" w:hAnsi="游ゴシック"/>
                <w:b/>
                <w:bCs/>
                <w:color w:val="FFFFFF"/>
                <w:sz w:val="20"/>
                <w:szCs w:val="20"/>
              </w:rPr>
              <w:t xml:space="preserve">内容</w:t>
            </w:r>
          </w:p>
        </w:tc>
      </w:tr>
      <w:tr>
        <w:trPr>
          <w:tblHeader w:val="false"/>
        </w:trPr>
        <w:tc>
          <w:tcPr>
            <w:tcW w:type="dxa" w:w="2600"/>
            <w:tcMar>
              <w:top w:type="dxa" w:w="80"/>
              <w:left w:type="dxa" w:w="120"/>
              <w:bottom w:type="dxa" w:w="80"/>
              <w:right w:type="dxa" w:w="120"/>
            </w:tcMar>
          </w:tcPr>
          <w:p>
            <w:pPr>
              <w:spacing w:after="0" w:line="280"/>
            </w:pPr>
            <w:r>
              <w:rPr>
                <w:rFonts w:ascii="游ゴシック" w:cs="游ゴシック" w:eastAsia="游ゴシック" w:hAnsi="游ゴシック"/>
                <w:b w:val="false"/>
                <w:bCs w:val="false"/>
                <w:sz w:val="20"/>
                <w:szCs w:val="20"/>
              </w:rPr>
              <w:t xml:space="preserve">引いたリストの中身で不利にならない</w:t>
            </w:r>
          </w:p>
        </w:tc>
        <w:tc>
          <w:tcPr>
            <w:tcW w:type="dxa" w:w="6400"/>
            <w:tcMar>
              <w:top w:type="dxa" w:w="80"/>
              <w:left w:type="dxa" w:w="120"/>
              <w:bottom w:type="dxa" w:w="80"/>
              <w:right w:type="dxa" w:w="120"/>
            </w:tcMar>
          </w:tcPr>
          <w:p>
            <w:pPr>
              <w:spacing w:after="0" w:line="280"/>
            </w:pPr>
            <w:r>
              <w:rPr>
                <w:rFonts w:ascii="游ゴシック" w:cs="游ゴシック" w:eastAsia="游ゴシック" w:hAnsi="游ゴシック"/>
                <w:b w:val="false"/>
                <w:bCs w:val="false"/>
                <w:sz w:val="20"/>
                <w:szCs w:val="20"/>
              </w:rPr>
              <w:t xml:space="preserve">1社1個ばかりのリストを引いた月でも、その分の段取りは最初から必要な時間として認められます。評価されるのは速さだけです。</w:t>
            </w:r>
          </w:p>
        </w:tc>
      </w:tr>
      <w:tr>
        <w:trPr>
          <w:tblHeader w:val="false"/>
        </w:trPr>
        <w:tc>
          <w:tcPr>
            <w:tcW w:type="dxa" w:w="2600"/>
            <w:shd w:fill="F7F9FC" w:val="clear"/>
            <w:tcMar>
              <w:top w:type="dxa" w:w="80"/>
              <w:left w:type="dxa" w:w="120"/>
              <w:bottom w:type="dxa" w:w="80"/>
              <w:right w:type="dxa" w:w="120"/>
            </w:tcMar>
          </w:tcPr>
          <w:p>
            <w:pPr>
              <w:spacing w:after="0" w:line="280"/>
            </w:pPr>
            <w:r>
              <w:rPr>
                <w:rFonts w:ascii="游ゴシック" w:cs="游ゴシック" w:eastAsia="游ゴシック" w:hAnsi="游ゴシック"/>
                <w:b w:val="false"/>
                <w:bCs w:val="false"/>
                <w:sz w:val="20"/>
                <w:szCs w:val="20"/>
              </w:rPr>
              <w:t xml:space="preserve">自分専用の目標が出る</w:t>
            </w:r>
          </w:p>
        </w:tc>
        <w:tc>
          <w:tcPr>
            <w:tcW w:type="dxa" w:w="6400"/>
            <w:shd w:fill="F7F9FC" w:val="clear"/>
            <w:tcMar>
              <w:top w:type="dxa" w:w="80"/>
              <w:left w:type="dxa" w:w="120"/>
              <w:bottom w:type="dxa" w:w="80"/>
              <w:right w:type="dxa" w:w="120"/>
            </w:tcMar>
          </w:tcPr>
          <w:p>
            <w:pPr>
              <w:spacing w:after="0" w:line="280"/>
            </w:pPr>
            <w:r>
              <w:rPr>
                <w:rFonts w:ascii="游ゴシック" w:cs="游ゴシック" w:eastAsia="游ゴシック" w:hAnsi="游ゴシック"/>
                <w:b w:val="false"/>
                <w:bCs w:val="false"/>
                <w:sz w:val="20"/>
                <w:szCs w:val="20"/>
              </w:rPr>
              <w:t xml:space="preserve">「公平目標（分/個）」は、その人が実際に担当したリストの構成に合わせて計算されます。全員一律の目標ではありません。</w:t>
            </w:r>
          </w:p>
        </w:tc>
      </w:tr>
      <w:tr>
        <w:trPr>
          <w:tblHeader w:val="false"/>
        </w:trPr>
        <w:tc>
          <w:tcPr>
            <w:tcW w:type="dxa" w:w="2600"/>
            <w:tcMar>
              <w:top w:type="dxa" w:w="80"/>
              <w:left w:type="dxa" w:w="120"/>
              <w:bottom w:type="dxa" w:w="80"/>
              <w:right w:type="dxa" w:w="120"/>
            </w:tcMar>
          </w:tcPr>
          <w:p>
            <w:pPr>
              <w:spacing w:after="0" w:line="280"/>
            </w:pPr>
            <w:r>
              <w:rPr>
                <w:rFonts w:ascii="游ゴシック" w:cs="游ゴシック" w:eastAsia="游ゴシック" w:hAnsi="游ゴシック"/>
                <w:b w:val="false"/>
                <w:bCs w:val="false"/>
                <w:sz w:val="20"/>
                <w:szCs w:val="20"/>
              </w:rPr>
              <w:t xml:space="preserve">少ない記録日数で決めつけられない</w:t>
            </w:r>
          </w:p>
        </w:tc>
        <w:tc>
          <w:tcPr>
            <w:tcW w:type="dxa" w:w="6400"/>
            <w:tcMar>
              <w:top w:type="dxa" w:w="80"/>
              <w:left w:type="dxa" w:w="120"/>
              <w:bottom w:type="dxa" w:w="80"/>
              <w:right w:type="dxa" w:w="120"/>
            </w:tcMar>
          </w:tcPr>
          <w:p>
            <w:pPr>
              <w:spacing w:after="0" w:line="280"/>
            </w:pPr>
            <w:r>
              <w:rPr>
                <w:rFonts w:ascii="游ゴシック" w:cs="游ゴシック" w:eastAsia="游ゴシック" w:hAnsi="游ゴシック"/>
                <w:b w:val="false"/>
                <w:bCs w:val="false"/>
                <w:sz w:val="20"/>
                <w:szCs w:val="20"/>
              </w:rPr>
              <w:t xml:space="preserve">記録日数が少ないと数字はブレます。そのため平均側へ寄せた値と95％の幅を出し、その幅が全体平均をまたぐ場合は「差があるとは言えない」と判定します。たまたま悪かった月が、そのまま評価になることはありません。</w:t>
            </w:r>
          </w:p>
        </w:tc>
      </w:tr>
      <w:tr>
        <w:trPr>
          <w:tblHeader w:val="false"/>
        </w:trPr>
        <w:tc>
          <w:tcPr>
            <w:tcW w:type="dxa" w:w="2600"/>
            <w:shd w:fill="F7F9FC" w:val="clear"/>
            <w:tcMar>
              <w:top w:type="dxa" w:w="80"/>
              <w:left w:type="dxa" w:w="120"/>
              <w:bottom w:type="dxa" w:w="80"/>
              <w:right w:type="dxa" w:w="120"/>
            </w:tcMar>
          </w:tcPr>
          <w:p>
            <w:pPr>
              <w:spacing w:after="0" w:line="280"/>
            </w:pPr>
            <w:r>
              <w:rPr>
                <w:rFonts w:ascii="游ゴシック" w:cs="游ゴシック" w:eastAsia="游ゴシック" w:hAnsi="游ゴシック"/>
                <w:b w:val="false"/>
                <w:bCs w:val="false"/>
                <w:sz w:val="20"/>
                <w:szCs w:val="20"/>
              </w:rPr>
              <w:t xml:space="preserve">どこを直せばよいかが分かる</w:t>
            </w:r>
          </w:p>
        </w:tc>
        <w:tc>
          <w:tcPr>
            <w:tcW w:type="dxa" w:w="6400"/>
            <w:shd w:fill="F7F9FC" w:val="clear"/>
            <w:tcMar>
              <w:top w:type="dxa" w:w="80"/>
              <w:left w:type="dxa" w:w="120"/>
              <w:bottom w:type="dxa" w:w="80"/>
              <w:right w:type="dxa" w:w="120"/>
            </w:tcMar>
          </w:tcPr>
          <w:p>
            <w:pPr>
              <w:spacing w:after="0" w:line="280"/>
            </w:pPr>
            <w:r>
              <w:rPr>
                <w:rFonts w:ascii="游ゴシック" w:cs="游ゴシック" w:eastAsia="游ゴシック" w:hAnsi="游ゴシック"/>
                <w:b w:val="false"/>
                <w:bCs w:val="false"/>
                <w:sz w:val="20"/>
                <w:szCs w:val="20"/>
              </w:rPr>
              <w:t xml:space="preserve">ピッキングと梱包を分けて出すので、自分がどちらの工程で時間を要しているかが分かります。漠然と「速くしてください」ではなく、直す場所が特定できます。</w:t>
            </w:r>
          </w:p>
        </w:tc>
      </w:tr>
      <w:tr>
        <w:trPr>
          <w:tblHeader w:val="false"/>
        </w:trPr>
        <w:tc>
          <w:tcPr>
            <w:tcW w:type="dxa" w:w="2600"/>
            <w:tcMar>
              <w:top w:type="dxa" w:w="80"/>
              <w:left w:type="dxa" w:w="120"/>
              <w:bottom w:type="dxa" w:w="80"/>
              <w:right w:type="dxa" w:w="120"/>
            </w:tcMar>
          </w:tcPr>
          <w:p>
            <w:pPr>
              <w:spacing w:after="0" w:line="280"/>
            </w:pPr>
            <w:r>
              <w:rPr>
                <w:rFonts w:ascii="游ゴシック" w:cs="游ゴシック" w:eastAsia="游ゴシック" w:hAnsi="游ゴシック"/>
                <w:b w:val="false"/>
                <w:bCs w:val="false"/>
                <w:sz w:val="20"/>
                <w:szCs w:val="20"/>
              </w:rPr>
              <w:t xml:space="preserve">物量の多さは成績にならない</w:t>
            </w:r>
          </w:p>
        </w:tc>
        <w:tc>
          <w:tcPr>
            <w:tcW w:type="dxa" w:w="6400"/>
            <w:tcMar>
              <w:top w:type="dxa" w:w="80"/>
              <w:left w:type="dxa" w:w="120"/>
              <w:bottom w:type="dxa" w:w="80"/>
              <w:right w:type="dxa" w:w="120"/>
            </w:tcMar>
          </w:tcPr>
          <w:p>
            <w:pPr>
              <w:spacing w:after="0" w:line="280"/>
            </w:pPr>
            <w:r>
              <w:rPr>
                <w:rFonts w:ascii="游ゴシック" w:cs="游ゴシック" w:eastAsia="游ゴシック" w:hAnsi="游ゴシック"/>
                <w:b w:val="false"/>
                <w:bCs w:val="false"/>
                <w:sz w:val="20"/>
                <w:szCs w:val="20"/>
              </w:rPr>
              <w:t xml:space="preserve">たくさん処理したかどうかは需要の問題であって、成績ではありません。逆に、物量が少ない月に不利になることもありません。</w:t>
            </w:r>
          </w:p>
        </w:tc>
      </w:tr>
    </w:tbl>
    <w:p>
      <w:pPr>
        <w:pStyle w:val="Heading1"/>
        <w:pBdr>
          <w:bottom w:val="single" w:color="17375E" w:sz="10" w:space="4"/>
        </w:pBdr>
        <w:spacing w:after="160" w:before="320"/>
      </w:pPr>
      <w:r>
        <w:rPr>
          <w:rFonts w:ascii="游ゴシック" w:cs="游ゴシック" w:eastAsia="游ゴシック" w:hAnsi="游ゴシック"/>
          <w:b/>
          <w:bCs/>
          <w:color w:val="17375E"/>
          <w:sz w:val="26"/>
          <w:szCs w:val="26"/>
        </w:rPr>
        <w:t xml:space="preserve">5. この数字にできないこと</w:t>
      </w:r>
    </w:p>
    <w:p>
      <w:pPr>
        <w:spacing w:after="120" w:before="0" w:line="300"/>
      </w:pPr>
      <w:r>
        <w:rPr>
          <w:rFonts w:ascii="游ゴシック" w:cs="游ゴシック" w:eastAsia="游ゴシック" w:hAnsi="游ゴシック"/>
          <w:sz w:val="21"/>
          <w:szCs w:val="21"/>
        </w:rPr>
        <w:t xml:space="preserve">信用していただくために、限界も書いておきます。</w:t>
      </w:r>
    </w:p>
    <w:p>
      <w:pPr>
        <w:spacing w:after="100" w:line="300"/>
        <w:ind w:left="340" w:hanging="200"/>
      </w:pPr>
      <w:r>
        <w:rPr>
          <w:rFonts w:ascii="游ゴシック" w:cs="游ゴシック" w:eastAsia="游ゴシック" w:hAnsi="游ゴシック"/>
          <w:sz w:val="21"/>
          <w:szCs w:val="21"/>
        </w:rPr>
        <w:t xml:space="preserve">・</w:t>
      </w:r>
      <w:r>
        <w:rPr>
          <w:rFonts w:ascii="游ゴシック" w:cs="游ゴシック" w:eastAsia="游ゴシック" w:hAnsi="游ゴシック"/>
          <w:sz w:val="21"/>
          <w:szCs w:val="21"/>
        </w:rPr>
        <w:t xml:space="preserve">ピッキングの順位は月ごとにブレます。順位の再現性を示す数値は 0.61 です（1に近いほど安定）。1か月の順位だけで人を判断せず、数か月をならして見る前提で運用します。梱包は 0.89 で比較的安定しています。</w:t>
      </w:r>
    </w:p>
    <w:p>
      <w:pPr>
        <w:spacing w:after="100" w:line="300"/>
        <w:ind w:left="340" w:hanging="200"/>
      </w:pPr>
      <w:r>
        <w:rPr>
          <w:rFonts w:ascii="游ゴシック" w:cs="游ゴシック" w:eastAsia="游ゴシック" w:hAnsi="游ゴシック"/>
          <w:sz w:val="21"/>
          <w:szCs w:val="21"/>
        </w:rPr>
        <w:t xml:space="preserve">・</w:t>
      </w:r>
      <w:r>
        <w:rPr>
          <w:rFonts w:ascii="游ゴシック" w:cs="游ゴシック" w:eastAsia="游ゴシック" w:hAnsi="游ゴシック"/>
          <w:sz w:val="21"/>
          <w:szCs w:val="21"/>
        </w:rPr>
        <w:t xml:space="preserve">梱包の段取り時間（92.1秒）は、統計的には0と区別できません。データから言えるのは「梱包の段取りが何秒かは特定できない」というところまでです。</w:t>
      </w:r>
    </w:p>
    <w:p>
      <w:pPr>
        <w:spacing w:after="100" w:line="300"/>
        <w:ind w:left="340" w:hanging="200"/>
      </w:pPr>
      <w:r>
        <w:rPr>
          <w:rFonts w:ascii="游ゴシック" w:cs="游ゴシック" w:eastAsia="游ゴシック" w:hAnsi="游ゴシック"/>
          <w:sz w:val="21"/>
          <w:szCs w:val="21"/>
        </w:rPr>
        <w:t xml:space="preserve">・</w:t>
      </w:r>
      <w:r>
        <w:rPr>
          <w:rFonts w:ascii="游ゴシック" w:cs="游ゴシック" w:eastAsia="游ゴシック" w:hAnsi="游ゴシック"/>
          <w:sz w:val="21"/>
          <w:szCs w:val="21"/>
        </w:rPr>
        <w:t xml:space="preserve">時間の記録漏れがあると、その人の効率は実力以上に高く出ます。記録の正確さが、このしくみの前提です。</w:t>
      </w:r>
    </w:p>
    <w:p>
      <w:pPr>
        <w:spacing w:after="100" w:line="300"/>
        <w:ind w:left="340" w:hanging="200"/>
      </w:pPr>
      <w:r>
        <w:rPr>
          <w:rFonts w:ascii="游ゴシック" w:cs="游ゴシック" w:eastAsia="游ゴシック" w:hAnsi="游ゴシック"/>
          <w:sz w:val="21"/>
          <w:szCs w:val="21"/>
        </w:rPr>
        <w:t xml:space="preserve">・</w:t>
      </w:r>
      <w:r>
        <w:rPr>
          <w:rFonts w:ascii="游ゴシック" w:cs="游ゴシック" w:eastAsia="游ゴシック" w:hAnsi="游ゴシック"/>
          <w:sz w:val="21"/>
          <w:szCs w:val="21"/>
        </w:rPr>
        <w:t xml:space="preserve">企業数が空欄の場合は、段取りの補正なしで計算されます（従来と同じ扱いになります）。</w:t>
      </w:r>
    </w:p>
    <w:p>
      <w:pPr>
        <w:pStyle w:val="Heading1"/>
        <w:pBdr>
          <w:bottom w:val="single" w:color="17375E" w:sz="10" w:space="4"/>
        </w:pBdr>
        <w:spacing w:after="160" w:before="320"/>
      </w:pPr>
      <w:r>
        <w:rPr>
          <w:rFonts w:ascii="游ゴシック" w:cs="游ゴシック" w:eastAsia="游ゴシック" w:hAnsi="游ゴシック"/>
          <w:b/>
          <w:bCs/>
          <w:color w:val="17375E"/>
          <w:sz w:val="26"/>
          <w:szCs w:val="26"/>
        </w:rPr>
        <w:t xml:space="preserve">6. 誰が何を見るか</w:t>
      </w:r>
    </w:p>
    <w:p>
      <w:pPr>
        <w:spacing w:after="120" w:before="0" w:line="300"/>
      </w:pPr>
      <w:r>
        <w:rPr>
          <w:rFonts w:ascii="游ゴシック" w:cs="游ゴシック" w:eastAsia="游ゴシック" w:hAnsi="游ゴシック"/>
          <w:sz w:val="21"/>
          <w:szCs w:val="21"/>
        </w:rPr>
        <w:t xml:space="preserve">全員の氏名と順位が並んだ一覧は、係長が見ます。改善の支援をどこから始めるかを決めるための資料です。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8E7" w:val="clear"/>
            <w:tcMar>
              <w:top w:type="dxa" w:w="120"/>
              <w:left w:type="dxa" w:w="180"/>
              <w:bottom w:type="dxa" w:w="120"/>
              <w:right w:type="dxa" w:w="180"/>
            </w:tcMar>
          </w:tcPr>
          <w:p>
            <w:pPr>
              <w:spacing w:after="80" w:line="300"/>
              <w:jc w:val="center"/>
            </w:pPr>
            <w:r>
              <w:rPr>
                <w:rFonts w:ascii="游ゴシック" w:cs="游ゴシック" w:eastAsia="游ゴシック" w:hAnsi="游ゴシック"/>
                <w:b/>
                <w:bCs/>
                <w:sz w:val="22"/>
                <w:szCs w:val="22"/>
              </w:rPr>
              <w:t xml:space="preserve">順位1位は「最も成績が悪い人」ではありません。</w:t>
            </w:r>
          </w:p>
          <w:p>
            <w:pPr>
              <w:spacing w:after="0" w:line="300"/>
              <w:jc w:val="center"/>
            </w:pPr>
            <w:r>
              <w:rPr>
                <w:rFonts w:ascii="游ゴシック" w:cs="游ゴシック" w:eastAsia="游ゴシック" w:hAnsi="游ゴシック"/>
                <w:b/>
                <w:bCs/>
                <w:sz w:val="22"/>
                <w:szCs w:val="22"/>
              </w:rPr>
              <w:t xml:space="preserve">支援を最初に届ける人、という意味です。</w:t>
            </w:r>
          </w:p>
        </w:tc>
      </w:tr>
    </w:tbl>
    <w:p>
      <w:pPr>
        <w:pStyle w:val="Heading1"/>
        <w:pBdr>
          <w:bottom w:val="single" w:color="17375E" w:sz="10" w:space="4"/>
        </w:pBdr>
        <w:spacing w:after="160" w:before="320"/>
      </w:pPr>
      <w:r>
        <w:rPr>
          <w:rFonts w:ascii="游ゴシック" w:cs="游ゴシック" w:eastAsia="游ゴシック" w:hAnsi="游ゴシック"/>
          <w:b/>
          <w:bCs/>
          <w:color w:val="17375E"/>
          <w:sz w:val="26"/>
          <w:szCs w:val="26"/>
        </w:rPr>
        <w:t xml:space="preserve">7. 処遇との関係</w:t>
      </w:r>
    </w:p>
    <w:p>
      <w:pPr>
        <w:spacing w:after="120" w:before="0" w:line="300"/>
      </w:pPr>
      <w:r>
        <w:rPr>
          <w:rFonts w:ascii="游ゴシック" w:cs="游ゴシック" w:eastAsia="游ゴシック" w:hAnsi="游ゴシック"/>
          <w:sz w:val="21"/>
          <w:szCs w:val="21"/>
        </w:rPr>
        <w:t xml:space="preserve">現時点では、この数字は賞与・査定・時給・契約更新には使っていません。</w:t>
      </w:r>
    </w:p>
    <w:p>
      <w:pPr>
        <w:spacing w:after="120" w:before="0" w:line="300"/>
      </w:pPr>
      <w:r>
        <w:rPr>
          <w:rFonts w:ascii="游ゴシック" w:cs="游ゴシック" w:eastAsia="游ゴシック" w:hAnsi="游ゴシック"/>
          <w:b/>
          <w:bCs/>
          <w:sz w:val="21"/>
          <w:szCs w:val="21"/>
        </w:rPr>
        <w:t xml:space="preserve">ただし、将来的には処遇に連動させることを検討しています。隠さずにお伝えします。その場合も、少なくとも次の点は満たしたうえで行います。</w:t>
      </w:r>
    </w:p>
    <w:p>
      <w:pPr>
        <w:spacing w:after="100" w:line="300"/>
        <w:ind w:left="340" w:hanging="200"/>
      </w:pPr>
      <w:r>
        <w:rPr>
          <w:rFonts w:ascii="游ゴシック" w:cs="游ゴシック" w:eastAsia="游ゴシック" w:hAnsi="游ゴシック"/>
          <w:sz w:val="21"/>
          <w:szCs w:val="21"/>
        </w:rPr>
        <w:t xml:space="preserve">・</w:t>
      </w:r>
      <w:r>
        <w:rPr>
          <w:rFonts w:ascii="游ゴシック" w:cs="游ゴシック" w:eastAsia="游ゴシック" w:hAnsi="游ゴシック"/>
          <w:sz w:val="21"/>
          <w:szCs w:val="21"/>
        </w:rPr>
        <w:t xml:space="preserve">1か月の数字だけで判断せず、数か月をならして見ること（ピッキングの再現性は 0.61 です）</w:t>
      </w:r>
    </w:p>
    <w:p>
      <w:pPr>
        <w:spacing w:after="100" w:line="300"/>
        <w:ind w:left="340" w:hanging="200"/>
      </w:pPr>
      <w:r>
        <w:rPr>
          <w:rFonts w:ascii="游ゴシック" w:cs="游ゴシック" w:eastAsia="游ゴシック" w:hAnsi="游ゴシック"/>
          <w:sz w:val="21"/>
          <w:szCs w:val="21"/>
        </w:rPr>
        <w:t xml:space="preserve">・</w:t>
      </w:r>
      <w:r>
        <w:rPr>
          <w:rFonts w:ascii="游ゴシック" w:cs="游ゴシック" w:eastAsia="游ゴシック" w:hAnsi="游ゴシック"/>
          <w:sz w:val="21"/>
          <w:szCs w:val="21"/>
        </w:rPr>
        <w:t xml:space="preserve">「差があるとは言えない」と判定された範囲を、差として扱わないこと</w:t>
      </w:r>
    </w:p>
    <w:p>
      <w:pPr>
        <w:spacing w:after="100" w:line="300"/>
        <w:ind w:left="340" w:hanging="200"/>
      </w:pPr>
      <w:r>
        <w:rPr>
          <w:rFonts w:ascii="游ゴシック" w:cs="游ゴシック" w:eastAsia="游ゴシック" w:hAnsi="游ゴシック"/>
          <w:sz w:val="21"/>
          <w:szCs w:val="21"/>
        </w:rPr>
        <w:t xml:space="preserve">・</w:t>
      </w:r>
      <w:r>
        <w:rPr>
          <w:rFonts w:ascii="游ゴシック" w:cs="游ゴシック" w:eastAsia="游ゴシック" w:hAnsi="游ゴシック"/>
          <w:sz w:val="21"/>
          <w:szCs w:val="21"/>
        </w:rPr>
        <w:t xml:space="preserve">時間の記録の正確さが担保されていること</w:t>
      </w:r>
    </w:p>
    <w:p>
      <w:pPr>
        <w:spacing w:after="100" w:line="300"/>
        <w:ind w:left="340" w:hanging="200"/>
      </w:pPr>
      <w:r>
        <w:rPr>
          <w:rFonts w:ascii="游ゴシック" w:cs="游ゴシック" w:eastAsia="游ゴシック" w:hAnsi="游ゴシック"/>
          <w:sz w:val="21"/>
          <w:szCs w:val="21"/>
        </w:rPr>
        <w:t xml:space="preserve">・</w:t>
      </w:r>
      <w:r>
        <w:rPr>
          <w:rFonts w:ascii="游ゴシック" w:cs="游ゴシック" w:eastAsia="游ゴシック" w:hAnsi="游ゴシック"/>
          <w:sz w:val="21"/>
          <w:szCs w:val="21"/>
        </w:rPr>
        <w:t xml:space="preserve">連動させる時期と方法を、事前に皆さんにお知らせすること</w:t>
      </w:r>
    </w:p>
    <w:p>
      <w:pPr>
        <w:pStyle w:val="Heading1"/>
        <w:pBdr>
          <w:bottom w:val="single" w:color="17375E" w:sz="10" w:space="4"/>
        </w:pBdr>
        <w:spacing w:after="160" w:before="320"/>
      </w:pPr>
      <w:r>
        <w:rPr>
          <w:rFonts w:ascii="游ゴシック" w:cs="游ゴシック" w:eastAsia="游ゴシック" w:hAnsi="游ゴシック"/>
          <w:b/>
          <w:bCs/>
          <w:color w:val="17375E"/>
          <w:sz w:val="26"/>
          <w:szCs w:val="26"/>
        </w:rPr>
        <w:t xml:space="preserve">おわりに</w:t>
      </w:r>
    </w:p>
    <w:p>
      <w:pPr>
        <w:spacing w:after="120" w:before="0" w:line="300"/>
      </w:pPr>
      <w:r>
        <w:rPr>
          <w:rFonts w:ascii="游ゴシック" w:cs="游ゴシック" w:eastAsia="游ゴシック" w:hAnsi="游ゴシック"/>
          <w:sz w:val="21"/>
          <w:szCs w:val="21"/>
        </w:rPr>
        <w:t xml:space="preserve">計算に使っている係数（1社あたり92.1秒など）は、実測値が取れ次第あらためて差し替えていきます。数字の出方に疑問があれば、【　問い合わせ先　】までお知らせください。</w:t>
      </w:r>
    </w:p>
    <w:p>
      <w:pPr>
        <w:spacing w:after="120" w:before="0" w:line="300"/>
      </w:pPr>
      <w:r>
        <w:rPr>
          <w:rFonts w:ascii="游ゴシック" w:cs="游ゴシック" w:eastAsia="游ゴシック" w:hAnsi="游ゴシック"/>
          <w:b/>
          <w:bCs/>
          <w:sz w:val="21"/>
          <w:szCs w:val="21"/>
        </w:rPr>
        <w:t xml:space="preserve">このしくみは、皆さんを順位づけするためではなく、担当した仕事の中身によって評価が変わってしまう状態をなくすために導入しました。</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2026-08-19T00:52:28.207Z</dcterms:created>
  <dcterms:modified xsi:type="dcterms:W3CDTF">2026-08-19T00:52:28.207Z</dcterms:modified>
</cp:coreProperties>
</file>

<file path=docProps/custom.xml><?xml version="1.0" encoding="utf-8"?>
<Properties xmlns="http://schemas.openxmlformats.org/officeDocument/2006/custom-properties" xmlns:vt="http://schemas.openxmlformats.org/officeDocument/2006/docPropsVTypes"/>
</file>