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Calibri" w:hAnsi="Calibri"/>
          <w:b/>
          <w:color w:val="003B5C"/>
          <w:sz w:val="72"/>
        </w:rPr>
        <w:t>FISERV DIGITAL PAY</w:t>
      </w:r>
    </w:p>
    <w:p>
      <w:pPr>
        <w:spacing w:after="120"/>
        <w:jc w:val="center"/>
      </w:pPr>
      <w:r>
        <w:rPr>
          <w:rFonts w:ascii="Calibri" w:hAnsi="Calibri"/>
          <w:color w:val="FF6600"/>
          <w:sz w:val="44"/>
        </w:rPr>
        <w:t>Expert Panel Evaluations</w:t>
      </w:r>
    </w:p>
    <w:p>
      <w:pPr>
        <w:spacing w:after="120"/>
        <w:jc w:val="center"/>
      </w:pPr>
      <w:r>
        <w:rPr>
          <w:rFonts w:ascii="Calibri" w:hAnsi="Calibri"/>
          <w:color w:val="666666"/>
          <w:sz w:val="32"/>
        </w:rPr>
        <w:t>Business Strategy Panel + Technical Specification Panel</w:t>
      </w:r>
    </w:p>
    <w:p/>
    <w:p/>
    <w:p/>
    <w:p>
      <w:pPr>
        <w:spacing w:after="120"/>
        <w:jc w:val="center"/>
      </w:pPr>
      <w:r>
        <w:rPr>
          <w:rFonts w:ascii="Calibri" w:hAnsi="Calibri"/>
          <w:color w:val="003B5C"/>
          <w:sz w:val="22"/>
        </w:rPr>
        <w:t>Business Panel: Christensen, Porter, Drucker, Godin, Kim &amp; Mauborgne, Collins, Taleb, Meadows, Doumont</w:t>
      </w:r>
    </w:p>
    <w:p>
      <w:pPr>
        <w:spacing w:after="120"/>
        <w:jc w:val="center"/>
      </w:pPr>
      <w:r>
        <w:rPr>
          <w:rFonts w:ascii="Calibri" w:hAnsi="Calibri"/>
          <w:color w:val="003B5C"/>
          <w:sz w:val="22"/>
        </w:rPr>
        <w:t>Spec Panel: Fowler, Nygard, Newman, Wiegers, Adzic, Crispin, Hightower, Hohpe</w:t>
      </w:r>
    </w:p>
    <w:p/>
    <w:p>
      <w:pPr>
        <w:spacing w:after="120"/>
        <w:jc w:val="center"/>
      </w:pPr>
      <w:r>
        <w:rPr>
          <w:rFonts w:ascii="Calibri" w:hAnsi="Calibri"/>
          <w:color w:val="666666"/>
          <w:sz w:val="24"/>
        </w:rPr>
        <w:t>May 2026  |  CONFIDENTIAL</w:t>
      </w:r>
    </w:p>
    <w:p>
      <w:r>
        <w:br w:type="page"/>
      </w:r>
    </w:p>
    <w:p>
      <w:pPr>
        <w:pStyle w:val="Heading1"/>
      </w:pPr>
      <w:r>
        <w:t>Table of Contents</w:t>
      </w:r>
    </w:p>
    <w:p>
      <w:r>
        <w:rPr>
          <w:rFonts w:ascii="Calibri" w:hAnsi="Calibri"/>
          <w:b/>
          <w:color w:val="003B5C"/>
          <w:sz w:val="22"/>
        </w:rPr>
        <w:t>Section 1: Business Panel Analysis</w:t>
      </w:r>
    </w:p>
    <w:p>
      <w:r>
        <w:rPr>
          <w:rFonts w:ascii="Calibri" w:hAnsi="Calibri"/>
          <w:sz w:val="22"/>
        </w:rPr>
        <w:t xml:space="preserve">    Idea 1: Merchant Yield Sweep</w:t>
      </w:r>
    </w:p>
    <w:p>
      <w:r>
        <w:rPr>
          <w:rFonts w:ascii="Calibri" w:hAnsi="Calibri"/>
          <w:sz w:val="22"/>
        </w:rPr>
        <w:t xml:space="preserve">    Idea 2: Pay-by-Agent x402 Commerce</w:t>
      </w:r>
    </w:p>
    <w:p>
      <w:r>
        <w:rPr>
          <w:rFonts w:ascii="Calibri" w:hAnsi="Calibri"/>
          <w:sz w:val="22"/>
        </w:rPr>
        <w:t xml:space="preserve">    Idea 3: Instant Supplier Pay</w:t>
      </w:r>
    </w:p>
    <w:p>
      <w:r>
        <w:rPr>
          <w:rFonts w:ascii="Calibri" w:hAnsi="Calibri"/>
          <w:sz w:val="22"/>
        </w:rPr>
        <w:t xml:space="preserve">    Idea 4: Cross-Border Instant Settlement</w:t>
      </w:r>
    </w:p>
    <w:p>
      <w:r>
        <w:rPr>
          <w:rFonts w:ascii="Calibri" w:hAnsi="Calibri"/>
          <w:sz w:val="22"/>
        </w:rPr>
        <w:t xml:space="preserve">    Overall Business Panel Ranking</w:t>
      </w:r>
    </w:p>
    <w:p>
      <w:r>
        <w:rPr>
          <w:rFonts w:ascii="Calibri" w:hAnsi="Calibri"/>
          <w:sz w:val="22"/>
        </w:rPr>
        <w:t xml:space="preserve">    Panel Consensus Recommendations</w:t>
      </w:r>
    </w:p>
    <w:p>
      <w:r>
        <w:rPr>
          <w:rFonts w:ascii="Calibri" w:hAnsi="Calibri"/>
          <w:b/>
          <w:color w:val="003B5C"/>
          <w:sz w:val="22"/>
        </w:rPr>
        <w:t>Section 2: Technical Specification Panel Review</w:t>
      </w:r>
    </w:p>
    <w:p>
      <w:r>
        <w:rPr>
          <w:rFonts w:ascii="Calibri" w:hAnsi="Calibri"/>
          <w:sz w:val="22"/>
        </w:rPr>
        <w:t xml:space="preserve">    Prototype 1: Merchant Yield Sweep</w:t>
      </w:r>
    </w:p>
    <w:p>
      <w:r>
        <w:rPr>
          <w:rFonts w:ascii="Calibri" w:hAnsi="Calibri"/>
          <w:sz w:val="22"/>
        </w:rPr>
        <w:t xml:space="preserve">    Prototype 2: Pay-by-Agent x402 Commerce</w:t>
      </w:r>
    </w:p>
    <w:p>
      <w:r>
        <w:rPr>
          <w:rFonts w:ascii="Calibri" w:hAnsi="Calibri"/>
          <w:sz w:val="22"/>
        </w:rPr>
        <w:t xml:space="preserve">    Prototype 3: Instant Supplier Pay</w:t>
      </w:r>
    </w:p>
    <w:p>
      <w:r>
        <w:rPr>
          <w:rFonts w:ascii="Calibri" w:hAnsi="Calibri"/>
          <w:sz w:val="22"/>
        </w:rPr>
        <w:t xml:space="preserve">    Prototype 4: Cross-Border Instant Settlement</w:t>
      </w:r>
    </w:p>
    <w:p>
      <w:r>
        <w:rPr>
          <w:rFonts w:ascii="Calibri" w:hAnsi="Calibri"/>
          <w:sz w:val="22"/>
        </w:rPr>
        <w:t xml:space="preserve">    Cross-Cutting Technical Recommendations</w:t>
      </w:r>
    </w:p>
    <w:p>
      <w:r>
        <w:rPr>
          <w:rFonts w:ascii="Calibri" w:hAnsi="Calibri"/>
          <w:sz w:val="22"/>
        </w:rPr>
        <w:t xml:space="preserve">    Shared Infrastructure Design</w:t>
      </w:r>
    </w:p>
    <w:p>
      <w:r>
        <w:rPr>
          <w:rFonts w:ascii="Calibri" w:hAnsi="Calibri"/>
          <w:sz w:val="22"/>
        </w:rPr>
        <w:t xml:space="preserve">    Investor Day Technical Setup</w:t>
      </w:r>
    </w:p>
    <w:p>
      <w:r>
        <w:rPr>
          <w:rFonts w:ascii="Calibri" w:hAnsi="Calibri"/>
          <w:b/>
          <w:color w:val="003B5C"/>
          <w:sz w:val="22"/>
        </w:rPr>
        <w:t>Section 3: Consolidated Action Items</w:t>
      </w:r>
    </w:p>
    <w:p>
      <w:r>
        <w:br w:type="page"/>
      </w:r>
    </w:p>
    <w:p>
      <w:pPr>
        <w:pStyle w:val="Heading1"/>
      </w:pPr>
      <w:r>
        <w:t>Section 1: Business Panel Analysis</w:t>
      </w:r>
    </w:p>
    <w:p>
      <w:pPr>
        <w:spacing w:after="120"/>
      </w:pPr>
      <w:r>
        <w:rPr>
          <w:rFonts w:ascii="Calibri" w:hAnsi="Calibri"/>
          <w:b/>
          <w:color w:val="FF6600"/>
        </w:rPr>
        <w:t>Mode: DEBATE  |  All 9 experts convened</w:t>
      </w:r>
    </w:p>
    <w:p>
      <w:pPr>
        <w:spacing w:after="120"/>
      </w:pPr>
      <w:r>
        <w:rPr>
          <w:rFonts w:ascii="Calibri" w:hAnsi="Calibri"/>
        </w:rPr>
        <w:t>Experts: Clayton Christensen (Disruption), Michael Porter (Competitive Strategy), Peter Drucker (Management), Seth Godin (Marketing), W. Chan Kim &amp; Renee Mauborgne (Blue Ocean), Jim Collins (Excellence), Nassim Taleb (Risk), Donella Meadows (Systems Thinking), Jean-luc Doumont (Communication)</w:t>
      </w:r>
    </w:p>
    <w:p>
      <w:r>
        <w:br w:type="page"/>
      </w:r>
    </w:p>
    <w:p>
      <w:pPr>
        <w:pStyle w:val="Heading2"/>
      </w:pPr>
      <w:r>
        <w:t>Idea 1: Merchant Yield Sweep</w:t>
      </w:r>
    </w:p>
    <w:p>
      <w:pPr>
        <w:pStyle w:val="Heading3"/>
      </w:pPr>
      <w:r>
        <w:t>Expert Analysis</w:t>
      </w:r>
    </w:p>
    <w:p>
      <w:pPr>
        <w:spacing w:after="40"/>
      </w:pPr>
      <w:r>
        <w:rPr>
          <w:rFonts w:ascii="Calibri" w:hAnsi="Calibri"/>
          <w:b/>
          <w:color w:val="003B5C"/>
          <w:sz w:val="22"/>
        </w:rPr>
        <w:t>Clayton Christensen</w:t>
      </w:r>
      <w:r>
        <w:rPr>
          <w:rFonts w:ascii="Calibri" w:hAnsi="Calibri"/>
          <w:color w:val="666666"/>
          <w:sz w:val="22"/>
        </w:rPr>
        <w:t xml:space="preserve"> (Disruption Theory):</w:t>
      </w:r>
    </w:p>
    <w:p>
      <w:pPr>
        <w:spacing w:after="200"/>
      </w:pPr>
      <w:r>
        <w:rPr>
          <w:rFonts w:ascii="Calibri" w:hAnsi="Calibri"/>
          <w:sz w:val="20"/>
        </w:rPr>
        <w:t>This is a textbook low-end disruption aimed at non-consumption. The job-to-be-done is clear: merchants are not hiring a "yield product" -- they are hiring something to make their idle money stop being idle. Today, 99% of SMB merchants consume ZERO treasury management services because existing solutions are priced for enterprises with $10M+ in liquid assets. The Clover merchant with $30K in settlement balances is a non-consumer of treasury services. This idea attacks non-consumption with a product that is simpler (one toggle), cheaper (zero setup), and more convenient (embedded in Clover). However, the yield SOURCE must be bulletproof -- if it comes from DeFi lending with smart contract risk, that is inappropriate for merchant operating capital at a regulated financial institution.</w:t>
      </w:r>
    </w:p>
    <w:p>
      <w:pPr>
        <w:spacing w:after="40"/>
      </w:pPr>
      <w:r>
        <w:rPr>
          <w:rFonts w:ascii="Calibri" w:hAnsi="Calibri"/>
          <w:b/>
          <w:color w:val="003B5C"/>
          <w:sz w:val="22"/>
        </w:rPr>
        <w:t>Michael Porter</w:t>
      </w:r>
      <w:r>
        <w:rPr>
          <w:rFonts w:ascii="Calibri" w:hAnsi="Calibri"/>
          <w:color w:val="666666"/>
          <w:sz w:val="22"/>
        </w:rPr>
        <w:t xml:space="preserve"> (Five Forces):</w:t>
      </w:r>
    </w:p>
    <w:p>
      <w:pPr>
        <w:spacing w:after="200"/>
      </w:pPr>
      <w:r>
        <w:rPr>
          <w:rFonts w:ascii="Calibri" w:hAnsi="Calibri"/>
          <w:sz w:val="20"/>
        </w:rPr>
        <w:t>Supplier power: LOW (Fiserv controls entire value chain). Buyer power: LOW (merchants are fragmented, inertia of embedded defaults works for Fiserv). Substitutes: MEDIUM (bank sweep accounts exist but target enterprises). New entrants: LOW-MEDIUM (requires banking core + stablecoin + settlement + POS). Rivalry: LOW today. The competitive moat is genuinely strong -- no competitor can replicate the closed loop: Clover (data) + Finxact (ledger) + INDX (liquidity). Stripe cannot do this. Revenue potential: 6M merchants x $25K avg idle = $150B aggregate. At 4% yield with 50bps Fiserv take = $750M/year at full penetration. 5-10% adoption year 1-2 = $37-75M.</w:t>
      </w:r>
    </w:p>
    <w:p>
      <w:pPr>
        <w:spacing w:after="40"/>
      </w:pPr>
      <w:r>
        <w:rPr>
          <w:rFonts w:ascii="Calibri" w:hAnsi="Calibri"/>
          <w:b/>
          <w:color w:val="003B5C"/>
          <w:sz w:val="22"/>
        </w:rPr>
        <w:t>Peter Drucker</w:t>
      </w:r>
      <w:r>
        <w:rPr>
          <w:rFonts w:ascii="Calibri" w:hAnsi="Calibri"/>
          <w:color w:val="666666"/>
          <w:sz w:val="22"/>
        </w:rPr>
        <w:t xml:space="preserve"> (Management Philosophy):</w:t>
      </w:r>
    </w:p>
    <w:p>
      <w:pPr>
        <w:spacing w:after="200"/>
      </w:pPr>
      <w:r>
        <w:rPr>
          <w:rFonts w:ascii="Calibri" w:hAnsi="Calibri"/>
          <w:sz w:val="20"/>
        </w:rPr>
        <w:t>The positioning must be relentlessly simple. Do not call this "yield sweep" or "treasury agent." Call it "Fiserv SmartCash" or "Money That Works" -- something a restaurant owner with 10 minutes of attention span understands. Deeper concern: this sits at the intersection of four BUs (Clover, CommerceHub, Finxact, digital assets). Who owns the P&amp;L? Who is accountable when the AI sweeps too aggressively and a merchant can't make payroll? Appoint a SINGLE product owner with cross-BU authority.</w:t>
      </w:r>
    </w:p>
    <w:p>
      <w:pPr>
        <w:spacing w:after="40"/>
      </w:pPr>
      <w:r>
        <w:rPr>
          <w:rFonts w:ascii="Calibri" w:hAnsi="Calibri"/>
          <w:b/>
          <w:color w:val="003B5C"/>
          <w:sz w:val="22"/>
        </w:rPr>
        <w:t>Nassim Taleb</w:t>
      </w:r>
      <w:r>
        <w:rPr>
          <w:rFonts w:ascii="Calibri" w:hAnsi="Calibri"/>
          <w:color w:val="666666"/>
          <w:sz w:val="22"/>
        </w:rPr>
        <w:t xml:space="preserve"> (Risk Management):</w:t>
      </w:r>
    </w:p>
    <w:p>
      <w:pPr>
        <w:spacing w:after="200"/>
      </w:pPr>
      <w:r>
        <w:rPr>
          <w:rFonts w:ascii="Calibri" w:hAnsi="Calibri"/>
          <w:sz w:val="20"/>
        </w:rPr>
        <w:t>The convexity profile is favorable but has hidden fragility. Upside: smooth and linear (more merchants, more yield). Downside: catastrophic and non-linear -- if ANY merchant has a liquidity shortfall because the AI swept too aggressively, the lawsuit and press coverage would damage Fiserv's banking relationships far more than the yield revenue is worth. NON-NEGOTIABLE safeguards: (1) Hard floor: never sweep below highest historical daily obligation + 20% buffer. (2) Real-time override: instant 100% unsweep, 24/7/365. (3) Insurance: Fiserv backstops any liquidity shortfall caused by the algorithm. (4) Gradual ramp: start with 5% of idle for first 30 days. WITHOUT these, I would vote to KILL this idea.</w:t>
      </w:r>
    </w:p>
    <w:p>
      <w:pPr>
        <w:spacing w:after="40"/>
      </w:pPr>
      <w:r>
        <w:rPr>
          <w:rFonts w:ascii="Calibri" w:hAnsi="Calibri"/>
          <w:b/>
          <w:color w:val="003B5C"/>
          <w:sz w:val="22"/>
        </w:rPr>
        <w:t>Seth Godin</w:t>
      </w:r>
      <w:r>
        <w:rPr>
          <w:rFonts w:ascii="Calibri" w:hAnsi="Calibri"/>
          <w:color w:val="666666"/>
          <w:sz w:val="22"/>
        </w:rPr>
        <w:t xml:space="preserve"> (Marketing):</w:t>
      </w:r>
    </w:p>
    <w:p>
      <w:pPr>
        <w:spacing w:after="200"/>
      </w:pPr>
      <w:r>
        <w:rPr>
          <w:rFonts w:ascii="Calibri" w:hAnsi="Calibri"/>
          <w:sz w:val="20"/>
        </w:rPr>
        <w:t>The story is extraordinary: "We don't just process your payments. We grow your money." The dashboard widget showing "$847 earned this month" is the single most viral feature Fiserv could build -- every merchant will show it to other merchants. But rename it from "Merchant Yield Sweep" to something a restaurant owner would say out loud.</w:t>
      </w:r>
    </w:p>
    <w:p>
      <w:pPr>
        <w:spacing w:after="40"/>
      </w:pPr>
      <w:r>
        <w:rPr>
          <w:rFonts w:ascii="Calibri" w:hAnsi="Calibri"/>
          <w:b/>
          <w:color w:val="003B5C"/>
          <w:sz w:val="22"/>
        </w:rPr>
        <w:t>Kim &amp; Mauborgne</w:t>
      </w:r>
      <w:r>
        <w:rPr>
          <w:rFonts w:ascii="Calibri" w:hAnsi="Calibri"/>
          <w:color w:val="666666"/>
          <w:sz w:val="22"/>
        </w:rPr>
        <w:t xml:space="preserve"> (Blue Ocean Strategy):</w:t>
      </w:r>
    </w:p>
    <w:p>
      <w:pPr>
        <w:spacing w:after="200"/>
      </w:pPr>
      <w:r>
        <w:rPr>
          <w:rFonts w:ascii="Calibri" w:hAnsi="Calibri"/>
          <w:sz w:val="20"/>
        </w:rPr>
        <w:t>This creates genuine blue ocean. The strategy canvas for SMB treasury services has ZERO competitors addressing merchants with &lt;$100K. ELIMINATE complexity (one toggle). REDUCE risk (hard floor + instant unsweep). RAISE convenience (embedded, zero effort). CREATE new value (merchants earning yield -- does not exist today).</w:t>
      </w:r>
    </w:p>
    <w:p>
      <w:pPr>
        <w:spacing w:after="40"/>
      </w:pPr>
      <w:r>
        <w:rPr>
          <w:rFonts w:ascii="Calibri" w:hAnsi="Calibri"/>
          <w:b/>
          <w:color w:val="003B5C"/>
          <w:sz w:val="22"/>
        </w:rPr>
        <w:t>Jim Collins</w:t>
      </w:r>
      <w:r>
        <w:rPr>
          <w:rFonts w:ascii="Calibri" w:hAnsi="Calibri"/>
          <w:color w:val="666666"/>
          <w:sz w:val="22"/>
        </w:rPr>
        <w:t xml:space="preserve"> (Good to Great):</w:t>
      </w:r>
    </w:p>
    <w:p>
      <w:pPr>
        <w:spacing w:after="200"/>
      </w:pPr>
      <w:r>
        <w:rPr>
          <w:rFonts w:ascii="Calibri" w:hAnsi="Calibri"/>
          <w:sz w:val="20"/>
        </w:rPr>
        <w:t>Hedgehog Concept alignment is perfect. What can Fiserv be best at? Earning yield on merchant idle cash -- no one else has Clover data + Finxact ledger + INDX liquidity. The flywheel compounds: each merchant adds to the aggregate yield pool, enabling better rates, attracting more merchants.</w:t>
      </w:r>
    </w:p>
    <w:p>
      <w:pPr>
        <w:spacing w:after="40"/>
      </w:pPr>
      <w:r>
        <w:rPr>
          <w:rFonts w:ascii="Calibri" w:hAnsi="Calibri"/>
          <w:b/>
          <w:color w:val="003B5C"/>
          <w:sz w:val="22"/>
        </w:rPr>
        <w:t>Donella Meadows</w:t>
      </w:r>
      <w:r>
        <w:rPr>
          <w:rFonts w:ascii="Calibri" w:hAnsi="Calibri"/>
          <w:color w:val="666666"/>
          <w:sz w:val="22"/>
        </w:rPr>
        <w:t xml:space="preserve"> (Systems Thinking):</w:t>
      </w:r>
    </w:p>
    <w:p>
      <w:pPr>
        <w:spacing w:after="200"/>
      </w:pPr>
      <w:r>
        <w:rPr>
          <w:rFonts w:ascii="Calibri" w:hAnsi="Calibri"/>
          <w:sz w:val="20"/>
        </w:rPr>
        <w:t>Highest-leverage intervention: INFORMATION FLOW. The dashboard makes the invisible visible -- merchants see what their idle cash is costing them (opportunity cost). The reinforcing feedback loop: merchants earn, tell other merchants, more adopt, aggregate pool grows, better rates, more earning. Virtuous cycle with network effects.</w:t>
      </w:r>
    </w:p>
    <w:p>
      <w:pPr>
        <w:pStyle w:val="Heading3"/>
      </w:pPr>
      <w:r>
        <w:t>Synthesis</w:t>
      </w:r>
    </w:p>
    <w:tbl>
      <w:tblPr>
        <w:tblStyle w:val="TableGrid"/>
        <w:tblW w:type="auto" w:w="0"/>
        <w:jc w:val="left"/>
        <w:tblLook w:firstColumn="1" w:firstRow="1" w:lastColumn="0" w:lastRow="0" w:noHBand="0" w:noVBand="1" w:val="04A0"/>
      </w:tblPr>
      <w:tblGrid>
        <w:gridCol w:w="4320"/>
        <w:gridCol w:w="4320"/>
      </w:tblGrid>
      <w:tr>
        <w:tc>
          <w:tcPr>
            <w:tcW w:type="dxa" w:w="2160"/>
            <w:shd w:fill="003B5C"/>
          </w:tcPr>
          <w:p>
            <w:r>
              <w:rPr>
                <w:rFonts w:ascii="Calibri" w:hAnsi="Calibri"/>
                <w:b/>
                <w:color w:val="FFFFFF"/>
                <w:sz w:val="18"/>
              </w:rPr>
              <w:t>Dimension</w:t>
            </w:r>
          </w:p>
        </w:tc>
        <w:tc>
          <w:tcPr>
            <w:tcW w:type="dxa" w:w="7200"/>
            <w:shd w:fill="003B5C"/>
          </w:tcPr>
          <w:p>
            <w:r>
              <w:rPr>
                <w:rFonts w:ascii="Calibri" w:hAnsi="Calibri"/>
                <w:b/>
                <w:color w:val="FFFFFF"/>
                <w:sz w:val="18"/>
              </w:rPr>
              <w:t>Assessment</w:t>
            </w:r>
          </w:p>
        </w:tc>
      </w:tr>
      <w:tr>
        <w:tc>
          <w:tcPr>
            <w:tcW w:type="dxa" w:w="2160"/>
          </w:tcPr>
          <w:p>
            <w:r>
              <w:rPr>
                <w:rFonts w:ascii="Calibri" w:hAnsi="Calibri"/>
                <w:sz w:val="18"/>
              </w:rPr>
              <w:t>Strengths</w:t>
            </w:r>
          </w:p>
        </w:tc>
        <w:tc>
          <w:tcPr>
            <w:tcW w:type="dxa" w:w="7200"/>
          </w:tcPr>
          <w:p>
            <w:r>
              <w:rPr>
                <w:rFonts w:ascii="Calibri" w:hAnsi="Calibri"/>
                <w:sz w:val="18"/>
              </w:rPr>
              <w:t>Attacks non-consumption, embedded distribution (6M merchants), changes Fiserv from cost to value center, strong moat (closed-loop stack), viral dashboard, clear revenue model</w:t>
            </w:r>
          </w:p>
        </w:tc>
      </w:tr>
      <w:tr>
        <w:tc>
          <w:tcPr>
            <w:tcW w:type="dxa" w:w="2160"/>
            <w:shd w:fill="F2F2F2"/>
          </w:tcPr>
          <w:p>
            <w:r>
              <w:rPr>
                <w:rFonts w:ascii="Calibri" w:hAnsi="Calibri"/>
                <w:sz w:val="18"/>
              </w:rPr>
              <w:t>Weaknesses</w:t>
            </w:r>
          </w:p>
        </w:tc>
        <w:tc>
          <w:tcPr>
            <w:tcW w:type="dxa" w:w="7200"/>
            <w:shd w:fill="F2F2F2"/>
          </w:tcPr>
          <w:p>
            <w:r>
              <w:rPr>
                <w:rFonts w:ascii="Calibri" w:hAnsi="Calibri"/>
                <w:sz w:val="18"/>
              </w:rPr>
              <w:t>Yield source must be transparent and insured, AI prediction liability risk, cross-BU organizational complexity, regulatory scrutiny</w:t>
            </w:r>
          </w:p>
        </w:tc>
      </w:tr>
      <w:tr>
        <w:tc>
          <w:tcPr>
            <w:tcW w:type="dxa" w:w="2160"/>
          </w:tcPr>
          <w:p>
            <w:r>
              <w:rPr>
                <w:rFonts w:ascii="Calibri" w:hAnsi="Calibri"/>
                <w:sz w:val="18"/>
              </w:rPr>
              <w:t>Revenue Potential</w:t>
            </w:r>
          </w:p>
        </w:tc>
        <w:tc>
          <w:tcPr>
            <w:tcW w:type="dxa" w:w="7200"/>
          </w:tcPr>
          <w:p>
            <w:r>
              <w:rPr>
                <w:rFonts w:ascii="Calibri" w:hAnsi="Calibri"/>
                <w:sz w:val="18"/>
              </w:rPr>
              <w:t>$37-75M year 1-2 at 5-10% adoption; $750M at full penetration</w:t>
            </w:r>
          </w:p>
        </w:tc>
      </w:tr>
      <w:tr>
        <w:tc>
          <w:tcPr>
            <w:tcW w:type="dxa" w:w="2160"/>
            <w:shd w:fill="F2F2F2"/>
          </w:tcPr>
          <w:p>
            <w:r>
              <w:rPr>
                <w:rFonts w:ascii="Calibri" w:hAnsi="Calibri"/>
                <w:sz w:val="18"/>
              </w:rPr>
              <w:t>Competitive Moat</w:t>
            </w:r>
          </w:p>
        </w:tc>
        <w:tc>
          <w:tcPr>
            <w:tcW w:type="dxa" w:w="7200"/>
            <w:shd w:fill="F2F2F2"/>
          </w:tcPr>
          <w:p>
            <w:r>
              <w:rPr>
                <w:rFonts w:ascii="Calibri" w:hAnsi="Calibri"/>
                <w:sz w:val="18"/>
              </w:rPr>
              <w:t>VERY STRONG -- requires banking core + stablecoin + settlement + POS data</w:t>
            </w:r>
          </w:p>
        </w:tc>
      </w:tr>
      <w:tr>
        <w:tc>
          <w:tcPr>
            <w:tcW w:type="dxa" w:w="2160"/>
          </w:tcPr>
          <w:p>
            <w:r>
              <w:rPr>
                <w:rFonts w:ascii="Calibri" w:hAnsi="Calibri"/>
                <w:sz w:val="18"/>
              </w:rPr>
              <w:t>Go-to-Market Risk</w:t>
            </w:r>
          </w:p>
        </w:tc>
        <w:tc>
          <w:tcPr>
            <w:tcW w:type="dxa" w:w="7200"/>
          </w:tcPr>
          <w:p>
            <w:r>
              <w:rPr>
                <w:rFonts w:ascii="Calibri" w:hAnsi="Calibri"/>
                <w:sz w:val="18"/>
              </w:rPr>
              <w:t>LOW (distribution), MEDIUM (regulatory), HIGH (AI prediction liability)</w:t>
            </w:r>
          </w:p>
        </w:tc>
      </w:tr>
      <w:tr>
        <w:tc>
          <w:tcPr>
            <w:tcW w:type="dxa" w:w="2160"/>
            <w:shd w:fill="F2F2F2"/>
          </w:tcPr>
          <w:p>
            <w:r>
              <w:rPr>
                <w:rFonts w:ascii="Calibri" w:hAnsi="Calibri"/>
                <w:sz w:val="18"/>
              </w:rPr>
              <w:t>Investor Day Impact</w:t>
            </w:r>
          </w:p>
        </w:tc>
        <w:tc>
          <w:tcPr>
            <w:tcW w:type="dxa" w:w="7200"/>
            <w:shd w:fill="F2F2F2"/>
          </w:tcPr>
          <w:p>
            <w:r>
              <w:rPr>
                <w:rFonts w:ascii="Calibri" w:hAnsi="Calibri"/>
                <w:sz w:val="18"/>
              </w:rPr>
              <w:t>9/10 -- the $847 dashboard widget is the most demo-able visual</w:t>
            </w:r>
          </w:p>
        </w:tc>
      </w:tr>
      <w:tr>
        <w:tc>
          <w:tcPr>
            <w:tcW w:type="dxa" w:w="2160"/>
          </w:tcPr>
          <w:p>
            <w:r>
              <w:rPr>
                <w:rFonts w:ascii="Calibri" w:hAnsi="Calibri"/>
                <w:sz w:val="18"/>
              </w:rPr>
              <w:t>Critical Changes</w:t>
            </w:r>
          </w:p>
        </w:tc>
        <w:tc>
          <w:tcPr>
            <w:tcW w:type="dxa" w:w="7200"/>
          </w:tcPr>
          <w:p>
            <w:r>
              <w:rPr>
                <w:rFonts w:ascii="Calibri" w:hAnsi="Calibri"/>
                <w:sz w:val="18"/>
              </w:rPr>
              <w:t>Implement Taleb's 4 safeguards. Rename to "SmartCash." Clarify yield source. Single P&amp;L owner.</w:t>
            </w:r>
          </w:p>
        </w:tc>
      </w:tr>
    </w:tbl>
    <w:p>
      <w:r>
        <w:br w:type="page"/>
      </w:r>
    </w:p>
    <w:p>
      <w:pPr>
        <w:pStyle w:val="Heading2"/>
      </w:pPr>
      <w:r>
        <w:t>Idea 2: Pay-by-Agent x402 Commerce</w:t>
      </w:r>
    </w:p>
    <w:p>
      <w:pPr>
        <w:pStyle w:val="Heading3"/>
      </w:pPr>
      <w:r>
        <w:t>Expert Analysis</w:t>
      </w:r>
    </w:p>
    <w:p>
      <w:pPr>
        <w:spacing w:after="40"/>
      </w:pPr>
      <w:r>
        <w:rPr>
          <w:rFonts w:ascii="Calibri" w:hAnsi="Calibri"/>
          <w:b/>
          <w:color w:val="003B5C"/>
          <w:sz w:val="22"/>
        </w:rPr>
        <w:t>Clayton Christensen</w:t>
      </w:r>
      <w:r>
        <w:rPr>
          <w:rFonts w:ascii="Calibri" w:hAnsi="Calibri"/>
          <w:color w:val="666666"/>
          <w:sz w:val="22"/>
        </w:rPr>
        <w:t xml:space="preserve"> (Disruption Theory):</w:t>
      </w:r>
    </w:p>
    <w:p>
      <w:pPr>
        <w:spacing w:after="200"/>
      </w:pPr>
      <w:r>
        <w:rPr>
          <w:rFonts w:ascii="Calibri" w:hAnsi="Calibri"/>
          <w:sz w:val="20"/>
        </w:rPr>
        <w:t>Most strategically important but most speculative. The job -- "pay for something without asking my human" -- is literally impossible on card rails today. x402 is a new-market disruption creating a consumption tier that doesn't exist. Risk: $28K/day total global x402 volume. Is this "internet in 1994" or "metaverse in 2022"? The functional job is real, so the former is more apt. The 6M merchant auto-enable is the single most defensible competitive move. In a protocol war, merchant coverage wins. VHS beat Betamax on distribution, not quality.</w:t>
      </w:r>
    </w:p>
    <w:p>
      <w:pPr>
        <w:spacing w:after="40"/>
      </w:pPr>
      <w:r>
        <w:rPr>
          <w:rFonts w:ascii="Calibri" w:hAnsi="Calibri"/>
          <w:b/>
          <w:color w:val="003B5C"/>
          <w:sz w:val="22"/>
        </w:rPr>
        <w:t>Michael Porter</w:t>
      </w:r>
      <w:r>
        <w:rPr>
          <w:rFonts w:ascii="Calibri" w:hAnsi="Calibri"/>
          <w:color w:val="666666"/>
          <w:sz w:val="22"/>
        </w:rPr>
        <w:t xml:space="preserve"> (Competitive Strategy):</w:t>
      </w:r>
    </w:p>
    <w:p>
      <w:pPr>
        <w:spacing w:after="200"/>
      </w:pPr>
      <w:r>
        <w:rPr>
          <w:rFonts w:ascii="Calibri" w:hAnsi="Calibri"/>
          <w:sz w:val="20"/>
        </w:rPr>
        <w:t>WARNING: Stripe is the most dangerous competitor Fiserv has EVER faced here. Stripe controls: MPP, Tempo blockchain, Bridge ($1.1B), Privy, best developer experience, OpenAI/Anthropic relationships, 100+ services at MPP launch. Fiserv controls: x402 Foundation membership (didn't create it), 6M merchants, Finxact, FIUSD, INDX. The question: will agentic commerce be won by PROTOCOL ADOPTION (Stripe's bet) or MERCHANT COVERAGE (Fiserv's bet)? History suggests both matter, but merchant coverage is necessary. Moat is MODERATE -- x402 endpoint is open-source and copyable. Moat is distribution + settlement stack.</w:t>
      </w:r>
    </w:p>
    <w:p>
      <w:pPr>
        <w:spacing w:after="40"/>
      </w:pPr>
      <w:r>
        <w:rPr>
          <w:rFonts w:ascii="Calibri" w:hAnsi="Calibri"/>
          <w:b/>
          <w:color w:val="003B5C"/>
          <w:sz w:val="22"/>
        </w:rPr>
        <w:t>Peter Drucker</w:t>
      </w:r>
      <w:r>
        <w:rPr>
          <w:rFonts w:ascii="Calibri" w:hAnsi="Calibri"/>
          <w:color w:val="666666"/>
          <w:sz w:val="22"/>
        </w:rPr>
        <w:t xml:space="preserve"> (Management):</w:t>
      </w:r>
    </w:p>
    <w:p>
      <w:pPr>
        <w:spacing w:after="200"/>
      </w:pPr>
      <w:r>
        <w:rPr>
          <w:rFonts w:ascii="Calibri" w:hAnsi="Calibri"/>
          <w:sz w:val="20"/>
        </w:rPr>
        <w:t>Challenge: bank-verified agent identity is better for banks and merchants, but WORSE for AI agent developers. Developers want the simplest integration -- which is Stripe's one-line API. Fiserv has never been a developer-experience company. Building a competing Agent SDK is a non-trivial organizational challenge. RECOMMENDATION: Partner with an AI lab (Anthropic or OpenAI) to co-build the demo agent. This solves DX and creates a partnership announcement.</w:t>
      </w:r>
    </w:p>
    <w:p>
      <w:pPr>
        <w:spacing w:after="40"/>
      </w:pPr>
      <w:r>
        <w:rPr>
          <w:rFonts w:ascii="Calibri" w:hAnsi="Calibri"/>
          <w:b/>
          <w:color w:val="003B5C"/>
          <w:sz w:val="22"/>
        </w:rPr>
        <w:t>Nassim Taleb</w:t>
      </w:r>
      <w:r>
        <w:rPr>
          <w:rFonts w:ascii="Calibri" w:hAnsi="Calibri"/>
          <w:color w:val="666666"/>
          <w:sz w:val="22"/>
        </w:rPr>
        <w:t xml:space="preserve"> (Risk Management):</w:t>
      </w:r>
    </w:p>
    <w:p>
      <w:pPr>
        <w:spacing w:after="200"/>
      </w:pPr>
      <w:r>
        <w:rPr>
          <w:rFonts w:ascii="Calibri" w:hAnsi="Calibri"/>
          <w:sz w:val="20"/>
        </w:rPr>
        <w:t>Antifragile play: protocol-agnostic support. Do NOT bet solely on x402. Support x402, MPP, AP2, TAP, Agent Pay. If any wins, Fiserv wins. The spending guardrails via Finxact are the strongest risk management feature -- agent payments without guardrails will inevitably produce the "$50K unauthorized purchase" headline. Bank-verified identity with limits makes Fiserv's implementation the SAFEST.</w:t>
      </w:r>
    </w:p>
    <w:p>
      <w:pPr>
        <w:spacing w:after="40"/>
      </w:pPr>
      <w:r>
        <w:rPr>
          <w:rFonts w:ascii="Calibri" w:hAnsi="Calibri"/>
          <w:b/>
          <w:color w:val="003B5C"/>
          <w:sz w:val="22"/>
        </w:rPr>
        <w:t>Seth Godin</w:t>
      </w:r>
      <w:r>
        <w:rPr>
          <w:rFonts w:ascii="Calibri" w:hAnsi="Calibri"/>
          <w:color w:val="666666"/>
          <w:sz w:val="22"/>
        </w:rPr>
        <w:t xml:space="preserve"> (Marketing):</w:t>
      </w:r>
    </w:p>
    <w:p>
      <w:pPr>
        <w:spacing w:after="200"/>
      </w:pPr>
      <w:r>
        <w:rPr>
          <w:rFonts w:ascii="Calibri" w:hAnsi="Calibri"/>
          <w:sz w:val="20"/>
        </w:rPr>
        <w:t>If you show an AI agent buying something in 3 seconds -- no passwords, no 3DS, no CVV -- every investor leans forward. This is "iPhone moment" demo quality. But don't call it "x402 Commerce." Call it "Fiserv AgentCheckout." The comparison slide "Stripe: one at a time. Fiserv: 6 million overnight" is a mic-drop.</w:t>
      </w:r>
    </w:p>
    <w:p>
      <w:pPr>
        <w:spacing w:after="40"/>
      </w:pPr>
      <w:r>
        <w:rPr>
          <w:rFonts w:ascii="Calibri" w:hAnsi="Calibri"/>
          <w:b/>
          <w:color w:val="003B5C"/>
          <w:sz w:val="22"/>
        </w:rPr>
        <w:t>Donella Meadows</w:t>
      </w:r>
      <w:r>
        <w:rPr>
          <w:rFonts w:ascii="Calibri" w:hAnsi="Calibri"/>
          <w:color w:val="666666"/>
          <w:sz w:val="22"/>
        </w:rPr>
        <w:t xml:space="preserve"> (Systems Thinking):</w:t>
      </w:r>
    </w:p>
    <w:p>
      <w:pPr>
        <w:spacing w:after="200"/>
      </w:pPr>
      <w:r>
        <w:rPr>
          <w:rFonts w:ascii="Calibri" w:hAnsi="Calibri"/>
          <w:sz w:val="20"/>
        </w:rPr>
        <w:t>The 6M auto-enable breaks the chicken-and-egg problem by providing the merchant side unilaterally. Brilliant leverage point. But the feedback loop from enablement to actual agent volume will be SLOW. Do not promise revenue in year 1. Position as infrastructure investment.</w:t>
      </w:r>
    </w:p>
    <w:p>
      <w:pPr>
        <w:pStyle w:val="Heading3"/>
      </w:pPr>
      <w:r>
        <w:t>Synthesis</w:t>
      </w:r>
    </w:p>
    <w:tbl>
      <w:tblPr>
        <w:tblStyle w:val="TableGrid"/>
        <w:tblW w:type="auto" w:w="0"/>
        <w:jc w:val="left"/>
        <w:tblLook w:firstColumn="1" w:firstRow="1" w:lastColumn="0" w:lastRow="0" w:noHBand="0" w:noVBand="1" w:val="04A0"/>
      </w:tblPr>
      <w:tblGrid>
        <w:gridCol w:w="4320"/>
        <w:gridCol w:w="4320"/>
      </w:tblGrid>
      <w:tr>
        <w:tc>
          <w:tcPr>
            <w:tcW w:type="dxa" w:w="2160"/>
            <w:shd w:fill="003B5C"/>
          </w:tcPr>
          <w:p>
            <w:r>
              <w:rPr>
                <w:rFonts w:ascii="Calibri" w:hAnsi="Calibri"/>
                <w:b/>
                <w:color w:val="FFFFFF"/>
                <w:sz w:val="18"/>
              </w:rPr>
              <w:t>Dimension</w:t>
            </w:r>
          </w:p>
        </w:tc>
        <w:tc>
          <w:tcPr>
            <w:tcW w:type="dxa" w:w="7200"/>
            <w:shd w:fill="003B5C"/>
          </w:tcPr>
          <w:p>
            <w:r>
              <w:rPr>
                <w:rFonts w:ascii="Calibri" w:hAnsi="Calibri"/>
                <w:b/>
                <w:color w:val="FFFFFF"/>
                <w:sz w:val="18"/>
              </w:rPr>
              <w:t>Assessment</w:t>
            </w:r>
          </w:p>
        </w:tc>
      </w:tr>
      <w:tr>
        <w:tc>
          <w:tcPr>
            <w:tcW w:type="dxa" w:w="2160"/>
          </w:tcPr>
          <w:p>
            <w:r>
              <w:rPr>
                <w:rFonts w:ascii="Calibri" w:hAnsi="Calibri"/>
                <w:sz w:val="18"/>
              </w:rPr>
              <w:t>Strengths</w:t>
            </w:r>
          </w:p>
        </w:tc>
        <w:tc>
          <w:tcPr>
            <w:tcW w:type="dxa" w:w="7200"/>
          </w:tcPr>
          <w:p>
            <w:r>
              <w:rPr>
                <w:rFonts w:ascii="Calibri" w:hAnsi="Calibri"/>
                <w:sz w:val="18"/>
              </w:rPr>
              <w:t>6M auto-enable is strongest distribution play, protocol-agnostic gateway is sound, bank-verified identity is differentiated, visionary demo</w:t>
            </w:r>
          </w:p>
        </w:tc>
      </w:tr>
      <w:tr>
        <w:tc>
          <w:tcPr>
            <w:tcW w:type="dxa" w:w="2160"/>
            <w:shd w:fill="F2F2F2"/>
          </w:tcPr>
          <w:p>
            <w:r>
              <w:rPr>
                <w:rFonts w:ascii="Calibri" w:hAnsi="Calibri"/>
                <w:sz w:val="18"/>
              </w:rPr>
              <w:t>Weaknesses</w:t>
            </w:r>
          </w:p>
        </w:tc>
        <w:tc>
          <w:tcPr>
            <w:tcW w:type="dxa" w:w="7200"/>
            <w:shd w:fill="F2F2F2"/>
          </w:tcPr>
          <w:p>
            <w:r>
              <w:rPr>
                <w:rFonts w:ascii="Calibri" w:hAnsi="Calibri"/>
                <w:sz w:val="18"/>
              </w:rPr>
              <w:t>Market barely exists ($28K/day), Stripe is formidable, Agent SDK quality is organizational risk, revenue 3-5 years out</w:t>
            </w:r>
          </w:p>
        </w:tc>
      </w:tr>
      <w:tr>
        <w:tc>
          <w:tcPr>
            <w:tcW w:type="dxa" w:w="2160"/>
          </w:tcPr>
          <w:p>
            <w:r>
              <w:rPr>
                <w:rFonts w:ascii="Calibri" w:hAnsi="Calibri"/>
                <w:sz w:val="18"/>
              </w:rPr>
              <w:t>Revenue Potential</w:t>
            </w:r>
          </w:p>
        </w:tc>
        <w:tc>
          <w:tcPr>
            <w:tcW w:type="dxa" w:w="7200"/>
          </w:tcPr>
          <w:p>
            <w:r>
              <w:rPr>
                <w:rFonts w:ascii="Calibri" w:hAnsi="Calibri"/>
                <w:sz w:val="18"/>
              </w:rPr>
              <w:t>Near-zero year 1. $50-150M/year by 2030 if agentic commerce materializes</w:t>
            </w:r>
          </w:p>
        </w:tc>
      </w:tr>
      <w:tr>
        <w:tc>
          <w:tcPr>
            <w:tcW w:type="dxa" w:w="2160"/>
            <w:shd w:fill="F2F2F2"/>
          </w:tcPr>
          <w:p>
            <w:r>
              <w:rPr>
                <w:rFonts w:ascii="Calibri" w:hAnsi="Calibri"/>
                <w:sz w:val="18"/>
              </w:rPr>
              <w:t>Competitive Moat</w:t>
            </w:r>
          </w:p>
        </w:tc>
        <w:tc>
          <w:tcPr>
            <w:tcW w:type="dxa" w:w="7200"/>
            <w:shd w:fill="F2F2F2"/>
          </w:tcPr>
          <w:p>
            <w:r>
              <w:rPr>
                <w:rFonts w:ascii="Calibri" w:hAnsi="Calibri"/>
                <w:sz w:val="18"/>
              </w:rPr>
              <w:t>MODERATE -- distribution is strong but x402 is open-source. Moat is settlement stack + distribution</w:t>
            </w:r>
          </w:p>
        </w:tc>
      </w:tr>
      <w:tr>
        <w:tc>
          <w:tcPr>
            <w:tcW w:type="dxa" w:w="2160"/>
          </w:tcPr>
          <w:p>
            <w:r>
              <w:rPr>
                <w:rFonts w:ascii="Calibri" w:hAnsi="Calibri"/>
                <w:sz w:val="18"/>
              </w:rPr>
              <w:t>Go-to-Market Risk</w:t>
            </w:r>
          </w:p>
        </w:tc>
        <w:tc>
          <w:tcPr>
            <w:tcW w:type="dxa" w:w="7200"/>
          </w:tcPr>
          <w:p>
            <w:r>
              <w:rPr>
                <w:rFonts w:ascii="Calibri" w:hAnsi="Calibri"/>
                <w:sz w:val="18"/>
              </w:rPr>
              <w:t>HIGH -- depends on market materializing, developer adoption, protocol standardization</w:t>
            </w:r>
          </w:p>
        </w:tc>
      </w:tr>
      <w:tr>
        <w:tc>
          <w:tcPr>
            <w:tcW w:type="dxa" w:w="2160"/>
            <w:shd w:fill="F2F2F2"/>
          </w:tcPr>
          <w:p>
            <w:r>
              <w:rPr>
                <w:rFonts w:ascii="Calibri" w:hAnsi="Calibri"/>
                <w:sz w:val="18"/>
              </w:rPr>
              <w:t>Investor Day Impact</w:t>
            </w:r>
          </w:p>
        </w:tc>
        <w:tc>
          <w:tcPr>
            <w:tcW w:type="dxa" w:w="7200"/>
            <w:shd w:fill="F2F2F2"/>
          </w:tcPr>
          <w:p>
            <w:r>
              <w:rPr>
                <w:rFonts w:ascii="Calibri" w:hAnsi="Calibri"/>
                <w:sz w:val="18"/>
              </w:rPr>
              <w:t>10/10 -- live AI agent demo is the only one that creates a "holy sh*t" moment</w:t>
            </w:r>
          </w:p>
        </w:tc>
      </w:tr>
      <w:tr>
        <w:tc>
          <w:tcPr>
            <w:tcW w:type="dxa" w:w="2160"/>
          </w:tcPr>
          <w:p>
            <w:r>
              <w:rPr>
                <w:rFonts w:ascii="Calibri" w:hAnsi="Calibri"/>
                <w:sz w:val="18"/>
              </w:rPr>
              <w:t>Critical Changes</w:t>
            </w:r>
          </w:p>
        </w:tc>
        <w:tc>
          <w:tcPr>
            <w:tcW w:type="dxa" w:w="7200"/>
          </w:tcPr>
          <w:p>
            <w:r>
              <w:rPr>
                <w:rFonts w:ascii="Calibri" w:hAnsi="Calibri"/>
                <w:sz w:val="18"/>
              </w:rPr>
              <w:t>Rename to "AgentCheckout." Make protocol-agnostic. Partner with AI lab. Don't promise near-term revenue.</w:t>
            </w:r>
          </w:p>
        </w:tc>
      </w:tr>
    </w:tbl>
    <w:p>
      <w:r>
        <w:br w:type="page"/>
      </w:r>
    </w:p>
    <w:p>
      <w:pPr>
        <w:pStyle w:val="Heading2"/>
      </w:pPr>
      <w:r>
        <w:t>Idea 3: Instant Supplier Pay</w:t>
      </w:r>
    </w:p>
    <w:p>
      <w:pPr>
        <w:pStyle w:val="Heading3"/>
      </w:pPr>
      <w:r>
        <w:t>Expert Analysis</w:t>
      </w:r>
    </w:p>
    <w:p>
      <w:pPr>
        <w:spacing w:after="40"/>
      </w:pPr>
      <w:r>
        <w:rPr>
          <w:rFonts w:ascii="Calibri" w:hAnsi="Calibri"/>
          <w:b/>
          <w:color w:val="003B5C"/>
          <w:sz w:val="22"/>
        </w:rPr>
        <w:t>Clayton Christensen</w:t>
      </w:r>
      <w:r>
        <w:rPr>
          <w:rFonts w:ascii="Calibri" w:hAnsi="Calibri"/>
          <w:color w:val="666666"/>
          <w:sz w:val="22"/>
        </w:rPr>
        <w:t xml:space="preserve"> (Disruption Theory):</w:t>
      </w:r>
    </w:p>
    <w:p>
      <w:pPr>
        <w:spacing w:after="200"/>
      </w:pPr>
      <w:r>
        <w:rPr>
          <w:rFonts w:ascii="Calibri" w:hAnsi="Calibri"/>
          <w:sz w:val="20"/>
        </w:rPr>
        <w:t>Most practical idea. Job-to-be-done is visceral: "Help me pay my suppliers without losing money." Every restaurant owner understands this. BUT: by moving B2B supply payments off card rails onto FIUSD, Fiserv is cannibalizing its own interchange revenue. Every $50K/month that moves from card to FIUSD = $1,000-1,500/month in lost interchange. The FIUSD fee + discount share must be modeled explicitly to ensure unit economics are positive.</w:t>
      </w:r>
    </w:p>
    <w:p>
      <w:pPr>
        <w:spacing w:after="40"/>
      </w:pPr>
      <w:r>
        <w:rPr>
          <w:rFonts w:ascii="Calibri" w:hAnsi="Calibri"/>
          <w:b/>
          <w:color w:val="003B5C"/>
          <w:sz w:val="22"/>
        </w:rPr>
        <w:t>Michael Porter</w:t>
      </w:r>
      <w:r>
        <w:rPr>
          <w:rFonts w:ascii="Calibri" w:hAnsi="Calibri"/>
          <w:color w:val="666666"/>
          <w:sz w:val="22"/>
        </w:rPr>
        <w:t xml:space="preserve"> (Competitive Strategy):</w:t>
      </w:r>
    </w:p>
    <w:p>
      <w:pPr>
        <w:spacing w:after="200"/>
      </w:pPr>
      <w:r>
        <w:rPr>
          <w:rFonts w:ascii="Calibri" w:hAnsi="Calibri"/>
          <w:sz w:val="20"/>
        </w:rPr>
        <w:t>Competitive dynamics are more favorable because this is a VERTICAL solution (restaurant supply chain) not horizontal. Vertical solutions are harder for Stripe/Adyen to replicate because they need domain-specific data. Clover has this data -- that's the moat. Revenue: 500K restaurants x $50K/month supplies x 30bps = $90M/year at full penetration. Plus 10% of 2% discount on $50K x 500K = $600M/year. At 5% year-1 adoption = ~$35M.</w:t>
      </w:r>
    </w:p>
    <w:p>
      <w:pPr>
        <w:spacing w:after="40"/>
      </w:pPr>
      <w:r>
        <w:rPr>
          <w:rFonts w:ascii="Calibri" w:hAnsi="Calibri"/>
          <w:b/>
          <w:color w:val="003B5C"/>
          <w:sz w:val="22"/>
        </w:rPr>
        <w:t>Peter Drucker</w:t>
      </w:r>
      <w:r>
        <w:rPr>
          <w:rFonts w:ascii="Calibri" w:hAnsi="Calibri"/>
          <w:color w:val="666666"/>
          <w:sz w:val="22"/>
        </w:rPr>
        <w:t xml:space="preserve"> (Management):</w:t>
      </w:r>
    </w:p>
    <w:p>
      <w:pPr>
        <w:spacing w:after="200"/>
      </w:pPr>
      <w:r>
        <w:rPr>
          <w:rFonts w:ascii="Calibri" w:hAnsi="Calibri"/>
          <w:sz w:val="20"/>
        </w:rPr>
        <w:t>Requires a NEW relationship Fiserv doesn't have: relationships with food distributors. Will Sysco and US Foods (50% of US restaurant distribution) accept FIUSD? Without major distributors, this works only with small local suppliers. RECOMMENDATION: Call Sysco and US Foods BEFORE building. If yes, this jumps to priority 1. If no, addressable market shrinks dramatically.</w:t>
      </w:r>
    </w:p>
    <w:p>
      <w:pPr>
        <w:spacing w:after="40"/>
      </w:pPr>
      <w:r>
        <w:rPr>
          <w:rFonts w:ascii="Calibri" w:hAnsi="Calibri"/>
          <w:b/>
          <w:color w:val="003B5C"/>
          <w:sz w:val="22"/>
        </w:rPr>
        <w:t>Nassim Taleb</w:t>
      </w:r>
      <w:r>
        <w:rPr>
          <w:rFonts w:ascii="Calibri" w:hAnsi="Calibri"/>
          <w:color w:val="666666"/>
          <w:sz w:val="22"/>
        </w:rPr>
        <w:t xml:space="preserve"> (Risk Management):</w:t>
      </w:r>
    </w:p>
    <w:p>
      <w:pPr>
        <w:spacing w:after="200"/>
      </w:pPr>
      <w:r>
        <w:rPr>
          <w:rFonts w:ascii="Calibri" w:hAnsi="Calibri"/>
          <w:sz w:val="20"/>
        </w:rPr>
        <w:t>Best risk profile of all four. Downside is bounded: bad prediction = slightly suboptimal order (too much/little of an ingredient). Compare to Idea 1 (can't make payroll) or Idea 2 ($50K unauthorized spend). The early-payment discount capture is genuinely asymmetric: 2% for paying 20 days early = ~36% annualized return. Free money restaurants leave on the table.</w:t>
      </w:r>
    </w:p>
    <w:p>
      <w:pPr>
        <w:spacing w:after="40"/>
      </w:pPr>
      <w:r>
        <w:rPr>
          <w:rFonts w:ascii="Calibri" w:hAnsi="Calibri"/>
          <w:b/>
          <w:color w:val="003B5C"/>
          <w:sz w:val="22"/>
        </w:rPr>
        <w:t>Seth Godin</w:t>
      </w:r>
      <w:r>
        <w:rPr>
          <w:rFonts w:ascii="Calibri" w:hAnsi="Calibri"/>
          <w:color w:val="666666"/>
          <w:sz w:val="22"/>
        </w:rPr>
        <w:t xml:space="preserve"> (Marketing):</w:t>
      </w:r>
    </w:p>
    <w:p>
      <w:pPr>
        <w:spacing w:after="200"/>
      </w:pPr>
      <w:r>
        <w:rPr>
          <w:rFonts w:ascii="Calibri" w:hAnsi="Calibri"/>
          <w:sz w:val="20"/>
        </w:rPr>
        <w:t>Compelling for a DIFFERENT audience. For merchants: "Your AI saved $1,200 this month." For investors, elevate: "We are replacing the $2.4 trillion B2B card payment market with zero-fee stablecoin rails." Best as SUPPORTING demo, not lead.</w:t>
      </w:r>
    </w:p>
    <w:p>
      <w:pPr>
        <w:pStyle w:val="Heading3"/>
      </w:pPr>
      <w:r>
        <w:t>Synthesis</w:t>
      </w:r>
    </w:p>
    <w:tbl>
      <w:tblPr>
        <w:tblStyle w:val="TableGrid"/>
        <w:tblW w:type="auto" w:w="0"/>
        <w:jc w:val="left"/>
        <w:tblLook w:firstColumn="1" w:firstRow="1" w:lastColumn="0" w:lastRow="0" w:noHBand="0" w:noVBand="1" w:val="04A0"/>
      </w:tblPr>
      <w:tblGrid>
        <w:gridCol w:w="4320"/>
        <w:gridCol w:w="4320"/>
      </w:tblGrid>
      <w:tr>
        <w:tc>
          <w:tcPr>
            <w:tcW w:type="dxa" w:w="2160"/>
            <w:shd w:fill="003B5C"/>
          </w:tcPr>
          <w:p>
            <w:r>
              <w:rPr>
                <w:rFonts w:ascii="Calibri" w:hAnsi="Calibri"/>
                <w:b/>
                <w:color w:val="FFFFFF"/>
                <w:sz w:val="18"/>
              </w:rPr>
              <w:t>Dimension</w:t>
            </w:r>
          </w:p>
        </w:tc>
        <w:tc>
          <w:tcPr>
            <w:tcW w:type="dxa" w:w="7200"/>
            <w:shd w:fill="003B5C"/>
          </w:tcPr>
          <w:p>
            <w:r>
              <w:rPr>
                <w:rFonts w:ascii="Calibri" w:hAnsi="Calibri"/>
                <w:b/>
                <w:color w:val="FFFFFF"/>
                <w:sz w:val="18"/>
              </w:rPr>
              <w:t>Assessment</w:t>
            </w:r>
          </w:p>
        </w:tc>
      </w:tr>
      <w:tr>
        <w:tc>
          <w:tcPr>
            <w:tcW w:type="dxa" w:w="2160"/>
          </w:tcPr>
          <w:p>
            <w:r>
              <w:rPr>
                <w:rFonts w:ascii="Calibri" w:hAnsi="Calibri"/>
                <w:sz w:val="18"/>
              </w:rPr>
              <w:t>Strengths</w:t>
            </w:r>
          </w:p>
        </w:tc>
        <w:tc>
          <w:tcPr>
            <w:tcW w:type="dxa" w:w="7200"/>
          </w:tcPr>
          <w:p>
            <w:r>
              <w:rPr>
                <w:rFonts w:ascii="Calibri" w:hAnsi="Calibri"/>
                <w:sz w:val="18"/>
              </w:rPr>
              <w:t>Quantifiable pain point, bounded downside, 36% annualized discount capture, vertical data moat, favorable risk profile</w:t>
            </w:r>
          </w:p>
        </w:tc>
      </w:tr>
      <w:tr>
        <w:tc>
          <w:tcPr>
            <w:tcW w:type="dxa" w:w="2160"/>
            <w:shd w:fill="F2F2F2"/>
          </w:tcPr>
          <w:p>
            <w:r>
              <w:rPr>
                <w:rFonts w:ascii="Calibri" w:hAnsi="Calibri"/>
                <w:sz w:val="18"/>
              </w:rPr>
              <w:t>Weaknesses</w:t>
            </w:r>
          </w:p>
        </w:tc>
        <w:tc>
          <w:tcPr>
            <w:tcW w:type="dxa" w:w="7200"/>
            <w:shd w:fill="F2F2F2"/>
          </w:tcPr>
          <w:p>
            <w:r>
              <w:rPr>
                <w:rFonts w:ascii="Calibri" w:hAnsi="Calibri"/>
                <w:sz w:val="18"/>
              </w:rPr>
              <w:t>Requires distributor buy-in, cannibalizes interchange, prediction accuracy on inferred data, restaurant-only initially</w:t>
            </w:r>
          </w:p>
        </w:tc>
      </w:tr>
      <w:tr>
        <w:tc>
          <w:tcPr>
            <w:tcW w:type="dxa" w:w="2160"/>
          </w:tcPr>
          <w:p>
            <w:r>
              <w:rPr>
                <w:rFonts w:ascii="Calibri" w:hAnsi="Calibri"/>
                <w:sz w:val="18"/>
              </w:rPr>
              <w:t>Revenue Potential</w:t>
            </w:r>
          </w:p>
        </w:tc>
        <w:tc>
          <w:tcPr>
            <w:tcW w:type="dxa" w:w="7200"/>
          </w:tcPr>
          <w:p>
            <w:r>
              <w:rPr>
                <w:rFonts w:ascii="Calibri" w:hAnsi="Calibri"/>
                <w:sz w:val="18"/>
              </w:rPr>
              <w:t>$35M year 1 at 5% adoption; $90M txn fees + $600M discount share at full penetration</w:t>
            </w:r>
          </w:p>
        </w:tc>
      </w:tr>
      <w:tr>
        <w:tc>
          <w:tcPr>
            <w:tcW w:type="dxa" w:w="2160"/>
            <w:shd w:fill="F2F2F2"/>
          </w:tcPr>
          <w:p>
            <w:r>
              <w:rPr>
                <w:rFonts w:ascii="Calibri" w:hAnsi="Calibri"/>
                <w:sz w:val="18"/>
              </w:rPr>
              <w:t>Competitive Moat</w:t>
            </w:r>
          </w:p>
        </w:tc>
        <w:tc>
          <w:tcPr>
            <w:tcW w:type="dxa" w:w="7200"/>
            <w:shd w:fill="F2F2F2"/>
          </w:tcPr>
          <w:p>
            <w:r>
              <w:rPr>
                <w:rFonts w:ascii="Calibri" w:hAnsi="Calibri"/>
                <w:sz w:val="18"/>
              </w:rPr>
              <w:t>STRONG for restaurant vertical (Clover data). WEAK for generalization</w:t>
            </w:r>
          </w:p>
        </w:tc>
      </w:tr>
      <w:tr>
        <w:tc>
          <w:tcPr>
            <w:tcW w:type="dxa" w:w="2160"/>
          </w:tcPr>
          <w:p>
            <w:r>
              <w:rPr>
                <w:rFonts w:ascii="Calibri" w:hAnsi="Calibri"/>
                <w:sz w:val="18"/>
              </w:rPr>
              <w:t>Go-to-Market Risk</w:t>
            </w:r>
          </w:p>
        </w:tc>
        <w:tc>
          <w:tcPr>
            <w:tcW w:type="dxa" w:w="7200"/>
          </w:tcPr>
          <w:p>
            <w:r>
              <w:rPr>
                <w:rFonts w:ascii="Calibri" w:hAnsi="Calibri"/>
                <w:sz w:val="18"/>
              </w:rPr>
              <w:t>MEDIUM -- depends on distributor willingness. Cannibalization math must work</w:t>
            </w:r>
          </w:p>
        </w:tc>
      </w:tr>
      <w:tr>
        <w:tc>
          <w:tcPr>
            <w:tcW w:type="dxa" w:w="2160"/>
            <w:shd w:fill="F2F2F2"/>
          </w:tcPr>
          <w:p>
            <w:r>
              <w:rPr>
                <w:rFonts w:ascii="Calibri" w:hAnsi="Calibri"/>
                <w:sz w:val="18"/>
              </w:rPr>
              <w:t>Investor Day Impact</w:t>
            </w:r>
          </w:p>
        </w:tc>
        <w:tc>
          <w:tcPr>
            <w:tcW w:type="dxa" w:w="7200"/>
            <w:shd w:fill="F2F2F2"/>
          </w:tcPr>
          <w:p>
            <w:r>
              <w:rPr>
                <w:rFonts w:ascii="Calibri" w:hAnsi="Calibri"/>
                <w:sz w:val="18"/>
              </w:rPr>
              <w:t>7/10 -- compelling feature demo, best as supporting evidence of platform versatility</w:t>
            </w:r>
          </w:p>
        </w:tc>
      </w:tr>
      <w:tr>
        <w:tc>
          <w:tcPr>
            <w:tcW w:type="dxa" w:w="2160"/>
          </w:tcPr>
          <w:p>
            <w:r>
              <w:rPr>
                <w:rFonts w:ascii="Calibri" w:hAnsi="Calibri"/>
                <w:sz w:val="18"/>
              </w:rPr>
              <w:t>Critical Changes</w:t>
            </w:r>
          </w:p>
        </w:tc>
        <w:tc>
          <w:tcPr>
            <w:tcW w:type="dxa" w:w="7200"/>
          </w:tcPr>
          <w:p>
            <w:r>
              <w:rPr>
                <w:rFonts w:ascii="Calibri" w:hAnsi="Calibri"/>
                <w:sz w:val="18"/>
              </w:rPr>
              <w:t>Validate distributor willingness. Model interchange cannibalization. Position as "first vertical app of stablecoin infrastructure."</w:t>
            </w:r>
          </w:p>
        </w:tc>
      </w:tr>
    </w:tbl>
    <w:p>
      <w:r>
        <w:br w:type="page"/>
      </w:r>
    </w:p>
    <w:p>
      <w:pPr>
        <w:pStyle w:val="Heading2"/>
      </w:pPr>
      <w:r>
        <w:t>Idea 4: Cross-Border Instant Settlement</w:t>
      </w:r>
    </w:p>
    <w:p>
      <w:pPr>
        <w:pStyle w:val="Heading3"/>
      </w:pPr>
      <w:r>
        <w:t>Expert Analysis</w:t>
      </w:r>
    </w:p>
    <w:p>
      <w:pPr>
        <w:spacing w:after="40"/>
      </w:pPr>
      <w:r>
        <w:rPr>
          <w:rFonts w:ascii="Calibri" w:hAnsi="Calibri"/>
          <w:b/>
          <w:color w:val="003B5C"/>
          <w:sz w:val="22"/>
        </w:rPr>
        <w:t>Clayton Christensen</w:t>
      </w:r>
      <w:r>
        <w:rPr>
          <w:rFonts w:ascii="Calibri" w:hAnsi="Calibri"/>
          <w:color w:val="666666"/>
          <w:sz w:val="22"/>
        </w:rPr>
        <w:t xml:space="preserve"> (Disruption Theory):</w:t>
      </w:r>
    </w:p>
    <w:p>
      <w:pPr>
        <w:spacing w:after="200"/>
      </w:pPr>
      <w:r>
        <w:rPr>
          <w:rFonts w:ascii="Calibri" w:hAnsi="Calibri"/>
          <w:sz w:val="20"/>
        </w:rPr>
        <w:t>Largest market but most competitive. NOT a blue ocean -- red ocean with Stripe (Bridge), Worldpay (BVNK), Wise, Revolut fighting over cross-border. Fiserv's unique advantage: EMBEDDED cross-border settlement within CommerceHub. Merchant doesn't go to Wise. The transaction is detected and settled optimally within existing workflow. This is a convenience disruption, not cost disruption -- and convenience often wins because it requires zero behavior change.</w:t>
      </w:r>
    </w:p>
    <w:p>
      <w:pPr>
        <w:spacing w:after="40"/>
      </w:pPr>
      <w:r>
        <w:rPr>
          <w:rFonts w:ascii="Calibri" w:hAnsi="Calibri"/>
          <w:b/>
          <w:color w:val="003B5C"/>
          <w:sz w:val="22"/>
        </w:rPr>
        <w:t>Michael Porter</w:t>
      </w:r>
      <w:r>
        <w:rPr>
          <w:rFonts w:ascii="Calibri" w:hAnsi="Calibri"/>
          <w:color w:val="666666"/>
          <w:sz w:val="22"/>
        </w:rPr>
        <w:t xml:space="preserve"> (Competitive Strategy):</w:t>
      </w:r>
    </w:p>
    <w:p>
      <w:pPr>
        <w:spacing w:after="200"/>
      </w:pPr>
      <w:r>
        <w:rPr>
          <w:rFonts w:ascii="Calibri" w:hAnsi="Calibri"/>
          <w:sz w:val="20"/>
        </w:rPr>
        <w:t>The $190T market is misleading. Addressable = cross-border e-commerce ($6.3T, growing 25%/year) + SMB B2B (~$2-5T). Competitive intensity: HIGH. Supplier power: HIGH (FX liquidity providers). Substitutes: ABUNDANT. The unique positioning: Fiserv is the ONLY company offering cross-border settlement as a native feature of an existing orchestration platform. Revenue: $10-50B CommerceHub cross-border volume x 70bps = $70-350M/year.</w:t>
      </w:r>
    </w:p>
    <w:p>
      <w:pPr>
        <w:spacing w:after="40"/>
      </w:pPr>
      <w:r>
        <w:rPr>
          <w:rFonts w:ascii="Calibri" w:hAnsi="Calibri"/>
          <w:b/>
          <w:color w:val="003B5C"/>
          <w:sz w:val="22"/>
        </w:rPr>
        <w:t>Nassim Taleb</w:t>
      </w:r>
      <w:r>
        <w:rPr>
          <w:rFonts w:ascii="Calibri" w:hAnsi="Calibri"/>
          <w:color w:val="666666"/>
          <w:sz w:val="22"/>
        </w:rPr>
        <w:t xml:space="preserve"> (Risk Management):</w:t>
      </w:r>
    </w:p>
    <w:p>
      <w:pPr>
        <w:spacing w:after="200"/>
      </w:pPr>
      <w:r>
        <w:rPr>
          <w:rFonts w:ascii="Calibri" w:hAnsi="Calibri"/>
          <w:sz w:val="20"/>
        </w:rPr>
        <w:t>Best risk/reward ratio of all four. FX conversion and cross-border settlement are WELL-UNDERSTOOD operations. The stablecoin rail makes it faster and cheaper but the operation is not novel. Implementation risk: lower. Regulatory framework: clearer. Failure modes: well-mapped. Primary risk: FX rate slippage during the 30-second lock window. At $10B+ volume, even 5bps average slippage = $5M/year loss.</w:t>
      </w:r>
    </w:p>
    <w:p>
      <w:pPr>
        <w:spacing w:after="40"/>
      </w:pPr>
      <w:r>
        <w:rPr>
          <w:rFonts w:ascii="Calibri" w:hAnsi="Calibri"/>
          <w:b/>
          <w:color w:val="003B5C"/>
          <w:sz w:val="22"/>
        </w:rPr>
        <w:t>Kim &amp; Mauborgne</w:t>
      </w:r>
      <w:r>
        <w:rPr>
          <w:rFonts w:ascii="Calibri" w:hAnsi="Calibri"/>
          <w:color w:val="666666"/>
          <w:sz w:val="22"/>
        </w:rPr>
        <w:t xml:space="preserve"> (Blue Ocean Strategy):</w:t>
      </w:r>
    </w:p>
    <w:p>
      <w:pPr>
        <w:spacing w:after="200"/>
      </w:pPr>
      <w:r>
        <w:rPr>
          <w:rFonts w:ascii="Calibri" w:hAnsi="Calibri"/>
          <w:sz w:val="20"/>
        </w:rPr>
        <w:t>Fiserv is NOT creating blue ocean here -- offering a BETTER solution in existing red ocean. The blue ocean element: "cross-border payments the merchant doesn't know are cross-border." If CommerceHub automatically detects, converts, and settles with zero merchant intervention -- merchant just sees "payment received, USD settled" -- THAT is new. The invisibility of cross-border complexity is the blue ocean.</w:t>
      </w:r>
    </w:p>
    <w:p>
      <w:pPr>
        <w:pStyle w:val="Heading3"/>
      </w:pPr>
      <w:r>
        <w:t>Synthesis</w:t>
      </w:r>
    </w:p>
    <w:tbl>
      <w:tblPr>
        <w:tblStyle w:val="TableGrid"/>
        <w:tblW w:type="auto" w:w="0"/>
        <w:jc w:val="left"/>
        <w:tblLook w:firstColumn="1" w:firstRow="1" w:lastColumn="0" w:lastRow="0" w:noHBand="0" w:noVBand="1" w:val="04A0"/>
      </w:tblPr>
      <w:tblGrid>
        <w:gridCol w:w="4320"/>
        <w:gridCol w:w="4320"/>
      </w:tblGrid>
      <w:tr>
        <w:tc>
          <w:tcPr>
            <w:tcW w:type="dxa" w:w="2160"/>
            <w:shd w:fill="003B5C"/>
          </w:tcPr>
          <w:p>
            <w:r>
              <w:rPr>
                <w:rFonts w:ascii="Calibri" w:hAnsi="Calibri"/>
                <w:b/>
                <w:color w:val="FFFFFF"/>
                <w:sz w:val="18"/>
              </w:rPr>
              <w:t>Dimension</w:t>
            </w:r>
          </w:p>
        </w:tc>
        <w:tc>
          <w:tcPr>
            <w:tcW w:type="dxa" w:w="7200"/>
            <w:shd w:fill="003B5C"/>
          </w:tcPr>
          <w:p>
            <w:r>
              <w:rPr>
                <w:rFonts w:ascii="Calibri" w:hAnsi="Calibri"/>
                <w:b/>
                <w:color w:val="FFFFFF"/>
                <w:sz w:val="18"/>
              </w:rPr>
              <w:t>Assessment</w:t>
            </w:r>
          </w:p>
        </w:tc>
      </w:tr>
      <w:tr>
        <w:tc>
          <w:tcPr>
            <w:tcW w:type="dxa" w:w="2160"/>
          </w:tcPr>
          <w:p>
            <w:r>
              <w:rPr>
                <w:rFonts w:ascii="Calibri" w:hAnsi="Calibri"/>
                <w:sz w:val="18"/>
              </w:rPr>
              <w:t>Strengths</w:t>
            </w:r>
          </w:p>
        </w:tc>
        <w:tc>
          <w:tcPr>
            <w:tcW w:type="dxa" w:w="7200"/>
          </w:tcPr>
          <w:p>
            <w:r>
              <w:rPr>
                <w:rFonts w:ascii="Calibri" w:hAnsi="Calibri"/>
                <w:sz w:val="18"/>
              </w:rPr>
              <w:t>Largest addressable market ($6.3T e-comm), well-understood operation, best risk/reward, 90% cost reduction is dramatic, highly demo-able</w:t>
            </w:r>
          </w:p>
        </w:tc>
      </w:tr>
      <w:tr>
        <w:tc>
          <w:tcPr>
            <w:tcW w:type="dxa" w:w="2160"/>
            <w:shd w:fill="F2F2F2"/>
          </w:tcPr>
          <w:p>
            <w:r>
              <w:rPr>
                <w:rFonts w:ascii="Calibri" w:hAnsi="Calibri"/>
                <w:sz w:val="18"/>
              </w:rPr>
              <w:t>Weaknesses</w:t>
            </w:r>
          </w:p>
        </w:tc>
        <w:tc>
          <w:tcPr>
            <w:tcW w:type="dxa" w:w="7200"/>
            <w:shd w:fill="F2F2F2"/>
          </w:tcPr>
          <w:p>
            <w:r>
              <w:rPr>
                <w:rFonts w:ascii="Calibri" w:hAnsi="Calibri"/>
                <w:sz w:val="18"/>
              </w:rPr>
              <w:t>Red ocean (Wise, Bridge, BVNK), regulatory complexity for stablecoin cross-border, FX slippage risk, not category-creating</w:t>
            </w:r>
          </w:p>
        </w:tc>
      </w:tr>
      <w:tr>
        <w:tc>
          <w:tcPr>
            <w:tcW w:type="dxa" w:w="2160"/>
          </w:tcPr>
          <w:p>
            <w:r>
              <w:rPr>
                <w:rFonts w:ascii="Calibri" w:hAnsi="Calibri"/>
                <w:sz w:val="18"/>
              </w:rPr>
              <w:t>Revenue Potential</w:t>
            </w:r>
          </w:p>
        </w:tc>
        <w:tc>
          <w:tcPr>
            <w:tcW w:type="dxa" w:w="7200"/>
          </w:tcPr>
          <w:p>
            <w:r>
              <w:rPr>
                <w:rFonts w:ascii="Calibri" w:hAnsi="Calibri"/>
                <w:sz w:val="18"/>
              </w:rPr>
              <w:t>$70-350M/year at 70bps on $10-50B cross-border CommerceHub volume. Most certain revenue model</w:t>
            </w:r>
          </w:p>
        </w:tc>
      </w:tr>
      <w:tr>
        <w:tc>
          <w:tcPr>
            <w:tcW w:type="dxa" w:w="2160"/>
            <w:shd w:fill="F2F2F2"/>
          </w:tcPr>
          <w:p>
            <w:r>
              <w:rPr>
                <w:rFonts w:ascii="Calibri" w:hAnsi="Calibri"/>
                <w:sz w:val="18"/>
              </w:rPr>
              <w:t>Competitive Moat</w:t>
            </w:r>
          </w:p>
        </w:tc>
        <w:tc>
          <w:tcPr>
            <w:tcW w:type="dxa" w:w="7200"/>
            <w:shd w:fill="F2F2F2"/>
          </w:tcPr>
          <w:p>
            <w:r>
              <w:rPr>
                <w:rFonts w:ascii="Calibri" w:hAnsi="Calibri"/>
                <w:sz w:val="18"/>
              </w:rPr>
              <w:t>MODERATE -- embedded in CommerceHub gives distribution advantage, but tech is commoditized</w:t>
            </w:r>
          </w:p>
        </w:tc>
      </w:tr>
      <w:tr>
        <w:tc>
          <w:tcPr>
            <w:tcW w:type="dxa" w:w="2160"/>
          </w:tcPr>
          <w:p>
            <w:r>
              <w:rPr>
                <w:rFonts w:ascii="Calibri" w:hAnsi="Calibri"/>
                <w:sz w:val="18"/>
              </w:rPr>
              <w:t>Go-to-Market Risk</w:t>
            </w:r>
          </w:p>
        </w:tc>
        <w:tc>
          <w:tcPr>
            <w:tcW w:type="dxa" w:w="7200"/>
          </w:tcPr>
          <w:p>
            <w:r>
              <w:rPr>
                <w:rFonts w:ascii="Calibri" w:hAnsi="Calibri"/>
                <w:sz w:val="18"/>
              </w:rPr>
              <w:t>MEDIUM -- regulatory approval is gating factor. Technology risk is low</w:t>
            </w:r>
          </w:p>
        </w:tc>
      </w:tr>
      <w:tr>
        <w:tc>
          <w:tcPr>
            <w:tcW w:type="dxa" w:w="2160"/>
            <w:shd w:fill="F2F2F2"/>
          </w:tcPr>
          <w:p>
            <w:r>
              <w:rPr>
                <w:rFonts w:ascii="Calibri" w:hAnsi="Calibri"/>
                <w:sz w:val="18"/>
              </w:rPr>
              <w:t>Investor Day Impact</w:t>
            </w:r>
          </w:p>
        </w:tc>
        <w:tc>
          <w:tcPr>
            <w:tcW w:type="dxa" w:w="7200"/>
            <w:shd w:fill="F2F2F2"/>
          </w:tcPr>
          <w:p>
            <w:r>
              <w:rPr>
                <w:rFonts w:ascii="Calibri" w:hAnsi="Calibri"/>
                <w:sz w:val="18"/>
              </w:rPr>
              <w:t>8/10 -- side-by-side comparison ($47.50 vs $5.00) is immediately compelling</w:t>
            </w:r>
          </w:p>
        </w:tc>
      </w:tr>
      <w:tr>
        <w:tc>
          <w:tcPr>
            <w:tcW w:type="dxa" w:w="2160"/>
          </w:tcPr>
          <w:p>
            <w:r>
              <w:rPr>
                <w:rFonts w:ascii="Calibri" w:hAnsi="Calibri"/>
                <w:sz w:val="18"/>
              </w:rPr>
              <w:t>Critical Changes</w:t>
            </w:r>
          </w:p>
        </w:tc>
        <w:tc>
          <w:tcPr>
            <w:tcW w:type="dxa" w:w="7200"/>
          </w:tcPr>
          <w:p>
            <w:r>
              <w:rPr>
                <w:rFonts w:ascii="Calibri" w:hAnsi="Calibri"/>
                <w:sz w:val="18"/>
              </w:rPr>
              <w:t>Make invisible (auto-route, no merchant opt-in). Validate regulatory posture. Use $6.3T not $190T for TAM.</w:t>
            </w:r>
          </w:p>
        </w:tc>
      </w:tr>
    </w:tbl>
    <w:p>
      <w:r>
        <w:br w:type="page"/>
      </w:r>
    </w:p>
    <w:p>
      <w:pPr>
        <w:pStyle w:val="Heading2"/>
      </w:pPr>
      <w:r>
        <w:t>Overall Business Panel Ranking</w:t>
      </w:r>
    </w:p>
    <w:p>
      <w:pPr>
        <w:pStyle w:val="Heading3"/>
      </w:pPr>
      <w:r>
        <w:t>Expert Rankings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872"/>
            <w:shd w:fill="003B5C"/>
          </w:tcPr>
          <w:p>
            <w:r>
              <w:rPr>
                <w:rFonts w:ascii="Calibri" w:hAnsi="Calibri"/>
                <w:b/>
                <w:color w:val="FFFFFF"/>
                <w:sz w:val="18"/>
              </w:rPr>
              <w:t>Expert</w:t>
            </w:r>
          </w:p>
        </w:tc>
        <w:tc>
          <w:tcPr>
            <w:tcW w:type="dxa" w:w="2592"/>
            <w:shd w:fill="003B5C"/>
          </w:tcPr>
          <w:p>
            <w:r>
              <w:rPr>
                <w:rFonts w:ascii="Calibri" w:hAnsi="Calibri"/>
                <w:b/>
                <w:color w:val="FFFFFF"/>
                <w:sz w:val="18"/>
              </w:rPr>
              <w:t>Framework</w:t>
            </w:r>
          </w:p>
        </w:tc>
        <w:tc>
          <w:tcPr>
            <w:tcW w:type="dxa" w:w="2160"/>
            <w:shd w:fill="003B5C"/>
          </w:tcPr>
          <w:p>
            <w:r>
              <w:rPr>
                <w:rFonts w:ascii="Calibri" w:hAnsi="Calibri"/>
                <w:b/>
                <w:color w:val="FFFFFF"/>
                <w:sz w:val="18"/>
              </w:rPr>
              <w:t>#1</w:t>
            </w:r>
          </w:p>
        </w:tc>
        <w:tc>
          <w:tcPr>
            <w:tcW w:type="dxa" w:w="2160"/>
            <w:shd w:fill="003B5C"/>
          </w:tcPr>
          <w:p>
            <w:r>
              <w:rPr>
                <w:rFonts w:ascii="Calibri" w:hAnsi="Calibri"/>
                <w:b/>
                <w:color w:val="FFFFFF"/>
                <w:sz w:val="18"/>
              </w:rPr>
              <w:t>#2</w:t>
            </w:r>
          </w:p>
        </w:tc>
        <w:tc>
          <w:tcPr>
            <w:tcW w:type="dxa" w:w="2160"/>
            <w:shd w:fill="003B5C"/>
          </w:tcPr>
          <w:p>
            <w:r>
              <w:rPr>
                <w:rFonts w:ascii="Calibri" w:hAnsi="Calibri"/>
                <w:b/>
                <w:color w:val="FFFFFF"/>
                <w:sz w:val="18"/>
              </w:rPr>
              <w:t>#3</w:t>
            </w:r>
          </w:p>
        </w:tc>
        <w:tc>
          <w:tcPr>
            <w:tcW w:type="dxa" w:w="2160"/>
            <w:shd w:fill="003B5C"/>
          </w:tcPr>
          <w:p>
            <w:r>
              <w:rPr>
                <w:rFonts w:ascii="Calibri" w:hAnsi="Calibri"/>
                <w:b/>
                <w:color w:val="FFFFFF"/>
                <w:sz w:val="18"/>
              </w:rPr>
              <w:t>#4</w:t>
            </w:r>
          </w:p>
        </w:tc>
      </w:tr>
      <w:tr>
        <w:tc>
          <w:tcPr>
            <w:tcW w:type="dxa" w:w="1872"/>
          </w:tcPr>
          <w:p>
            <w:r>
              <w:rPr>
                <w:rFonts w:ascii="Calibri" w:hAnsi="Calibri"/>
                <w:sz w:val="18"/>
              </w:rPr>
              <w:t>Christensen</w:t>
            </w:r>
          </w:p>
        </w:tc>
        <w:tc>
          <w:tcPr>
            <w:tcW w:type="dxa" w:w="2592"/>
          </w:tcPr>
          <w:p>
            <w:r>
              <w:rPr>
                <w:rFonts w:ascii="Calibri" w:hAnsi="Calibri"/>
                <w:sz w:val="18"/>
              </w:rPr>
              <w:t>Disruption potential</w:t>
            </w:r>
          </w:p>
        </w:tc>
        <w:tc>
          <w:tcPr>
            <w:tcW w:type="dxa" w:w="2160"/>
          </w:tcPr>
          <w:p>
            <w:r>
              <w:rPr>
                <w:rFonts w:ascii="Calibri" w:hAnsi="Calibri"/>
                <w:sz w:val="18"/>
              </w:rPr>
              <w:t>Pay-by-Agent</w:t>
            </w:r>
          </w:p>
        </w:tc>
        <w:tc>
          <w:tcPr>
            <w:tcW w:type="dxa" w:w="2160"/>
          </w:tcPr>
          <w:p>
            <w:r>
              <w:rPr>
                <w:rFonts w:ascii="Calibri" w:hAnsi="Calibri"/>
                <w:sz w:val="18"/>
              </w:rPr>
              <w:t>Yield Sweep</w:t>
            </w:r>
          </w:p>
        </w:tc>
        <w:tc>
          <w:tcPr>
            <w:tcW w:type="dxa" w:w="2160"/>
          </w:tcPr>
          <w:p>
            <w:r>
              <w:rPr>
                <w:rFonts w:ascii="Calibri" w:hAnsi="Calibri"/>
                <w:sz w:val="18"/>
              </w:rPr>
              <w:t>Supplier Pay</w:t>
            </w:r>
          </w:p>
        </w:tc>
        <w:tc>
          <w:tcPr>
            <w:tcW w:type="dxa" w:w="2160"/>
          </w:tcPr>
          <w:p>
            <w:r>
              <w:rPr>
                <w:rFonts w:ascii="Calibri" w:hAnsi="Calibri"/>
                <w:sz w:val="18"/>
              </w:rPr>
              <w:t>Cross-Border</w:t>
            </w:r>
          </w:p>
        </w:tc>
      </w:tr>
      <w:tr>
        <w:tc>
          <w:tcPr>
            <w:tcW w:type="dxa" w:w="1872"/>
            <w:shd w:fill="F2F2F2"/>
          </w:tcPr>
          <w:p>
            <w:r>
              <w:rPr>
                <w:rFonts w:ascii="Calibri" w:hAnsi="Calibri"/>
                <w:sz w:val="18"/>
              </w:rPr>
              <w:t>Porter</w:t>
            </w:r>
          </w:p>
        </w:tc>
        <w:tc>
          <w:tcPr>
            <w:tcW w:type="dxa" w:w="2592"/>
            <w:shd w:fill="F2F2F2"/>
          </w:tcPr>
          <w:p>
            <w:r>
              <w:rPr>
                <w:rFonts w:ascii="Calibri" w:hAnsi="Calibri"/>
                <w:sz w:val="18"/>
              </w:rPr>
              <w:t>Competitive defensibility</w:t>
            </w:r>
          </w:p>
        </w:tc>
        <w:tc>
          <w:tcPr>
            <w:tcW w:type="dxa" w:w="2160"/>
            <w:shd w:fill="F2F2F2"/>
          </w:tcPr>
          <w:p>
            <w:r>
              <w:rPr>
                <w:rFonts w:ascii="Calibri" w:hAnsi="Calibri"/>
                <w:sz w:val="18"/>
              </w:rPr>
              <w:t>Yield Sweep</w:t>
            </w:r>
          </w:p>
        </w:tc>
        <w:tc>
          <w:tcPr>
            <w:tcW w:type="dxa" w:w="2160"/>
            <w:shd w:fill="F2F2F2"/>
          </w:tcPr>
          <w:p>
            <w:r>
              <w:rPr>
                <w:rFonts w:ascii="Calibri" w:hAnsi="Calibri"/>
                <w:sz w:val="18"/>
              </w:rPr>
              <w:t>Supplier Pay</w:t>
            </w:r>
          </w:p>
        </w:tc>
        <w:tc>
          <w:tcPr>
            <w:tcW w:type="dxa" w:w="2160"/>
            <w:shd w:fill="F2F2F2"/>
          </w:tcPr>
          <w:p>
            <w:r>
              <w:rPr>
                <w:rFonts w:ascii="Calibri" w:hAnsi="Calibri"/>
                <w:sz w:val="18"/>
              </w:rPr>
              <w:t>Cross-Border</w:t>
            </w:r>
          </w:p>
        </w:tc>
        <w:tc>
          <w:tcPr>
            <w:tcW w:type="dxa" w:w="2160"/>
            <w:shd w:fill="F2F2F2"/>
          </w:tcPr>
          <w:p>
            <w:r>
              <w:rPr>
                <w:rFonts w:ascii="Calibri" w:hAnsi="Calibri"/>
                <w:sz w:val="18"/>
              </w:rPr>
              <w:t>Pay-by-Agent</w:t>
            </w:r>
          </w:p>
        </w:tc>
      </w:tr>
      <w:tr>
        <w:tc>
          <w:tcPr>
            <w:tcW w:type="dxa" w:w="1872"/>
          </w:tcPr>
          <w:p>
            <w:r>
              <w:rPr>
                <w:rFonts w:ascii="Calibri" w:hAnsi="Calibri"/>
                <w:sz w:val="18"/>
              </w:rPr>
              <w:t>Drucker</w:t>
            </w:r>
          </w:p>
        </w:tc>
        <w:tc>
          <w:tcPr>
            <w:tcW w:type="dxa" w:w="2592"/>
          </w:tcPr>
          <w:p>
            <w:r>
              <w:rPr>
                <w:rFonts w:ascii="Calibri" w:hAnsi="Calibri"/>
                <w:sz w:val="18"/>
              </w:rPr>
              <w:t>Organizational feasibility</w:t>
            </w:r>
          </w:p>
        </w:tc>
        <w:tc>
          <w:tcPr>
            <w:tcW w:type="dxa" w:w="2160"/>
          </w:tcPr>
          <w:p>
            <w:r>
              <w:rPr>
                <w:rFonts w:ascii="Calibri" w:hAnsi="Calibri"/>
                <w:sz w:val="18"/>
              </w:rPr>
              <w:t>Yield Sweep</w:t>
            </w:r>
          </w:p>
        </w:tc>
        <w:tc>
          <w:tcPr>
            <w:tcW w:type="dxa" w:w="2160"/>
          </w:tcPr>
          <w:p>
            <w:r>
              <w:rPr>
                <w:rFonts w:ascii="Calibri" w:hAnsi="Calibri"/>
                <w:sz w:val="18"/>
              </w:rPr>
              <w:t>Cross-Border</w:t>
            </w:r>
          </w:p>
        </w:tc>
        <w:tc>
          <w:tcPr>
            <w:tcW w:type="dxa" w:w="2160"/>
          </w:tcPr>
          <w:p>
            <w:r>
              <w:rPr>
                <w:rFonts w:ascii="Calibri" w:hAnsi="Calibri"/>
                <w:sz w:val="18"/>
              </w:rPr>
              <w:t>Supplier Pay</w:t>
            </w:r>
          </w:p>
        </w:tc>
        <w:tc>
          <w:tcPr>
            <w:tcW w:type="dxa" w:w="2160"/>
          </w:tcPr>
          <w:p>
            <w:r>
              <w:rPr>
                <w:rFonts w:ascii="Calibri" w:hAnsi="Calibri"/>
                <w:sz w:val="18"/>
              </w:rPr>
              <w:t>Pay-by-Agent</w:t>
            </w:r>
          </w:p>
        </w:tc>
      </w:tr>
      <w:tr>
        <w:tc>
          <w:tcPr>
            <w:tcW w:type="dxa" w:w="1872"/>
            <w:shd w:fill="F2F2F2"/>
          </w:tcPr>
          <w:p>
            <w:r>
              <w:rPr>
                <w:rFonts w:ascii="Calibri" w:hAnsi="Calibri"/>
                <w:sz w:val="18"/>
              </w:rPr>
              <w:t>Taleb</w:t>
            </w:r>
          </w:p>
        </w:tc>
        <w:tc>
          <w:tcPr>
            <w:tcW w:type="dxa" w:w="2592"/>
            <w:shd w:fill="F2F2F2"/>
          </w:tcPr>
          <w:p>
            <w:r>
              <w:rPr>
                <w:rFonts w:ascii="Calibri" w:hAnsi="Calibri"/>
                <w:sz w:val="18"/>
              </w:rPr>
              <w:t>Risk-adjusted return</w:t>
            </w:r>
          </w:p>
        </w:tc>
        <w:tc>
          <w:tcPr>
            <w:tcW w:type="dxa" w:w="2160"/>
            <w:shd w:fill="F2F2F2"/>
          </w:tcPr>
          <w:p>
            <w:r>
              <w:rPr>
                <w:rFonts w:ascii="Calibri" w:hAnsi="Calibri"/>
                <w:sz w:val="18"/>
              </w:rPr>
              <w:t>Cross-Border</w:t>
            </w:r>
          </w:p>
        </w:tc>
        <w:tc>
          <w:tcPr>
            <w:tcW w:type="dxa" w:w="2160"/>
            <w:shd w:fill="F2F2F2"/>
          </w:tcPr>
          <w:p>
            <w:r>
              <w:rPr>
                <w:rFonts w:ascii="Calibri" w:hAnsi="Calibri"/>
                <w:sz w:val="18"/>
              </w:rPr>
              <w:t>Yield Sweep</w:t>
            </w:r>
          </w:p>
        </w:tc>
        <w:tc>
          <w:tcPr>
            <w:tcW w:type="dxa" w:w="2160"/>
            <w:shd w:fill="F2F2F2"/>
          </w:tcPr>
          <w:p>
            <w:r>
              <w:rPr>
                <w:rFonts w:ascii="Calibri" w:hAnsi="Calibri"/>
                <w:sz w:val="18"/>
              </w:rPr>
              <w:t>Supplier Pay</w:t>
            </w:r>
          </w:p>
        </w:tc>
        <w:tc>
          <w:tcPr>
            <w:tcW w:type="dxa" w:w="2160"/>
            <w:shd w:fill="F2F2F2"/>
          </w:tcPr>
          <w:p>
            <w:r>
              <w:rPr>
                <w:rFonts w:ascii="Calibri" w:hAnsi="Calibri"/>
                <w:sz w:val="18"/>
              </w:rPr>
              <w:t>Pay-by-Agent</w:t>
            </w:r>
          </w:p>
        </w:tc>
      </w:tr>
      <w:tr>
        <w:tc>
          <w:tcPr>
            <w:tcW w:type="dxa" w:w="1872"/>
          </w:tcPr>
          <w:p>
            <w:r>
              <w:rPr>
                <w:rFonts w:ascii="Calibri" w:hAnsi="Calibri"/>
                <w:sz w:val="18"/>
              </w:rPr>
              <w:t>Godin</w:t>
            </w:r>
          </w:p>
        </w:tc>
        <w:tc>
          <w:tcPr>
            <w:tcW w:type="dxa" w:w="2592"/>
          </w:tcPr>
          <w:p>
            <w:r>
              <w:rPr>
                <w:rFonts w:ascii="Calibri" w:hAnsi="Calibri"/>
                <w:sz w:val="18"/>
              </w:rPr>
              <w:t>Investor Day impact</w:t>
            </w:r>
          </w:p>
        </w:tc>
        <w:tc>
          <w:tcPr>
            <w:tcW w:type="dxa" w:w="2160"/>
          </w:tcPr>
          <w:p>
            <w:r>
              <w:rPr>
                <w:rFonts w:ascii="Calibri" w:hAnsi="Calibri"/>
                <w:sz w:val="18"/>
              </w:rPr>
              <w:t>Pay-by-Agent</w:t>
            </w:r>
          </w:p>
        </w:tc>
        <w:tc>
          <w:tcPr>
            <w:tcW w:type="dxa" w:w="2160"/>
          </w:tcPr>
          <w:p>
            <w:r>
              <w:rPr>
                <w:rFonts w:ascii="Calibri" w:hAnsi="Calibri"/>
                <w:sz w:val="18"/>
              </w:rPr>
              <w:t>Yield Sweep</w:t>
            </w:r>
          </w:p>
        </w:tc>
        <w:tc>
          <w:tcPr>
            <w:tcW w:type="dxa" w:w="2160"/>
          </w:tcPr>
          <w:p>
            <w:r>
              <w:rPr>
                <w:rFonts w:ascii="Calibri" w:hAnsi="Calibri"/>
                <w:sz w:val="18"/>
              </w:rPr>
              <w:t>Cross-Border</w:t>
            </w:r>
          </w:p>
        </w:tc>
        <w:tc>
          <w:tcPr>
            <w:tcW w:type="dxa" w:w="2160"/>
          </w:tcPr>
          <w:p>
            <w:r>
              <w:rPr>
                <w:rFonts w:ascii="Calibri" w:hAnsi="Calibri"/>
                <w:sz w:val="18"/>
              </w:rPr>
              <w:t>Supplier Pay</w:t>
            </w:r>
          </w:p>
        </w:tc>
      </w:tr>
      <w:tr>
        <w:tc>
          <w:tcPr>
            <w:tcW w:type="dxa" w:w="1872"/>
            <w:shd w:fill="F2F2F2"/>
          </w:tcPr>
          <w:p>
            <w:r>
              <w:rPr>
                <w:rFonts w:ascii="Calibri" w:hAnsi="Calibri"/>
                <w:sz w:val="18"/>
              </w:rPr>
              <w:t>Collins</w:t>
            </w:r>
          </w:p>
        </w:tc>
        <w:tc>
          <w:tcPr>
            <w:tcW w:type="dxa" w:w="2592"/>
            <w:shd w:fill="F2F2F2"/>
          </w:tcPr>
          <w:p>
            <w:r>
              <w:rPr>
                <w:rFonts w:ascii="Calibri" w:hAnsi="Calibri"/>
                <w:sz w:val="18"/>
              </w:rPr>
              <w:t>Flywheel strength</w:t>
            </w:r>
          </w:p>
        </w:tc>
        <w:tc>
          <w:tcPr>
            <w:tcW w:type="dxa" w:w="2160"/>
            <w:shd w:fill="F2F2F2"/>
          </w:tcPr>
          <w:p>
            <w:r>
              <w:rPr>
                <w:rFonts w:ascii="Calibri" w:hAnsi="Calibri"/>
                <w:sz w:val="18"/>
              </w:rPr>
              <w:t>Yield Sweep</w:t>
            </w:r>
          </w:p>
        </w:tc>
        <w:tc>
          <w:tcPr>
            <w:tcW w:type="dxa" w:w="2160"/>
            <w:shd w:fill="F2F2F2"/>
          </w:tcPr>
          <w:p>
            <w:r>
              <w:rPr>
                <w:rFonts w:ascii="Calibri" w:hAnsi="Calibri"/>
                <w:sz w:val="18"/>
              </w:rPr>
              <w:t>Pay-by-Agent</w:t>
            </w:r>
          </w:p>
        </w:tc>
        <w:tc>
          <w:tcPr>
            <w:tcW w:type="dxa" w:w="2160"/>
            <w:shd w:fill="F2F2F2"/>
          </w:tcPr>
          <w:p>
            <w:r>
              <w:rPr>
                <w:rFonts w:ascii="Calibri" w:hAnsi="Calibri"/>
                <w:sz w:val="18"/>
              </w:rPr>
              <w:t>Cross-Border</w:t>
            </w:r>
          </w:p>
        </w:tc>
        <w:tc>
          <w:tcPr>
            <w:tcW w:type="dxa" w:w="2160"/>
            <w:shd w:fill="F2F2F2"/>
          </w:tcPr>
          <w:p>
            <w:r>
              <w:rPr>
                <w:rFonts w:ascii="Calibri" w:hAnsi="Calibri"/>
                <w:sz w:val="18"/>
              </w:rPr>
              <w:t>Supplier Pay</w:t>
            </w:r>
          </w:p>
        </w:tc>
      </w:tr>
      <w:tr>
        <w:tc>
          <w:tcPr>
            <w:tcW w:type="dxa" w:w="1872"/>
          </w:tcPr>
          <w:p>
            <w:r>
              <w:rPr>
                <w:rFonts w:ascii="Calibri" w:hAnsi="Calibri"/>
                <w:sz w:val="18"/>
              </w:rPr>
              <w:t>Meadows</w:t>
            </w:r>
          </w:p>
        </w:tc>
        <w:tc>
          <w:tcPr>
            <w:tcW w:type="dxa" w:w="2592"/>
          </w:tcPr>
          <w:p>
            <w:r>
              <w:rPr>
                <w:rFonts w:ascii="Calibri" w:hAnsi="Calibri"/>
                <w:sz w:val="18"/>
              </w:rPr>
              <w:t>System leverage</w:t>
            </w:r>
          </w:p>
        </w:tc>
        <w:tc>
          <w:tcPr>
            <w:tcW w:type="dxa" w:w="2160"/>
          </w:tcPr>
          <w:p>
            <w:r>
              <w:rPr>
                <w:rFonts w:ascii="Calibri" w:hAnsi="Calibri"/>
                <w:sz w:val="18"/>
              </w:rPr>
              <w:t>Pay-by-Agent</w:t>
            </w:r>
          </w:p>
        </w:tc>
        <w:tc>
          <w:tcPr>
            <w:tcW w:type="dxa" w:w="2160"/>
          </w:tcPr>
          <w:p>
            <w:r>
              <w:rPr>
                <w:rFonts w:ascii="Calibri" w:hAnsi="Calibri"/>
                <w:sz w:val="18"/>
              </w:rPr>
              <w:t>Cross-Border</w:t>
            </w:r>
          </w:p>
        </w:tc>
        <w:tc>
          <w:tcPr>
            <w:tcW w:type="dxa" w:w="2160"/>
          </w:tcPr>
          <w:p>
            <w:r>
              <w:rPr>
                <w:rFonts w:ascii="Calibri" w:hAnsi="Calibri"/>
                <w:sz w:val="18"/>
              </w:rPr>
              <w:t>Yield Sweep</w:t>
            </w:r>
          </w:p>
        </w:tc>
        <w:tc>
          <w:tcPr>
            <w:tcW w:type="dxa" w:w="2160"/>
          </w:tcPr>
          <w:p>
            <w:r>
              <w:rPr>
                <w:rFonts w:ascii="Calibri" w:hAnsi="Calibri"/>
                <w:sz w:val="18"/>
              </w:rPr>
              <w:t>Supplier Pay</w:t>
            </w:r>
          </w:p>
        </w:tc>
      </w:tr>
    </w:tbl>
    <w:p/>
    <w:p>
      <w:pPr>
        <w:pStyle w:val="Heading3"/>
      </w:pPr>
      <w:r>
        <w:t>Consensus Ranking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720"/>
            <w:shd w:fill="003B5C"/>
          </w:tcPr>
          <w:p>
            <w:r>
              <w:rPr>
                <w:rFonts w:ascii="Calibri" w:hAnsi="Calibri"/>
                <w:b/>
                <w:color w:val="FFFFFF"/>
                <w:sz w:val="18"/>
              </w:rPr>
              <w:t>Rank</w:t>
            </w:r>
          </w:p>
        </w:tc>
        <w:tc>
          <w:tcPr>
            <w:tcW w:type="dxa" w:w="3600"/>
            <w:shd w:fill="003B5C"/>
          </w:tcPr>
          <w:p>
            <w:r>
              <w:rPr>
                <w:rFonts w:ascii="Calibri" w:hAnsi="Calibri"/>
                <w:b/>
                <w:color w:val="FFFFFF"/>
                <w:sz w:val="18"/>
              </w:rPr>
              <w:t>Idea</w:t>
            </w:r>
          </w:p>
        </w:tc>
        <w:tc>
          <w:tcPr>
            <w:tcW w:type="dxa" w:w="1008"/>
            <w:shd w:fill="003B5C"/>
          </w:tcPr>
          <w:p>
            <w:r>
              <w:rPr>
                <w:rFonts w:ascii="Calibri" w:hAnsi="Calibri"/>
                <w:b/>
                <w:color w:val="FFFFFF"/>
                <w:sz w:val="18"/>
              </w:rPr>
              <w:t>Score</w:t>
            </w:r>
          </w:p>
        </w:tc>
        <w:tc>
          <w:tcPr>
            <w:tcW w:type="dxa" w:w="5040"/>
            <w:shd w:fill="003B5C"/>
          </w:tcPr>
          <w:p>
            <w:r>
              <w:rPr>
                <w:rFonts w:ascii="Calibri" w:hAnsi="Calibri"/>
                <w:b/>
                <w:color w:val="FFFFFF"/>
                <w:sz w:val="18"/>
              </w:rPr>
              <w:t>Investor Day Role</w:t>
            </w:r>
          </w:p>
        </w:tc>
      </w:tr>
      <w:tr>
        <w:tc>
          <w:tcPr>
            <w:tcW w:type="dxa" w:w="720"/>
          </w:tcPr>
          <w:p>
            <w:r>
              <w:rPr>
                <w:rFonts w:ascii="Calibri" w:hAnsi="Calibri"/>
                <w:sz w:val="18"/>
              </w:rPr>
              <w:t>1</w:t>
            </w:r>
          </w:p>
        </w:tc>
        <w:tc>
          <w:tcPr>
            <w:tcW w:type="dxa" w:w="3600"/>
          </w:tcPr>
          <w:p>
            <w:r>
              <w:rPr>
                <w:rFonts w:ascii="Calibri" w:hAnsi="Calibri"/>
                <w:sz w:val="18"/>
              </w:rPr>
              <w:t>Merchant Yield Sweep</w:t>
            </w:r>
          </w:p>
        </w:tc>
        <w:tc>
          <w:tcPr>
            <w:tcW w:type="dxa" w:w="1008"/>
          </w:tcPr>
          <w:p>
            <w:r>
              <w:rPr>
                <w:rFonts w:ascii="Calibri" w:hAnsi="Calibri"/>
                <w:sz w:val="18"/>
              </w:rPr>
              <w:t>9/10</w:t>
            </w:r>
          </w:p>
        </w:tc>
        <w:tc>
          <w:tcPr>
            <w:tcW w:type="dxa" w:w="5040"/>
          </w:tcPr>
          <w:p>
            <w:r>
              <w:rPr>
                <w:rFonts w:ascii="Calibri" w:hAnsi="Calibri"/>
                <w:sz w:val="18"/>
              </w:rPr>
              <w:t>LEAD DEMO -- immediate, tangible merchant value</w:t>
            </w:r>
          </w:p>
        </w:tc>
      </w:tr>
      <w:tr>
        <w:tc>
          <w:tcPr>
            <w:tcW w:type="dxa" w:w="720"/>
            <w:shd w:fill="F2F2F2"/>
          </w:tcPr>
          <w:p>
            <w:r>
              <w:rPr>
                <w:rFonts w:ascii="Calibri" w:hAnsi="Calibri"/>
                <w:sz w:val="18"/>
              </w:rPr>
              <w:t>2</w:t>
            </w:r>
          </w:p>
        </w:tc>
        <w:tc>
          <w:tcPr>
            <w:tcW w:type="dxa" w:w="3600"/>
            <w:shd w:fill="F2F2F2"/>
          </w:tcPr>
          <w:p>
            <w:r>
              <w:rPr>
                <w:rFonts w:ascii="Calibri" w:hAnsi="Calibri"/>
                <w:sz w:val="18"/>
              </w:rPr>
              <w:t>Pay-by-Agent x402</w:t>
            </w:r>
          </w:p>
        </w:tc>
        <w:tc>
          <w:tcPr>
            <w:tcW w:type="dxa" w:w="1008"/>
            <w:shd w:fill="F2F2F2"/>
          </w:tcPr>
          <w:p>
            <w:r>
              <w:rPr>
                <w:rFonts w:ascii="Calibri" w:hAnsi="Calibri"/>
                <w:sz w:val="18"/>
              </w:rPr>
              <w:t>10/10</w:t>
            </w:r>
          </w:p>
        </w:tc>
        <w:tc>
          <w:tcPr>
            <w:tcW w:type="dxa" w:w="5040"/>
            <w:shd w:fill="F2F2F2"/>
          </w:tcPr>
          <w:p>
            <w:r>
              <w:rPr>
                <w:rFonts w:ascii="Calibri" w:hAnsi="Calibri"/>
                <w:sz w:val="18"/>
              </w:rPr>
              <w:t>VISIONARY DEMO -- future of commerce</w:t>
            </w:r>
          </w:p>
        </w:tc>
      </w:tr>
      <w:tr>
        <w:tc>
          <w:tcPr>
            <w:tcW w:type="dxa" w:w="720"/>
          </w:tcPr>
          <w:p>
            <w:r>
              <w:rPr>
                <w:rFonts w:ascii="Calibri" w:hAnsi="Calibri"/>
                <w:sz w:val="18"/>
              </w:rPr>
              <w:t>3</w:t>
            </w:r>
          </w:p>
        </w:tc>
        <w:tc>
          <w:tcPr>
            <w:tcW w:type="dxa" w:w="3600"/>
          </w:tcPr>
          <w:p>
            <w:r>
              <w:rPr>
                <w:rFonts w:ascii="Calibri" w:hAnsi="Calibri"/>
                <w:sz w:val="18"/>
              </w:rPr>
              <w:t>Cross-Border Settlement</w:t>
            </w:r>
          </w:p>
        </w:tc>
        <w:tc>
          <w:tcPr>
            <w:tcW w:type="dxa" w:w="1008"/>
          </w:tcPr>
          <w:p>
            <w:r>
              <w:rPr>
                <w:rFonts w:ascii="Calibri" w:hAnsi="Calibri"/>
                <w:sz w:val="18"/>
              </w:rPr>
              <w:t>8/10</w:t>
            </w:r>
          </w:p>
        </w:tc>
        <w:tc>
          <w:tcPr>
            <w:tcW w:type="dxa" w:w="5040"/>
          </w:tcPr>
          <w:p>
            <w:r>
              <w:rPr>
                <w:rFonts w:ascii="Calibri" w:hAnsi="Calibri"/>
                <w:sz w:val="18"/>
              </w:rPr>
              <w:t>SCALE DEMO -- massive TAM, clear cost savings</w:t>
            </w:r>
          </w:p>
        </w:tc>
      </w:tr>
      <w:tr>
        <w:tc>
          <w:tcPr>
            <w:tcW w:type="dxa" w:w="720"/>
            <w:shd w:fill="F2F2F2"/>
          </w:tcPr>
          <w:p>
            <w:r>
              <w:rPr>
                <w:rFonts w:ascii="Calibri" w:hAnsi="Calibri"/>
                <w:sz w:val="18"/>
              </w:rPr>
              <w:t>4</w:t>
            </w:r>
          </w:p>
        </w:tc>
        <w:tc>
          <w:tcPr>
            <w:tcW w:type="dxa" w:w="3600"/>
            <w:shd w:fill="F2F2F2"/>
          </w:tcPr>
          <w:p>
            <w:r>
              <w:rPr>
                <w:rFonts w:ascii="Calibri" w:hAnsi="Calibri"/>
                <w:sz w:val="18"/>
              </w:rPr>
              <w:t>Instant Supplier Pay</w:t>
            </w:r>
          </w:p>
        </w:tc>
        <w:tc>
          <w:tcPr>
            <w:tcW w:type="dxa" w:w="1008"/>
            <w:shd w:fill="F2F2F2"/>
          </w:tcPr>
          <w:p>
            <w:r>
              <w:rPr>
                <w:rFonts w:ascii="Calibri" w:hAnsi="Calibri"/>
                <w:sz w:val="18"/>
              </w:rPr>
              <w:t>7/10</w:t>
            </w:r>
          </w:p>
        </w:tc>
        <w:tc>
          <w:tcPr>
            <w:tcW w:type="dxa" w:w="5040"/>
            <w:shd w:fill="F2F2F2"/>
          </w:tcPr>
          <w:p>
            <w:r>
              <w:rPr>
                <w:rFonts w:ascii="Calibri" w:hAnsi="Calibri"/>
                <w:sz w:val="18"/>
              </w:rPr>
              <w:t>SUPPORTING DEMO -- platform versatility</w:t>
            </w:r>
          </w:p>
        </w:tc>
      </w:tr>
    </w:tbl>
    <w:p/>
    <w:p>
      <w:pPr>
        <w:spacing w:after="120"/>
      </w:pPr>
      <w:r>
        <w:rPr>
          <w:rFonts w:ascii="Calibri" w:hAnsi="Calibri"/>
          <w:b/>
          <w:color w:val="FF6600"/>
        </w:rPr>
        <w:t>All experts agree: Build all 4. Together they tell a story no single idea tells alone. Yield Sweep proves immediate value. Pay-by-Agent proves visionary positioning. Cross-Border proves massive TAM. Supplier Pay proves B2B versatility. Remove any one and the Investor Day narrative weakens.</w:t>
      </w:r>
    </w:p>
    <w:p>
      <w:pPr>
        <w:pStyle w:val="Heading3"/>
      </w:pPr>
      <w:r>
        <w:t>Panel Consensus Recommendations</w:t>
      </w:r>
    </w:p>
    <w:p>
      <w:pPr>
        <w:pStyle w:val="ListBullet"/>
      </w:pPr>
      <w:r>
        <w:rPr>
          <w:rFonts w:ascii="Calibri" w:hAnsi="Calibri"/>
          <w:sz w:val="20"/>
        </w:rPr>
        <w:t>Yield Sweep: Clarify yield source. Implement 4 safeguards (hard floor, instant override, Fiserv backstop, gradual ramp). Rename to "SmartCash." Appoint single cross-BU P&amp;L owner.</w:t>
      </w:r>
    </w:p>
    <w:p>
      <w:pPr>
        <w:pStyle w:val="ListBullet"/>
      </w:pPr>
      <w:r>
        <w:rPr>
          <w:rFonts w:ascii="Calibri" w:hAnsi="Calibri"/>
          <w:sz w:val="20"/>
        </w:rPr>
        <w:t>Pay-by-Agent: Make protocol-agnostic (x402 + MPP + AP2). Rename to "Fiserv AgentCheckout." Explore AI lab partnership. Don't promise near-term revenue -- position as infrastructure bet.</w:t>
      </w:r>
    </w:p>
    <w:p>
      <w:pPr>
        <w:pStyle w:val="ListBullet"/>
      </w:pPr>
      <w:r>
        <w:rPr>
          <w:rFonts w:ascii="Calibri" w:hAnsi="Calibri"/>
          <w:sz w:val="20"/>
        </w:rPr>
        <w:t>Supplier Pay: Validate distributor willingness (call Sysco/US Foods). Model interchange cannibalization explicitly. Position as "first vertical application of stablecoin infrastructure."</w:t>
      </w:r>
    </w:p>
    <w:p>
      <w:pPr>
        <w:pStyle w:val="ListBullet"/>
      </w:pPr>
      <w:r>
        <w:rPr>
          <w:rFonts w:ascii="Calibri" w:hAnsi="Calibri"/>
          <w:sz w:val="20"/>
        </w:rPr>
        <w:t>Cross-Border: Validate regulatory posture with legal. Make stablecoin routing invisible (automatic, not opt-in). Use $6.3T e-commerce TAM, not $190T total.</w:t>
      </w:r>
    </w:p>
    <w:p>
      <w:pPr>
        <w:pStyle w:val="ListBullet"/>
      </w:pPr>
      <w:r>
        <w:rPr>
          <w:rFonts w:ascii="Calibri" w:hAnsi="Calibri"/>
          <w:sz w:val="20"/>
        </w:rPr>
        <w:t>Investor Day Flow: Lead with Yield Sweep (immediate value) -&gt; Pay-by-Agent (visionary) -&gt; Supplier Pay + Cross-Border combined (platform scale). Arc: "value today, future of commerce, massive TAM."</w:t>
      </w:r>
    </w:p>
    <w:p>
      <w:r>
        <w:br w:type="page"/>
      </w:r>
    </w:p>
    <w:p>
      <w:pPr>
        <w:pStyle w:val="Heading1"/>
      </w:pPr>
      <w:r>
        <w:t>Section 2: Technical Specification Panel Review</w:t>
      </w:r>
    </w:p>
    <w:p>
      <w:pPr>
        <w:spacing w:after="120"/>
      </w:pPr>
      <w:r>
        <w:rPr>
          <w:rFonts w:ascii="Calibri" w:hAnsi="Calibri"/>
          <w:b/>
          <w:color w:val="FF6600"/>
        </w:rPr>
        <w:t>Mode: CRITIQUE  |  Focus: Architecture + Testing + Reliability</w:t>
      </w:r>
    </w:p>
    <w:p>
      <w:pPr>
        <w:spacing w:after="120"/>
      </w:pPr>
      <w:r>
        <w:rPr>
          <w:rFonts w:ascii="Calibri" w:hAnsi="Calibri"/>
        </w:rPr>
        <w:t>Experts: Martin Fowler (Architecture), Michael Nygard (Production Reliability), Sam Newman (Distributed Systems), Karl Wiegers (Requirements), Gojko Adzic (Specification by Example), Lisa Crispin (Testing), Kelsey Hightower (Cloud/Operations), Gregor Hohpe (Integration Patterns)</w:t>
      </w:r>
    </w:p>
    <w:p>
      <w:r>
        <w:br w:type="page"/>
      </w:r>
    </w:p>
    <w:p>
      <w:pPr>
        <w:pStyle w:val="Heading2"/>
      </w:pPr>
      <w:r>
        <w:t>Prototype 1: Merchant Yield Sweep -- Technical Review</w:t>
      </w:r>
    </w:p>
    <w:p>
      <w:pPr>
        <w:pStyle w:val="Heading3"/>
      </w:pPr>
      <w:r>
        <w:t>Architecture Assessment</w:t>
      </w:r>
    </w:p>
    <w:p>
      <w:pPr>
        <w:spacing w:after="40"/>
      </w:pPr>
      <w:r>
        <w:rPr>
          <w:rFonts w:ascii="Calibri" w:hAnsi="Calibri"/>
          <w:b/>
          <w:color w:val="003B5C"/>
          <w:sz w:val="22"/>
        </w:rPr>
        <w:t>Martin Fowler</w:t>
      </w:r>
      <w:r>
        <w:rPr>
          <w:rFonts w:ascii="Calibri" w:hAnsi="Calibri"/>
          <w:color w:val="666666"/>
          <w:sz w:val="22"/>
        </w:rPr>
        <w:t xml:space="preserve"> (Architecture):</w:t>
      </w:r>
    </w:p>
    <w:p>
      <w:pPr>
        <w:spacing w:after="200"/>
      </w:pPr>
      <w:r>
        <w:rPr>
          <w:rFonts w:ascii="Calibri" w:hAnsi="Calibri"/>
          <w:sz w:val="20"/>
        </w:rPr>
        <w:t>Architecture is clean pipeline: data ingestion -&gt; prediction -&gt; action -&gt; settlement. Three concerns: (1) Tight coupling between prediction and execution. Need a DECISION GATE between predictor and Finxact executor -- a separate service that validates safeguards before money moves. (2) Cron-based scheduling is fragile for demo -- add a /sweeps/evaluate endpoint for on-demand triggering. (3) PostgreSQL schema must be designed in week 1. Recommended 6 entities: merchants, transactions, predictions, sweep_decisions, sweep_executions, yield_accruals.</w:t>
      </w:r>
    </w:p>
    <w:p>
      <w:pPr>
        <w:spacing w:after="40"/>
      </w:pPr>
      <w:r>
        <w:rPr>
          <w:rFonts w:ascii="Calibri" w:hAnsi="Calibri"/>
          <w:b/>
          <w:color w:val="003B5C"/>
          <w:sz w:val="22"/>
        </w:rPr>
        <w:t>Michael Nygard</w:t>
      </w:r>
      <w:r>
        <w:rPr>
          <w:rFonts w:ascii="Calibri" w:hAnsi="Calibri"/>
          <w:color w:val="666666"/>
          <w:sz w:val="22"/>
        </w:rPr>
        <w:t xml:space="preserve"> (Production Reliability):</w:t>
      </w:r>
    </w:p>
    <w:p>
      <w:pPr>
        <w:spacing w:after="200"/>
      </w:pPr>
      <w:r>
        <w:rPr>
          <w:rFonts w:ascii="Calibri" w:hAnsi="Calibri"/>
          <w:sz w:val="20"/>
        </w:rPr>
        <w:t>#1 demo risk: Finxact API call fails during live demo. Sandboxes have lower SLAs. CRITICAL: Build a "demo mode" toggle. When enabled, uses pre-computed predictions and pre-approved sweep decisions for the demo merchant. Real API calls still execute underneath, but if anything fails, seamlessly falls back to pre-computed path. Audience never sees the difference. Also pre-validate all demo accounts before going on stage.</w:t>
      </w:r>
    </w:p>
    <w:p>
      <w:pPr>
        <w:spacing w:after="40"/>
      </w:pPr>
      <w:r>
        <w:rPr>
          <w:rFonts w:ascii="Calibri" w:hAnsi="Calibri"/>
          <w:b/>
          <w:color w:val="003B5C"/>
          <w:sz w:val="22"/>
        </w:rPr>
        <w:t>Sam Newman</w:t>
      </w:r>
      <w:r>
        <w:rPr>
          <w:rFonts w:ascii="Calibri" w:hAnsi="Calibri"/>
          <w:color w:val="666666"/>
          <w:sz w:val="22"/>
        </w:rPr>
        <w:t xml:space="preserve"> (Distributed Systems):</w:t>
      </w:r>
    </w:p>
    <w:p>
      <w:pPr>
        <w:spacing w:after="200"/>
      </w:pPr>
      <w:r>
        <w:rPr>
          <w:rFonts w:ascii="Calibri" w:hAnsi="Calibri"/>
          <w:sz w:val="20"/>
        </w:rPr>
        <w:t>Don't use real CommerceHub webhooks for the prototype. Build a simulated settlement event generator that produces realistic transaction data. Removes dependency on CommerceHub sandbox availability and gives full control over demo data.</w:t>
      </w:r>
    </w:p>
    <w:p>
      <w:pPr>
        <w:spacing w:after="40"/>
      </w:pPr>
      <w:r>
        <w:rPr>
          <w:rFonts w:ascii="Calibri" w:hAnsi="Calibri"/>
          <w:b/>
          <w:color w:val="003B5C"/>
          <w:sz w:val="22"/>
        </w:rPr>
        <w:t>Lisa Crispin</w:t>
      </w:r>
      <w:r>
        <w:rPr>
          <w:rFonts w:ascii="Calibri" w:hAnsi="Calibri"/>
          <w:color w:val="666666"/>
          <w:sz w:val="22"/>
        </w:rPr>
        <w:t xml:space="preserve"> (Testing):</w:t>
      </w:r>
    </w:p>
    <w:p>
      <w:pPr>
        <w:spacing w:after="200"/>
      </w:pPr>
      <w:r>
        <w:rPr>
          <w:rFonts w:ascii="Calibri" w:hAnsi="Calibri"/>
          <w:sz w:val="20"/>
        </w:rPr>
        <w:t>Testing priorities: Week 3-4: Integration tests for Finxact API calls. Week 5: End-to-end demo rehearsal (run 10 times, fix every failure). Week 6: Chaos testing -- kill Finxact connection mid-sweep, kill PostgreSQL, verify demo mode fallback works.</w:t>
      </w:r>
    </w:p>
    <w:p>
      <w:pPr>
        <w:pStyle w:val="Heading3"/>
      </w:pPr>
      <w:r>
        <w:t>Feasibility &amp; Score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3B5C"/>
          </w:tcPr>
          <w:p>
            <w:r>
              <w:rPr>
                <w:rFonts w:ascii="Calibri" w:hAnsi="Calibri"/>
                <w:b/>
                <w:color w:val="FFFFFF"/>
                <w:sz w:val="18"/>
              </w:rPr>
              <w:t>Component</w:t>
            </w:r>
          </w:p>
        </w:tc>
        <w:tc>
          <w:tcPr>
            <w:tcW w:type="dxa" w:w="2160"/>
            <w:shd w:fill="003B5C"/>
          </w:tcPr>
          <w:p>
            <w:r>
              <w:rPr>
                <w:rFonts w:ascii="Calibri" w:hAnsi="Calibri"/>
                <w:b/>
                <w:color w:val="FFFFFF"/>
                <w:sz w:val="18"/>
              </w:rPr>
              <w:t>Complexity</w:t>
            </w:r>
          </w:p>
        </w:tc>
        <w:tc>
          <w:tcPr>
            <w:tcW w:type="dxa" w:w="2160"/>
            <w:shd w:fill="003B5C"/>
          </w:tcPr>
          <w:p>
            <w:r>
              <w:rPr>
                <w:rFonts w:ascii="Calibri" w:hAnsi="Calibri"/>
                <w:b/>
                <w:color w:val="FFFFFF"/>
                <w:sz w:val="18"/>
              </w:rPr>
              <w:t>Risk</w:t>
            </w:r>
          </w:p>
        </w:tc>
        <w:tc>
          <w:tcPr>
            <w:tcW w:type="dxa" w:w="2160"/>
            <w:shd w:fill="003B5C"/>
          </w:tcPr>
          <w:p>
            <w:r>
              <w:rPr>
                <w:rFonts w:ascii="Calibri" w:hAnsi="Calibri"/>
                <w:b/>
                <w:color w:val="FFFFFF"/>
                <w:sz w:val="18"/>
              </w:rPr>
              <w:t>Weeks</w:t>
            </w:r>
          </w:p>
        </w:tc>
      </w:tr>
      <w:tr>
        <w:tc>
          <w:tcPr>
            <w:tcW w:type="dxa" w:w="2160"/>
          </w:tcPr>
          <w:p>
            <w:r>
              <w:rPr>
                <w:rFonts w:ascii="Calibri" w:hAnsi="Calibri"/>
                <w:sz w:val="18"/>
              </w:rPr>
              <w:t>Settlement simulator</w:t>
            </w:r>
          </w:p>
        </w:tc>
        <w:tc>
          <w:tcPr>
            <w:tcW w:type="dxa" w:w="2160"/>
          </w:tcPr>
          <w:p>
            <w:r>
              <w:rPr>
                <w:rFonts w:ascii="Calibri" w:hAnsi="Calibri"/>
                <w:sz w:val="18"/>
              </w:rPr>
              <w:t>Low</w:t>
            </w:r>
          </w:p>
        </w:tc>
        <w:tc>
          <w:tcPr>
            <w:tcW w:type="dxa" w:w="2160"/>
          </w:tcPr>
          <w:p>
            <w:r>
              <w:rPr>
                <w:rFonts w:ascii="Calibri" w:hAnsi="Calibri"/>
                <w:sz w:val="18"/>
              </w:rPr>
              <w:t>Low</w:t>
            </w:r>
          </w:p>
        </w:tc>
        <w:tc>
          <w:tcPr>
            <w:tcW w:type="dxa" w:w="2160"/>
          </w:tcPr>
          <w:p>
            <w:r>
              <w:rPr>
                <w:rFonts w:ascii="Calibri" w:hAnsi="Calibri"/>
                <w:sz w:val="18"/>
              </w:rPr>
              <w:t>0.5</w:t>
            </w:r>
          </w:p>
        </w:tc>
      </w:tr>
      <w:tr>
        <w:tc>
          <w:tcPr>
            <w:tcW w:type="dxa" w:w="2160"/>
            <w:shd w:fill="F2F2F2"/>
          </w:tcPr>
          <w:p>
            <w:r>
              <w:rPr>
                <w:rFonts w:ascii="Calibri" w:hAnsi="Calibri"/>
                <w:sz w:val="18"/>
              </w:rPr>
              <w:t>Prediction model</w:t>
            </w:r>
          </w:p>
        </w:tc>
        <w:tc>
          <w:tcPr>
            <w:tcW w:type="dxa" w:w="2160"/>
            <w:shd w:fill="F2F2F2"/>
          </w:tcPr>
          <w:p>
            <w:r>
              <w:rPr>
                <w:rFonts w:ascii="Calibri" w:hAnsi="Calibri"/>
                <w:sz w:val="18"/>
              </w:rPr>
              <w:t>Medium</w:t>
            </w:r>
          </w:p>
        </w:tc>
        <w:tc>
          <w:tcPr>
            <w:tcW w:type="dxa" w:w="2160"/>
            <w:shd w:fill="F2F2F2"/>
          </w:tcPr>
          <w:p>
            <w:r>
              <w:rPr>
                <w:rFonts w:ascii="Calibri" w:hAnsi="Calibri"/>
                <w:sz w:val="18"/>
              </w:rPr>
              <w:t>Medium</w:t>
            </w:r>
          </w:p>
        </w:tc>
        <w:tc>
          <w:tcPr>
            <w:tcW w:type="dxa" w:w="2160"/>
            <w:shd w:fill="F2F2F2"/>
          </w:tcPr>
          <w:p>
            <w:r>
              <w:rPr>
                <w:rFonts w:ascii="Calibri" w:hAnsi="Calibri"/>
                <w:sz w:val="18"/>
              </w:rPr>
              <w:t>1.5</w:t>
            </w:r>
          </w:p>
        </w:tc>
      </w:tr>
      <w:tr>
        <w:tc>
          <w:tcPr>
            <w:tcW w:type="dxa" w:w="2160"/>
          </w:tcPr>
          <w:p>
            <w:r>
              <w:rPr>
                <w:rFonts w:ascii="Calibri" w:hAnsi="Calibri"/>
                <w:sz w:val="18"/>
              </w:rPr>
              <w:t>Decision gate + safeguards</w:t>
            </w:r>
          </w:p>
        </w:tc>
        <w:tc>
          <w:tcPr>
            <w:tcW w:type="dxa" w:w="2160"/>
          </w:tcPr>
          <w:p>
            <w:r>
              <w:rPr>
                <w:rFonts w:ascii="Calibri" w:hAnsi="Calibri"/>
                <w:sz w:val="18"/>
              </w:rPr>
              <w:t>Medium</w:t>
            </w:r>
          </w:p>
        </w:tc>
        <w:tc>
          <w:tcPr>
            <w:tcW w:type="dxa" w:w="2160"/>
          </w:tcPr>
          <w:p>
            <w:r>
              <w:rPr>
                <w:rFonts w:ascii="Calibri" w:hAnsi="Calibri"/>
                <w:sz w:val="18"/>
              </w:rPr>
              <w:t>Low</w:t>
            </w:r>
          </w:p>
        </w:tc>
        <w:tc>
          <w:tcPr>
            <w:tcW w:type="dxa" w:w="2160"/>
          </w:tcPr>
          <w:p>
            <w:r>
              <w:rPr>
                <w:rFonts w:ascii="Calibri" w:hAnsi="Calibri"/>
                <w:sz w:val="18"/>
              </w:rPr>
              <w:t>1</w:t>
            </w:r>
          </w:p>
        </w:tc>
      </w:tr>
      <w:tr>
        <w:tc>
          <w:tcPr>
            <w:tcW w:type="dxa" w:w="2160"/>
            <w:shd w:fill="F2F2F2"/>
          </w:tcPr>
          <w:p>
            <w:r>
              <w:rPr>
                <w:rFonts w:ascii="Calibri" w:hAnsi="Calibri"/>
                <w:sz w:val="18"/>
              </w:rPr>
              <w:t>Finxact integration</w:t>
            </w:r>
          </w:p>
        </w:tc>
        <w:tc>
          <w:tcPr>
            <w:tcW w:type="dxa" w:w="2160"/>
            <w:shd w:fill="F2F2F2"/>
          </w:tcPr>
          <w:p>
            <w:r>
              <w:rPr>
                <w:rFonts w:ascii="Calibri" w:hAnsi="Calibri"/>
                <w:sz w:val="18"/>
              </w:rPr>
              <w:t>High</w:t>
            </w:r>
          </w:p>
        </w:tc>
        <w:tc>
          <w:tcPr>
            <w:tcW w:type="dxa" w:w="2160"/>
            <w:shd w:fill="F2F2F2"/>
          </w:tcPr>
          <w:p>
            <w:r>
              <w:rPr>
                <w:rFonts w:ascii="Calibri" w:hAnsi="Calibri"/>
                <w:sz w:val="18"/>
              </w:rPr>
              <w:t>HIGH</w:t>
            </w:r>
          </w:p>
        </w:tc>
        <w:tc>
          <w:tcPr>
            <w:tcW w:type="dxa" w:w="2160"/>
            <w:shd w:fill="F2F2F2"/>
          </w:tcPr>
          <w:p>
            <w:r>
              <w:rPr>
                <w:rFonts w:ascii="Calibri" w:hAnsi="Calibri"/>
                <w:sz w:val="18"/>
              </w:rPr>
              <w:t>1.5</w:t>
            </w:r>
          </w:p>
        </w:tc>
      </w:tr>
      <w:tr>
        <w:tc>
          <w:tcPr>
            <w:tcW w:type="dxa" w:w="2160"/>
          </w:tcPr>
          <w:p>
            <w:r>
              <w:rPr>
                <w:rFonts w:ascii="Calibri" w:hAnsi="Calibri"/>
                <w:sz w:val="18"/>
              </w:rPr>
              <w:t>INDX simulation</w:t>
            </w:r>
          </w:p>
        </w:tc>
        <w:tc>
          <w:tcPr>
            <w:tcW w:type="dxa" w:w="2160"/>
          </w:tcPr>
          <w:p>
            <w:r>
              <w:rPr>
                <w:rFonts w:ascii="Calibri" w:hAnsi="Calibri"/>
                <w:sz w:val="18"/>
              </w:rPr>
              <w:t>Low</w:t>
            </w:r>
          </w:p>
        </w:tc>
        <w:tc>
          <w:tcPr>
            <w:tcW w:type="dxa" w:w="2160"/>
          </w:tcPr>
          <w:p>
            <w:r>
              <w:rPr>
                <w:rFonts w:ascii="Calibri" w:hAnsi="Calibri"/>
                <w:sz w:val="18"/>
              </w:rPr>
              <w:t>Low</w:t>
            </w:r>
          </w:p>
        </w:tc>
        <w:tc>
          <w:tcPr>
            <w:tcW w:type="dxa" w:w="2160"/>
          </w:tcPr>
          <w:p>
            <w:r>
              <w:rPr>
                <w:rFonts w:ascii="Calibri" w:hAnsi="Calibri"/>
                <w:sz w:val="18"/>
              </w:rPr>
              <w:t>0.5</w:t>
            </w:r>
          </w:p>
        </w:tc>
      </w:tr>
      <w:tr>
        <w:tc>
          <w:tcPr>
            <w:tcW w:type="dxa" w:w="2160"/>
            <w:shd w:fill="F2F2F2"/>
          </w:tcPr>
          <w:p>
            <w:r>
              <w:rPr>
                <w:rFonts w:ascii="Calibri" w:hAnsi="Calibri"/>
                <w:sz w:val="18"/>
              </w:rPr>
              <w:t>React dashboard</w:t>
            </w:r>
          </w:p>
        </w:tc>
        <w:tc>
          <w:tcPr>
            <w:tcW w:type="dxa" w:w="2160"/>
            <w:shd w:fill="F2F2F2"/>
          </w:tcPr>
          <w:p>
            <w:r>
              <w:rPr>
                <w:rFonts w:ascii="Calibri" w:hAnsi="Calibri"/>
                <w:sz w:val="18"/>
              </w:rPr>
              <w:t>Medium</w:t>
            </w:r>
          </w:p>
        </w:tc>
        <w:tc>
          <w:tcPr>
            <w:tcW w:type="dxa" w:w="2160"/>
            <w:shd w:fill="F2F2F2"/>
          </w:tcPr>
          <w:p>
            <w:r>
              <w:rPr>
                <w:rFonts w:ascii="Calibri" w:hAnsi="Calibri"/>
                <w:sz w:val="18"/>
              </w:rPr>
              <w:t>Low</w:t>
            </w:r>
          </w:p>
        </w:tc>
        <w:tc>
          <w:tcPr>
            <w:tcW w:type="dxa" w:w="2160"/>
            <w:shd w:fill="F2F2F2"/>
          </w:tcPr>
          <w:p>
            <w:r>
              <w:rPr>
                <w:rFonts w:ascii="Calibri" w:hAnsi="Calibri"/>
                <w:sz w:val="18"/>
              </w:rPr>
              <w:t>1.5</w:t>
            </w:r>
          </w:p>
        </w:tc>
      </w:tr>
      <w:tr>
        <w:tc>
          <w:tcPr>
            <w:tcW w:type="dxa" w:w="2160"/>
          </w:tcPr>
          <w:p>
            <w:r>
              <w:rPr>
                <w:rFonts w:ascii="Calibri" w:hAnsi="Calibri"/>
                <w:sz w:val="18"/>
              </w:rPr>
              <w:t>Demo mode + rehearsal</w:t>
            </w:r>
          </w:p>
        </w:tc>
        <w:tc>
          <w:tcPr>
            <w:tcW w:type="dxa" w:w="2160"/>
          </w:tcPr>
          <w:p>
            <w:r>
              <w:rPr>
                <w:rFonts w:ascii="Calibri" w:hAnsi="Calibri"/>
                <w:sz w:val="18"/>
              </w:rPr>
              <w:t>Low</w:t>
            </w:r>
          </w:p>
        </w:tc>
        <w:tc>
          <w:tcPr>
            <w:tcW w:type="dxa" w:w="2160"/>
          </w:tcPr>
          <w:p>
            <w:r>
              <w:rPr>
                <w:rFonts w:ascii="Calibri" w:hAnsi="Calibri"/>
                <w:sz w:val="18"/>
              </w:rPr>
              <w:t>Medium</w:t>
            </w:r>
          </w:p>
        </w:tc>
        <w:tc>
          <w:tcPr>
            <w:tcW w:type="dxa" w:w="2160"/>
          </w:tcPr>
          <w:p>
            <w:r>
              <w:rPr>
                <w:rFonts w:ascii="Calibri" w:hAnsi="Calibri"/>
                <w:sz w:val="18"/>
              </w:rPr>
              <w:t>0.5</w:t>
            </w:r>
          </w:p>
        </w:tc>
      </w:tr>
      <w:tr>
        <w:tc>
          <w:tcPr>
            <w:tcW w:type="dxa" w:w="2160"/>
            <w:shd w:fill="F2F2F2"/>
          </w:tcPr>
          <w:p>
            <w:r>
              <w:rPr>
                <w:rFonts w:ascii="Calibri" w:hAnsi="Calibri"/>
                <w:sz w:val="18"/>
              </w:rPr>
              <w:t>TOTAL</w:t>
            </w:r>
          </w:p>
        </w:tc>
        <w:tc>
          <w:tcPr>
            <w:tcW w:type="dxa" w:w="2160"/>
            <w:shd w:fill="F2F2F2"/>
          </w:tcPr>
          <w:p>
            <w:r>
              <w:rPr>
                <w:rFonts w:ascii="Calibri" w:hAnsi="Calibri"/>
                <w:sz w:val="18"/>
              </w:rPr>
            </w:r>
          </w:p>
        </w:tc>
        <w:tc>
          <w:tcPr>
            <w:tcW w:type="dxa" w:w="2160"/>
            <w:shd w:fill="F2F2F2"/>
          </w:tcPr>
          <w:p>
            <w:r>
              <w:rPr>
                <w:rFonts w:ascii="Calibri" w:hAnsi="Calibri"/>
                <w:sz w:val="18"/>
              </w:rPr>
            </w:r>
          </w:p>
        </w:tc>
        <w:tc>
          <w:tcPr>
            <w:tcW w:type="dxa" w:w="2160"/>
            <w:shd w:fill="F2F2F2"/>
          </w:tcPr>
          <w:p>
            <w:r>
              <w:rPr>
                <w:rFonts w:ascii="Calibri" w:hAnsi="Calibri"/>
                <w:sz w:val="18"/>
              </w:rPr>
              <w:t>7 weeks</w:t>
            </w:r>
          </w:p>
        </w:tc>
      </w:tr>
    </w:tbl>
    <w:p/>
    <w:p>
      <w:pPr>
        <w:spacing w:after="120"/>
      </w:pPr>
      <w:r>
        <w:rPr>
          <w:rFonts w:ascii="Calibri" w:hAnsi="Calibri"/>
          <w:b/>
          <w:color w:val="2E7D32"/>
        </w:rPr>
        <w:t>Verdict: FEASIBLE with 2-3 engineers, but tight. Finxact integration is critical path.</w:t>
      </w:r>
    </w:p>
    <w:p>
      <w:pPr>
        <w:pStyle w:val="Heading3"/>
      </w:pPr>
      <w:r>
        <w:t>Missing / Underspecified</w:t>
      </w:r>
    </w:p>
    <w:p>
      <w:pPr>
        <w:pStyle w:val="ListBullet"/>
      </w:pPr>
      <w:r>
        <w:rPr>
          <w:rFonts w:ascii="Calibri" w:hAnsi="Calibri"/>
          <w:sz w:val="20"/>
        </w:rPr>
        <w:t>Yield source: Where does FIUSD yield come from? Simulate 4.2% APY for prototype. Prepare answer for Investor Day Q&amp;A.</w:t>
      </w:r>
    </w:p>
    <w:p>
      <w:pPr>
        <w:pStyle w:val="ListBullet"/>
      </w:pPr>
      <w:r>
        <w:rPr>
          <w:rFonts w:ascii="Calibri" w:hAnsi="Calibri"/>
          <w:sz w:val="20"/>
        </w:rPr>
        <w:t>Merchant onboarding flow: "One toggle" mentioned but UX not defined (terms, risk tolerance, bank verification).</w:t>
      </w:r>
    </w:p>
    <w:p>
      <w:pPr>
        <w:pStyle w:val="ListBullet"/>
      </w:pPr>
      <w:r>
        <w:rPr>
          <w:rFonts w:ascii="Calibri" w:hAnsi="Calibri"/>
          <w:sz w:val="20"/>
        </w:rPr>
        <w:t>Tax implications: Yield may be taxable income. Irrelevant for prototype, critical for production.</w:t>
      </w:r>
    </w:p>
    <w:p>
      <w:pPr>
        <w:pStyle w:val="ListBullet"/>
      </w:pPr>
      <w:r>
        <w:rPr>
          <w:rFonts w:ascii="Calibri" w:hAnsi="Calibri"/>
          <w:sz w:val="20"/>
        </w:rPr>
        <w:t>Multi-tenant isolation: Row-level security or strict FK constraints in PostgreSQL.</w:t>
      </w:r>
    </w:p>
    <w:p>
      <w:r>
        <w:br w:type="page"/>
      </w:r>
    </w:p>
    <w:p>
      <w:pPr>
        <w:pStyle w:val="Heading2"/>
      </w:pPr>
      <w:r>
        <w:t>Prototype 2: Pay-by-Agent x402 -- Technical Review</w:t>
      </w:r>
    </w:p>
    <w:p>
      <w:pPr>
        <w:pStyle w:val="Heading3"/>
      </w:pPr>
      <w:r>
        <w:t>Architecture Assessment</w:t>
      </w:r>
    </w:p>
    <w:p>
      <w:pPr>
        <w:spacing w:after="40"/>
      </w:pPr>
      <w:r>
        <w:rPr>
          <w:rFonts w:ascii="Calibri" w:hAnsi="Calibri"/>
          <w:b/>
          <w:color w:val="003B5C"/>
          <w:sz w:val="22"/>
        </w:rPr>
        <w:t>Martin Fowler</w:t>
      </w:r>
      <w:r>
        <w:rPr>
          <w:rFonts w:ascii="Calibri" w:hAnsi="Calibri"/>
          <w:color w:val="666666"/>
          <w:sz w:val="22"/>
        </w:rPr>
        <w:t xml:space="preserve"> (Architecture):</w:t>
      </w:r>
    </w:p>
    <w:p>
      <w:pPr>
        <w:spacing w:after="200"/>
      </w:pPr>
      <w:r>
        <w:rPr>
          <w:rFonts w:ascii="Calibri" w:hAnsi="Calibri"/>
          <w:sz w:val="20"/>
        </w:rPr>
        <w:t>Most architecturally complex prototype. Three concerns: (1) Separate Gateway from Verifier from Settler -- different failure characteristics need different handling. Gateway handles HTTP, Settler handles on-chain (slow/unreliable). (2) EIP-3009 vs Permit2: pick ONE for prototype. EIP-3009 on USDC/FIUSD is sufficient. (3) Claude demo agent is highest-risk component. LLMs are non-deterministic. If agent hallucinates during live demo, the demo fails publicly. Must be heavily constrained.</w:t>
      </w:r>
    </w:p>
    <w:p>
      <w:pPr>
        <w:spacing w:after="40"/>
      </w:pPr>
      <w:r>
        <w:rPr>
          <w:rFonts w:ascii="Calibri" w:hAnsi="Calibri"/>
          <w:b/>
          <w:color w:val="003B5C"/>
          <w:sz w:val="22"/>
        </w:rPr>
        <w:t>Michael Nygard</w:t>
      </w:r>
      <w:r>
        <w:rPr>
          <w:rFonts w:ascii="Calibri" w:hAnsi="Calibri"/>
          <w:color w:val="666666"/>
          <w:sz w:val="22"/>
        </w:rPr>
        <w:t xml:space="preserve"> (Production Reliability):</w:t>
      </w:r>
    </w:p>
    <w:p>
      <w:pPr>
        <w:spacing w:after="200"/>
      </w:pPr>
      <w:r>
        <w:rPr>
          <w:rFonts w:ascii="Calibri" w:hAnsi="Calibri"/>
          <w:sz w:val="20"/>
        </w:rPr>
        <w:t>SIX potential failure points in a single transaction: LLM hallucination, gateway down, wallet key error, crypto library bug, Solana devnet down, INDX mock failure. CRITICAL: Solana devnet has no SLA and goes down periodically. RECOMMENDATION: Run LOCAL Solana validator (solana-test-validator) on the demo machine. Pre-deploy tokens, pre-fund wallets. Zero external dependencies. Same for Base: use Hardhat local node.</w:t>
      </w:r>
    </w:p>
    <w:p>
      <w:pPr>
        <w:spacing w:after="40"/>
      </w:pPr>
      <w:r>
        <w:rPr>
          <w:rFonts w:ascii="Calibri" w:hAnsi="Calibri"/>
          <w:b/>
          <w:color w:val="003B5C"/>
          <w:sz w:val="22"/>
        </w:rPr>
        <w:t>Sam Newman</w:t>
      </w:r>
      <w:r>
        <w:rPr>
          <w:rFonts w:ascii="Calibri" w:hAnsi="Calibri"/>
          <w:color w:val="666666"/>
          <w:sz w:val="22"/>
        </w:rPr>
        <w:t xml:space="preserve"> (Distributed Systems):</w:t>
      </w:r>
    </w:p>
    <w:p>
      <w:pPr>
        <w:spacing w:after="200"/>
      </w:pPr>
      <w:r>
        <w:rPr>
          <w:rFonts w:ascii="Calibri" w:hAnsi="Calibri"/>
          <w:sz w:val="20"/>
        </w:rPr>
        <w:t>Define the Agent SDK TypeScript interface in week 1. It drives everything: fetchWithPayment(url, options) -&gt; PaymentResponse with status, receipt, resource, settlementTxId, amount, token, chain. Define the contract first, implement second.</w:t>
      </w:r>
    </w:p>
    <w:p>
      <w:pPr>
        <w:spacing w:after="40"/>
      </w:pPr>
      <w:r>
        <w:rPr>
          <w:rFonts w:ascii="Calibri" w:hAnsi="Calibri"/>
          <w:b/>
          <w:color w:val="003B5C"/>
          <w:sz w:val="22"/>
        </w:rPr>
        <w:t>Gojko Adzic</w:t>
      </w:r>
      <w:r>
        <w:rPr>
          <w:rFonts w:ascii="Calibri" w:hAnsi="Calibri"/>
          <w:color w:val="666666"/>
          <w:sz w:val="22"/>
        </w:rPr>
        <w:t xml:space="preserve"> (Specification by Example):</w:t>
      </w:r>
    </w:p>
    <w:p>
      <w:pPr>
        <w:spacing w:after="200"/>
      </w:pPr>
      <w:r>
        <w:rPr>
          <w:rFonts w:ascii="Calibri" w:hAnsi="Calibri"/>
          <w:sz w:val="20"/>
        </w:rPr>
        <w:t>Demo agent MUST be scripted, not open-ended. Hardcode the product catalog (10-20 items). Constrain tool_use to 3 tools: search_products, get_product, purchase. The only "real" part should be the x402 payment flow. Define exact demo scenario as an automated test.</w:t>
      </w:r>
    </w:p>
    <w:p>
      <w:pPr>
        <w:pStyle w:val="Heading3"/>
      </w:pPr>
      <w:r>
        <w:t>Feasibility &amp; Score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3B5C"/>
          </w:tcPr>
          <w:p>
            <w:r>
              <w:rPr>
                <w:rFonts w:ascii="Calibri" w:hAnsi="Calibri"/>
                <w:b/>
                <w:color w:val="FFFFFF"/>
                <w:sz w:val="18"/>
              </w:rPr>
              <w:t>Component</w:t>
            </w:r>
          </w:p>
        </w:tc>
        <w:tc>
          <w:tcPr>
            <w:tcW w:type="dxa" w:w="2160"/>
            <w:shd w:fill="003B5C"/>
          </w:tcPr>
          <w:p>
            <w:r>
              <w:rPr>
                <w:rFonts w:ascii="Calibri" w:hAnsi="Calibri"/>
                <w:b/>
                <w:color w:val="FFFFFF"/>
                <w:sz w:val="18"/>
              </w:rPr>
              <w:t>Complexity</w:t>
            </w:r>
          </w:p>
        </w:tc>
        <w:tc>
          <w:tcPr>
            <w:tcW w:type="dxa" w:w="2160"/>
            <w:shd w:fill="003B5C"/>
          </w:tcPr>
          <w:p>
            <w:r>
              <w:rPr>
                <w:rFonts w:ascii="Calibri" w:hAnsi="Calibri"/>
                <w:b/>
                <w:color w:val="FFFFFF"/>
                <w:sz w:val="18"/>
              </w:rPr>
              <w:t>Risk</w:t>
            </w:r>
          </w:p>
        </w:tc>
        <w:tc>
          <w:tcPr>
            <w:tcW w:type="dxa" w:w="2160"/>
            <w:shd w:fill="003B5C"/>
          </w:tcPr>
          <w:p>
            <w:r>
              <w:rPr>
                <w:rFonts w:ascii="Calibri" w:hAnsi="Calibri"/>
                <w:b/>
                <w:color w:val="FFFFFF"/>
                <w:sz w:val="18"/>
              </w:rPr>
              <w:t>Weeks</w:t>
            </w:r>
          </w:p>
        </w:tc>
      </w:tr>
      <w:tr>
        <w:tc>
          <w:tcPr>
            <w:tcW w:type="dxa" w:w="2160"/>
          </w:tcPr>
          <w:p>
            <w:r>
              <w:rPr>
                <w:rFonts w:ascii="Calibri" w:hAnsi="Calibri"/>
                <w:sz w:val="18"/>
              </w:rPr>
              <w:t>x402 Gateway (HTTP 402 spec)</w:t>
            </w:r>
          </w:p>
        </w:tc>
        <w:tc>
          <w:tcPr>
            <w:tcW w:type="dxa" w:w="2160"/>
          </w:tcPr>
          <w:p>
            <w:r>
              <w:rPr>
                <w:rFonts w:ascii="Calibri" w:hAnsi="Calibri"/>
                <w:sz w:val="18"/>
              </w:rPr>
              <w:t>High</w:t>
            </w:r>
          </w:p>
        </w:tc>
        <w:tc>
          <w:tcPr>
            <w:tcW w:type="dxa" w:w="2160"/>
          </w:tcPr>
          <w:p>
            <w:r>
              <w:rPr>
                <w:rFonts w:ascii="Calibri" w:hAnsi="Calibri"/>
                <w:sz w:val="18"/>
              </w:rPr>
              <w:t>Medium</w:t>
            </w:r>
          </w:p>
        </w:tc>
        <w:tc>
          <w:tcPr>
            <w:tcW w:type="dxa" w:w="2160"/>
          </w:tcPr>
          <w:p>
            <w:r>
              <w:rPr>
                <w:rFonts w:ascii="Calibri" w:hAnsi="Calibri"/>
                <w:sz w:val="18"/>
              </w:rPr>
              <w:t>2</w:t>
            </w:r>
          </w:p>
        </w:tc>
      </w:tr>
      <w:tr>
        <w:tc>
          <w:tcPr>
            <w:tcW w:type="dxa" w:w="2160"/>
            <w:shd w:fill="F2F2F2"/>
          </w:tcPr>
          <w:p>
            <w:r>
              <w:rPr>
                <w:rFonts w:ascii="Calibri" w:hAnsi="Calibri"/>
                <w:sz w:val="18"/>
              </w:rPr>
              <w:t>Payment Verifier (EIP-3009)</w:t>
            </w:r>
          </w:p>
        </w:tc>
        <w:tc>
          <w:tcPr>
            <w:tcW w:type="dxa" w:w="2160"/>
            <w:shd w:fill="F2F2F2"/>
          </w:tcPr>
          <w:p>
            <w:r>
              <w:rPr>
                <w:rFonts w:ascii="Calibri" w:hAnsi="Calibri"/>
                <w:sz w:val="18"/>
              </w:rPr>
              <w:t>High</w:t>
            </w:r>
          </w:p>
        </w:tc>
        <w:tc>
          <w:tcPr>
            <w:tcW w:type="dxa" w:w="2160"/>
            <w:shd w:fill="F2F2F2"/>
          </w:tcPr>
          <w:p>
            <w:r>
              <w:rPr>
                <w:rFonts w:ascii="Calibri" w:hAnsi="Calibri"/>
                <w:sz w:val="18"/>
              </w:rPr>
              <w:t>HIGH</w:t>
            </w:r>
          </w:p>
        </w:tc>
        <w:tc>
          <w:tcPr>
            <w:tcW w:type="dxa" w:w="2160"/>
            <w:shd w:fill="F2F2F2"/>
          </w:tcPr>
          <w:p>
            <w:r>
              <w:rPr>
                <w:rFonts w:ascii="Calibri" w:hAnsi="Calibri"/>
                <w:sz w:val="18"/>
              </w:rPr>
              <w:t>1.5</w:t>
            </w:r>
          </w:p>
        </w:tc>
      </w:tr>
      <w:tr>
        <w:tc>
          <w:tcPr>
            <w:tcW w:type="dxa" w:w="2160"/>
          </w:tcPr>
          <w:p>
            <w:r>
              <w:rPr>
                <w:rFonts w:ascii="Calibri" w:hAnsi="Calibri"/>
                <w:sz w:val="18"/>
              </w:rPr>
              <w:t>Local Solana validator setup</w:t>
            </w:r>
          </w:p>
        </w:tc>
        <w:tc>
          <w:tcPr>
            <w:tcW w:type="dxa" w:w="2160"/>
          </w:tcPr>
          <w:p>
            <w:r>
              <w:rPr>
                <w:rFonts w:ascii="Calibri" w:hAnsi="Calibri"/>
                <w:sz w:val="18"/>
              </w:rPr>
              <w:t>Medium</w:t>
            </w:r>
          </w:p>
        </w:tc>
        <w:tc>
          <w:tcPr>
            <w:tcW w:type="dxa" w:w="2160"/>
          </w:tcPr>
          <w:p>
            <w:r>
              <w:rPr>
                <w:rFonts w:ascii="Calibri" w:hAnsi="Calibri"/>
                <w:sz w:val="18"/>
              </w:rPr>
              <w:t>Medium</w:t>
            </w:r>
          </w:p>
        </w:tc>
        <w:tc>
          <w:tcPr>
            <w:tcW w:type="dxa" w:w="2160"/>
          </w:tcPr>
          <w:p>
            <w:r>
              <w:rPr>
                <w:rFonts w:ascii="Calibri" w:hAnsi="Calibri"/>
                <w:sz w:val="18"/>
              </w:rPr>
              <w:t>0.5</w:t>
            </w:r>
          </w:p>
        </w:tc>
      </w:tr>
      <w:tr>
        <w:tc>
          <w:tcPr>
            <w:tcW w:type="dxa" w:w="2160"/>
            <w:shd w:fill="F2F2F2"/>
          </w:tcPr>
          <w:p>
            <w:r>
              <w:rPr>
                <w:rFonts w:ascii="Calibri" w:hAnsi="Calibri"/>
                <w:sz w:val="18"/>
              </w:rPr>
              <w:t>Agent SDK (TypeScript only)</w:t>
            </w:r>
          </w:p>
        </w:tc>
        <w:tc>
          <w:tcPr>
            <w:tcW w:type="dxa" w:w="2160"/>
            <w:shd w:fill="F2F2F2"/>
          </w:tcPr>
          <w:p>
            <w:r>
              <w:rPr>
                <w:rFonts w:ascii="Calibri" w:hAnsi="Calibri"/>
                <w:sz w:val="18"/>
              </w:rPr>
              <w:t>Medium</w:t>
            </w:r>
          </w:p>
        </w:tc>
        <w:tc>
          <w:tcPr>
            <w:tcW w:type="dxa" w:w="2160"/>
            <w:shd w:fill="F2F2F2"/>
          </w:tcPr>
          <w:p>
            <w:r>
              <w:rPr>
                <w:rFonts w:ascii="Calibri" w:hAnsi="Calibri"/>
                <w:sz w:val="18"/>
              </w:rPr>
              <w:t>Low</w:t>
            </w:r>
          </w:p>
        </w:tc>
        <w:tc>
          <w:tcPr>
            <w:tcW w:type="dxa" w:w="2160"/>
            <w:shd w:fill="F2F2F2"/>
          </w:tcPr>
          <w:p>
            <w:r>
              <w:rPr>
                <w:rFonts w:ascii="Calibri" w:hAnsi="Calibri"/>
                <w:sz w:val="18"/>
              </w:rPr>
              <w:t>1.5</w:t>
            </w:r>
          </w:p>
        </w:tc>
      </w:tr>
      <w:tr>
        <w:tc>
          <w:tcPr>
            <w:tcW w:type="dxa" w:w="2160"/>
          </w:tcPr>
          <w:p>
            <w:r>
              <w:rPr>
                <w:rFonts w:ascii="Calibri" w:hAnsi="Calibri"/>
                <w:sz w:val="18"/>
              </w:rPr>
              <w:t>Claude demo agent</w:t>
            </w:r>
          </w:p>
        </w:tc>
        <w:tc>
          <w:tcPr>
            <w:tcW w:type="dxa" w:w="2160"/>
          </w:tcPr>
          <w:p>
            <w:r>
              <w:rPr>
                <w:rFonts w:ascii="Calibri" w:hAnsi="Calibri"/>
                <w:sz w:val="18"/>
              </w:rPr>
              <w:t>Medium</w:t>
            </w:r>
          </w:p>
        </w:tc>
        <w:tc>
          <w:tcPr>
            <w:tcW w:type="dxa" w:w="2160"/>
          </w:tcPr>
          <w:p>
            <w:r>
              <w:rPr>
                <w:rFonts w:ascii="Calibri" w:hAnsi="Calibri"/>
                <w:sz w:val="18"/>
              </w:rPr>
              <w:t>HIGH</w:t>
            </w:r>
          </w:p>
        </w:tc>
        <w:tc>
          <w:tcPr>
            <w:tcW w:type="dxa" w:w="2160"/>
          </w:tcPr>
          <w:p>
            <w:r>
              <w:rPr>
                <w:rFonts w:ascii="Calibri" w:hAnsi="Calibri"/>
                <w:sz w:val="18"/>
              </w:rPr>
              <w:t>1</w:t>
            </w:r>
          </w:p>
        </w:tc>
      </w:tr>
      <w:tr>
        <w:tc>
          <w:tcPr>
            <w:tcW w:type="dxa" w:w="2160"/>
            <w:shd w:fill="F2F2F2"/>
          </w:tcPr>
          <w:p>
            <w:r>
              <w:rPr>
                <w:rFonts w:ascii="Calibri" w:hAnsi="Calibri"/>
                <w:sz w:val="18"/>
              </w:rPr>
              <w:t>INDX simulation</w:t>
            </w:r>
          </w:p>
        </w:tc>
        <w:tc>
          <w:tcPr>
            <w:tcW w:type="dxa" w:w="2160"/>
            <w:shd w:fill="F2F2F2"/>
          </w:tcPr>
          <w:p>
            <w:r>
              <w:rPr>
                <w:rFonts w:ascii="Calibri" w:hAnsi="Calibri"/>
                <w:sz w:val="18"/>
              </w:rPr>
              <w:t>Low</w:t>
            </w:r>
          </w:p>
        </w:tc>
        <w:tc>
          <w:tcPr>
            <w:tcW w:type="dxa" w:w="2160"/>
            <w:shd w:fill="F2F2F2"/>
          </w:tcPr>
          <w:p>
            <w:r>
              <w:rPr>
                <w:rFonts w:ascii="Calibri" w:hAnsi="Calibri"/>
                <w:sz w:val="18"/>
              </w:rPr>
              <w:t>Low</w:t>
            </w:r>
          </w:p>
        </w:tc>
        <w:tc>
          <w:tcPr>
            <w:tcW w:type="dxa" w:w="2160"/>
            <w:shd w:fill="F2F2F2"/>
          </w:tcPr>
          <w:p>
            <w:r>
              <w:rPr>
                <w:rFonts w:ascii="Calibri" w:hAnsi="Calibri"/>
                <w:sz w:val="18"/>
              </w:rPr>
              <w:t>0.5</w:t>
            </w:r>
          </w:p>
        </w:tc>
      </w:tr>
      <w:tr>
        <w:tc>
          <w:tcPr>
            <w:tcW w:type="dxa" w:w="2160"/>
          </w:tcPr>
          <w:p>
            <w:r>
              <w:rPr>
                <w:rFonts w:ascii="Calibri" w:hAnsi="Calibri"/>
                <w:sz w:val="18"/>
              </w:rPr>
              <w:t>React dashboard</w:t>
            </w:r>
          </w:p>
        </w:tc>
        <w:tc>
          <w:tcPr>
            <w:tcW w:type="dxa" w:w="2160"/>
          </w:tcPr>
          <w:p>
            <w:r>
              <w:rPr>
                <w:rFonts w:ascii="Calibri" w:hAnsi="Calibri"/>
                <w:sz w:val="18"/>
              </w:rPr>
              <w:t>Medium</w:t>
            </w:r>
          </w:p>
        </w:tc>
        <w:tc>
          <w:tcPr>
            <w:tcW w:type="dxa" w:w="2160"/>
          </w:tcPr>
          <w:p>
            <w:r>
              <w:rPr>
                <w:rFonts w:ascii="Calibri" w:hAnsi="Calibri"/>
                <w:sz w:val="18"/>
              </w:rPr>
              <w:t>Low</w:t>
            </w:r>
          </w:p>
        </w:tc>
        <w:tc>
          <w:tcPr>
            <w:tcW w:type="dxa" w:w="2160"/>
          </w:tcPr>
          <w:p>
            <w:r>
              <w:rPr>
                <w:rFonts w:ascii="Calibri" w:hAnsi="Calibri"/>
                <w:sz w:val="18"/>
              </w:rPr>
              <w:t>1</w:t>
            </w:r>
          </w:p>
        </w:tc>
      </w:tr>
      <w:tr>
        <w:tc>
          <w:tcPr>
            <w:tcW w:type="dxa" w:w="2160"/>
            <w:shd w:fill="F2F2F2"/>
          </w:tcPr>
          <w:p>
            <w:r>
              <w:rPr>
                <w:rFonts w:ascii="Calibri" w:hAnsi="Calibri"/>
                <w:sz w:val="18"/>
              </w:rPr>
              <w:t>Demo rehearsal + hardening</w:t>
            </w:r>
          </w:p>
        </w:tc>
        <w:tc>
          <w:tcPr>
            <w:tcW w:type="dxa" w:w="2160"/>
            <w:shd w:fill="F2F2F2"/>
          </w:tcPr>
          <w:p>
            <w:r>
              <w:rPr>
                <w:rFonts w:ascii="Calibri" w:hAnsi="Calibri"/>
                <w:sz w:val="18"/>
              </w:rPr>
              <w:t>Low</w:t>
            </w:r>
          </w:p>
        </w:tc>
        <w:tc>
          <w:tcPr>
            <w:tcW w:type="dxa" w:w="2160"/>
            <w:shd w:fill="F2F2F2"/>
          </w:tcPr>
          <w:p>
            <w:r>
              <w:rPr>
                <w:rFonts w:ascii="Calibri" w:hAnsi="Calibri"/>
                <w:sz w:val="18"/>
              </w:rPr>
              <w:t>Medium</w:t>
            </w:r>
          </w:p>
        </w:tc>
        <w:tc>
          <w:tcPr>
            <w:tcW w:type="dxa" w:w="2160"/>
            <w:shd w:fill="F2F2F2"/>
          </w:tcPr>
          <w:p>
            <w:r>
              <w:rPr>
                <w:rFonts w:ascii="Calibri" w:hAnsi="Calibri"/>
                <w:sz w:val="18"/>
              </w:rPr>
              <w:t>1</w:t>
            </w:r>
          </w:p>
        </w:tc>
      </w:tr>
      <w:tr>
        <w:tc>
          <w:tcPr>
            <w:tcW w:type="dxa" w:w="2160"/>
          </w:tcPr>
          <w:p>
            <w:r>
              <w:rPr>
                <w:rFonts w:ascii="Calibri" w:hAnsi="Calibri"/>
                <w:sz w:val="18"/>
              </w:rPr>
              <w:t>TOTAL</w:t>
            </w:r>
          </w:p>
        </w:tc>
        <w:tc>
          <w:tcPr>
            <w:tcW w:type="dxa" w:w="2160"/>
          </w:tcPr>
          <w:p>
            <w:r>
              <w:rPr>
                <w:rFonts w:ascii="Calibri" w:hAnsi="Calibri"/>
                <w:sz w:val="18"/>
              </w:rPr>
            </w:r>
          </w:p>
        </w:tc>
        <w:tc>
          <w:tcPr>
            <w:tcW w:type="dxa" w:w="2160"/>
          </w:tcPr>
          <w:p>
            <w:r>
              <w:rPr>
                <w:rFonts w:ascii="Calibri" w:hAnsi="Calibri"/>
                <w:sz w:val="18"/>
              </w:rPr>
            </w:r>
          </w:p>
        </w:tc>
        <w:tc>
          <w:tcPr>
            <w:tcW w:type="dxa" w:w="2160"/>
          </w:tcPr>
          <w:p>
            <w:r>
              <w:rPr>
                <w:rFonts w:ascii="Calibri" w:hAnsi="Calibri"/>
                <w:sz w:val="18"/>
              </w:rPr>
              <w:t>9.5 weeks</w:t>
            </w:r>
          </w:p>
        </w:tc>
      </w:tr>
    </w:tbl>
    <w:p/>
    <w:p>
      <w:pPr>
        <w:spacing w:after="120"/>
      </w:pPr>
      <w:r>
        <w:rPr>
          <w:rFonts w:ascii="Calibri" w:hAnsi="Calibri"/>
          <w:b/>
          <w:color w:val="C62828"/>
        </w:rPr>
        <w:t>Verdict: TIGHT for 7 weeks. Requires scope cuts: Cut Python SDK (TypeScript only). Cut Permit2 (EIP-3009 only). Cut Base chain (Solana only). Allocate 4 engineers, not 3.</w:t>
      </w:r>
    </w:p>
    <w:p>
      <w:pPr>
        <w:pStyle w:val="Heading3"/>
      </w:pPr>
      <w:r>
        <w:t>Critical Scope Cuts for 7-Week Feasibility</w:t>
      </w:r>
    </w:p>
    <w:p>
      <w:pPr>
        <w:pStyle w:val="ListBullet"/>
      </w:pPr>
      <w:r>
        <w:rPr>
          <w:rFonts w:ascii="Calibri" w:hAnsi="Calibri"/>
          <w:sz w:val="20"/>
        </w:rPr>
        <w:t>CUT Python SDK -- TypeScript only for Investor Day. Add Python post-demo.</w:t>
      </w:r>
    </w:p>
    <w:p>
      <w:pPr>
        <w:pStyle w:val="ListBullet"/>
      </w:pPr>
      <w:r>
        <w:rPr>
          <w:rFonts w:ascii="Calibri" w:hAnsi="Calibri"/>
          <w:sz w:val="20"/>
        </w:rPr>
        <w:t>CUT Permit2 -- EIP-3009 only (USDC/FIUSD).</w:t>
      </w:r>
    </w:p>
    <w:p>
      <w:pPr>
        <w:pStyle w:val="ListBullet"/>
      </w:pPr>
      <w:r>
        <w:rPr>
          <w:rFonts w:ascii="Calibri" w:hAnsi="Calibri"/>
          <w:sz w:val="20"/>
        </w:rPr>
        <w:t>CUT Base chain -- Solana only for demo. Add Base post-demo.</w:t>
      </w:r>
    </w:p>
    <w:p>
      <w:pPr>
        <w:pStyle w:val="ListBullet"/>
      </w:pPr>
      <w:r>
        <w:rPr>
          <w:rFonts w:ascii="Calibri" w:hAnsi="Calibri"/>
          <w:sz w:val="20"/>
        </w:rPr>
        <w:t>USE local Solana validator -- not devnet. Eliminates #1 demo reliability risk.</w:t>
      </w:r>
    </w:p>
    <w:p>
      <w:pPr>
        <w:pStyle w:val="ListBullet"/>
      </w:pPr>
      <w:r>
        <w:rPr>
          <w:rFonts w:ascii="Calibri" w:hAnsi="Calibri"/>
          <w:sz w:val="20"/>
        </w:rPr>
        <w:t>CONSTRAIN Claude agent -- 3 tools only, hardcoded product catalog, scripted scenario.</w:t>
      </w:r>
    </w:p>
    <w:p>
      <w:pPr>
        <w:pStyle w:val="ListBullet"/>
      </w:pPr>
      <w:r>
        <w:rPr>
          <w:rFonts w:ascii="Calibri" w:hAnsi="Calibri"/>
          <w:sz w:val="20"/>
        </w:rPr>
        <w:t>ALLOCATE 4 engineers -- this prototype needs the extra capacity.</w:t>
      </w:r>
    </w:p>
    <w:p>
      <w:r>
        <w:br w:type="page"/>
      </w:r>
    </w:p>
    <w:p>
      <w:pPr>
        <w:pStyle w:val="Heading2"/>
      </w:pPr>
      <w:r>
        <w:t>Prototype 3: Instant Supplier Pay -- Technical Review</w:t>
      </w:r>
    </w:p>
    <w:p>
      <w:pPr>
        <w:pStyle w:val="Heading3"/>
      </w:pPr>
      <w:r>
        <w:t>Architecture Assessment</w:t>
      </w:r>
    </w:p>
    <w:p>
      <w:pPr>
        <w:spacing w:after="40"/>
      </w:pPr>
      <w:r>
        <w:rPr>
          <w:rFonts w:ascii="Calibri" w:hAnsi="Calibri"/>
          <w:b/>
          <w:color w:val="003B5C"/>
          <w:sz w:val="22"/>
        </w:rPr>
        <w:t>Martin Fowler</w:t>
      </w:r>
      <w:r>
        <w:rPr>
          <w:rFonts w:ascii="Calibri" w:hAnsi="Calibri"/>
          <w:color w:val="666666"/>
          <w:sz w:val="22"/>
        </w:rPr>
        <w:t xml:space="preserve"> (Architecture):</w:t>
      </w:r>
    </w:p>
    <w:p>
      <w:pPr>
        <w:spacing w:after="200"/>
      </w:pPr>
      <w:r>
        <w:rPr>
          <w:rFonts w:ascii="Calibri" w:hAnsi="Calibri"/>
          <w:sz w:val="20"/>
        </w:rPr>
        <w:t>Most straightforward architecture. Clean pipeline: sales -&gt; prediction -&gt; PO -&gt; payment -&gt; settlement. Key hidden complexity: BILL OF MATERIALS (BOM) mapping. Clover tracks what was SOLD (menu items), not what was CONSUMED (ingredients). Need a BOM mapping each menu item to ingredient components. For demo, hardcode for "Mario's Pizzeria" with 15-20 menu items and 20 ingredients. Also: cut approval workflow -- auto-approve everything for demo, show config UI only.</w:t>
      </w:r>
    </w:p>
    <w:p>
      <w:pPr>
        <w:spacing w:after="40"/>
      </w:pPr>
      <w:r>
        <w:rPr>
          <w:rFonts w:ascii="Calibri" w:hAnsi="Calibri"/>
          <w:b/>
          <w:color w:val="003B5C"/>
          <w:sz w:val="22"/>
        </w:rPr>
        <w:t>Michael Nygard</w:t>
      </w:r>
      <w:r>
        <w:rPr>
          <w:rFonts w:ascii="Calibri" w:hAnsi="Calibri"/>
          <w:color w:val="666666"/>
          <w:sz w:val="22"/>
        </w:rPr>
        <w:t xml:space="preserve"> (Production Reliability):</w:t>
      </w:r>
    </w:p>
    <w:p>
      <w:pPr>
        <w:spacing w:after="200"/>
      </w:pPr>
      <w:r>
        <w:rPr>
          <w:rFonts w:ascii="Calibri" w:hAnsi="Calibri"/>
          <w:sz w:val="20"/>
        </w:rPr>
        <w:t>Demo reliability risk: LOWEST of all four. Entire flow can be simulated without external dependencies. Only external: Finxact API for B2B transfer (apply demo mode fallback). Key demo visual: the "3 seconds" settlement claim needs a LIVE timer/animation. Build a progress bar showing each step completing in real time.</w:t>
      </w:r>
    </w:p>
    <w:p>
      <w:pPr>
        <w:spacing w:after="40"/>
      </w:pPr>
      <w:r>
        <w:rPr>
          <w:rFonts w:ascii="Calibri" w:hAnsi="Calibri"/>
          <w:b/>
          <w:color w:val="003B5C"/>
          <w:sz w:val="22"/>
        </w:rPr>
        <w:t>Sam Newman</w:t>
      </w:r>
      <w:r>
        <w:rPr>
          <w:rFonts w:ascii="Calibri" w:hAnsi="Calibri"/>
          <w:color w:val="666666"/>
          <w:sz w:val="22"/>
        </w:rPr>
        <w:t xml:space="preserve"> (Distributed Systems):</w:t>
      </w:r>
    </w:p>
    <w:p>
      <w:pPr>
        <w:spacing w:after="200"/>
      </w:pPr>
      <w:r>
        <w:rPr>
          <w:rFonts w:ascii="Calibri" w:hAnsi="Calibri"/>
          <w:sz w:val="20"/>
        </w:rPr>
        <w:t>Critical question: Does Finxact API support atomic cross-account transfers? Or two separate calls (debit merchant, credit supplier)? If two calls, need compensation mechanism -- if debit succeeds but credit fails, must reverse the debit. Wrap in try/except with rollback.</w:t>
      </w:r>
    </w:p>
    <w:p>
      <w:pPr>
        <w:pStyle w:val="Heading3"/>
      </w:pPr>
      <w:r>
        <w:t>Feasibility &amp; Score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3B5C"/>
          </w:tcPr>
          <w:p>
            <w:r>
              <w:rPr>
                <w:rFonts w:ascii="Calibri" w:hAnsi="Calibri"/>
                <w:b/>
                <w:color w:val="FFFFFF"/>
                <w:sz w:val="18"/>
              </w:rPr>
              <w:t>Component</w:t>
            </w:r>
          </w:p>
        </w:tc>
        <w:tc>
          <w:tcPr>
            <w:tcW w:type="dxa" w:w="2160"/>
            <w:shd w:fill="003B5C"/>
          </w:tcPr>
          <w:p>
            <w:r>
              <w:rPr>
                <w:rFonts w:ascii="Calibri" w:hAnsi="Calibri"/>
                <w:b/>
                <w:color w:val="FFFFFF"/>
                <w:sz w:val="18"/>
              </w:rPr>
              <w:t>Complexity</w:t>
            </w:r>
          </w:p>
        </w:tc>
        <w:tc>
          <w:tcPr>
            <w:tcW w:type="dxa" w:w="2160"/>
            <w:shd w:fill="003B5C"/>
          </w:tcPr>
          <w:p>
            <w:r>
              <w:rPr>
                <w:rFonts w:ascii="Calibri" w:hAnsi="Calibri"/>
                <w:b/>
                <w:color w:val="FFFFFF"/>
                <w:sz w:val="18"/>
              </w:rPr>
              <w:t>Risk</w:t>
            </w:r>
          </w:p>
        </w:tc>
        <w:tc>
          <w:tcPr>
            <w:tcW w:type="dxa" w:w="2160"/>
            <w:shd w:fill="003B5C"/>
          </w:tcPr>
          <w:p>
            <w:r>
              <w:rPr>
                <w:rFonts w:ascii="Calibri" w:hAnsi="Calibri"/>
                <w:b/>
                <w:color w:val="FFFFFF"/>
                <w:sz w:val="18"/>
              </w:rPr>
              <w:t>Weeks</w:t>
            </w:r>
          </w:p>
        </w:tc>
      </w:tr>
      <w:tr>
        <w:tc>
          <w:tcPr>
            <w:tcW w:type="dxa" w:w="2160"/>
          </w:tcPr>
          <w:p>
            <w:r>
              <w:rPr>
                <w:rFonts w:ascii="Calibri" w:hAnsi="Calibri"/>
                <w:sz w:val="18"/>
              </w:rPr>
              <w:t>Sales simulator + BOM</w:t>
            </w:r>
          </w:p>
        </w:tc>
        <w:tc>
          <w:tcPr>
            <w:tcW w:type="dxa" w:w="2160"/>
          </w:tcPr>
          <w:p>
            <w:r>
              <w:rPr>
                <w:rFonts w:ascii="Calibri" w:hAnsi="Calibri"/>
                <w:sz w:val="18"/>
              </w:rPr>
              <w:t>Medium</w:t>
            </w:r>
          </w:p>
        </w:tc>
        <w:tc>
          <w:tcPr>
            <w:tcW w:type="dxa" w:w="2160"/>
          </w:tcPr>
          <w:p>
            <w:r>
              <w:rPr>
                <w:rFonts w:ascii="Calibri" w:hAnsi="Calibri"/>
                <w:sz w:val="18"/>
              </w:rPr>
              <w:t>Low</w:t>
            </w:r>
          </w:p>
        </w:tc>
        <w:tc>
          <w:tcPr>
            <w:tcW w:type="dxa" w:w="2160"/>
          </w:tcPr>
          <w:p>
            <w:r>
              <w:rPr>
                <w:rFonts w:ascii="Calibri" w:hAnsi="Calibri"/>
                <w:sz w:val="18"/>
              </w:rPr>
              <w:t>1</w:t>
            </w:r>
          </w:p>
        </w:tc>
      </w:tr>
      <w:tr>
        <w:tc>
          <w:tcPr>
            <w:tcW w:type="dxa" w:w="2160"/>
            <w:shd w:fill="F2F2F2"/>
          </w:tcPr>
          <w:p>
            <w:r>
              <w:rPr>
                <w:rFonts w:ascii="Calibri" w:hAnsi="Calibri"/>
                <w:sz w:val="18"/>
              </w:rPr>
              <w:t>Ingredient depletion model</w:t>
            </w:r>
          </w:p>
        </w:tc>
        <w:tc>
          <w:tcPr>
            <w:tcW w:type="dxa" w:w="2160"/>
            <w:shd w:fill="F2F2F2"/>
          </w:tcPr>
          <w:p>
            <w:r>
              <w:rPr>
                <w:rFonts w:ascii="Calibri" w:hAnsi="Calibri"/>
                <w:sz w:val="18"/>
              </w:rPr>
              <w:t>Medium</w:t>
            </w:r>
          </w:p>
        </w:tc>
        <w:tc>
          <w:tcPr>
            <w:tcW w:type="dxa" w:w="2160"/>
            <w:shd w:fill="F2F2F2"/>
          </w:tcPr>
          <w:p>
            <w:r>
              <w:rPr>
                <w:rFonts w:ascii="Calibri" w:hAnsi="Calibri"/>
                <w:sz w:val="18"/>
              </w:rPr>
              <w:t>Medium</w:t>
            </w:r>
          </w:p>
        </w:tc>
        <w:tc>
          <w:tcPr>
            <w:tcW w:type="dxa" w:w="2160"/>
            <w:shd w:fill="F2F2F2"/>
          </w:tcPr>
          <w:p>
            <w:r>
              <w:rPr>
                <w:rFonts w:ascii="Calibri" w:hAnsi="Calibri"/>
                <w:sz w:val="18"/>
              </w:rPr>
              <w:t>1.5</w:t>
            </w:r>
          </w:p>
        </w:tc>
      </w:tr>
      <w:tr>
        <w:tc>
          <w:tcPr>
            <w:tcW w:type="dxa" w:w="2160"/>
          </w:tcPr>
          <w:p>
            <w:r>
              <w:rPr>
                <w:rFonts w:ascii="Calibri" w:hAnsi="Calibri"/>
                <w:sz w:val="18"/>
              </w:rPr>
              <w:t>Supplier catalog + PO engine</w:t>
            </w:r>
          </w:p>
        </w:tc>
        <w:tc>
          <w:tcPr>
            <w:tcW w:type="dxa" w:w="2160"/>
          </w:tcPr>
          <w:p>
            <w:r>
              <w:rPr>
                <w:rFonts w:ascii="Calibri" w:hAnsi="Calibri"/>
                <w:sz w:val="18"/>
              </w:rPr>
              <w:t>Low</w:t>
            </w:r>
          </w:p>
        </w:tc>
        <w:tc>
          <w:tcPr>
            <w:tcW w:type="dxa" w:w="2160"/>
          </w:tcPr>
          <w:p>
            <w:r>
              <w:rPr>
                <w:rFonts w:ascii="Calibri" w:hAnsi="Calibri"/>
                <w:sz w:val="18"/>
              </w:rPr>
              <w:t>Low</w:t>
            </w:r>
          </w:p>
        </w:tc>
        <w:tc>
          <w:tcPr>
            <w:tcW w:type="dxa" w:w="2160"/>
          </w:tcPr>
          <w:p>
            <w:r>
              <w:rPr>
                <w:rFonts w:ascii="Calibri" w:hAnsi="Calibri"/>
                <w:sz w:val="18"/>
              </w:rPr>
              <w:t>1</w:t>
            </w:r>
          </w:p>
        </w:tc>
      </w:tr>
      <w:tr>
        <w:tc>
          <w:tcPr>
            <w:tcW w:type="dxa" w:w="2160"/>
            <w:shd w:fill="F2F2F2"/>
          </w:tcPr>
          <w:p>
            <w:r>
              <w:rPr>
                <w:rFonts w:ascii="Calibri" w:hAnsi="Calibri"/>
                <w:sz w:val="18"/>
              </w:rPr>
              <w:t>Finxact B2B payment</w:t>
            </w:r>
          </w:p>
        </w:tc>
        <w:tc>
          <w:tcPr>
            <w:tcW w:type="dxa" w:w="2160"/>
            <w:shd w:fill="F2F2F2"/>
          </w:tcPr>
          <w:p>
            <w:r>
              <w:rPr>
                <w:rFonts w:ascii="Calibri" w:hAnsi="Calibri"/>
                <w:sz w:val="18"/>
              </w:rPr>
              <w:t>Medium</w:t>
            </w:r>
          </w:p>
        </w:tc>
        <w:tc>
          <w:tcPr>
            <w:tcW w:type="dxa" w:w="2160"/>
            <w:shd w:fill="F2F2F2"/>
          </w:tcPr>
          <w:p>
            <w:r>
              <w:rPr>
                <w:rFonts w:ascii="Calibri" w:hAnsi="Calibri"/>
                <w:sz w:val="18"/>
              </w:rPr>
              <w:t>Medium</w:t>
            </w:r>
          </w:p>
        </w:tc>
        <w:tc>
          <w:tcPr>
            <w:tcW w:type="dxa" w:w="2160"/>
            <w:shd w:fill="F2F2F2"/>
          </w:tcPr>
          <w:p>
            <w:r>
              <w:rPr>
                <w:rFonts w:ascii="Calibri" w:hAnsi="Calibri"/>
                <w:sz w:val="18"/>
              </w:rPr>
              <w:t>1</w:t>
            </w:r>
          </w:p>
        </w:tc>
      </w:tr>
      <w:tr>
        <w:tc>
          <w:tcPr>
            <w:tcW w:type="dxa" w:w="2160"/>
          </w:tcPr>
          <w:p>
            <w:r>
              <w:rPr>
                <w:rFonts w:ascii="Calibri" w:hAnsi="Calibri"/>
                <w:sz w:val="18"/>
              </w:rPr>
              <w:t>INDX simulation</w:t>
            </w:r>
          </w:p>
        </w:tc>
        <w:tc>
          <w:tcPr>
            <w:tcW w:type="dxa" w:w="2160"/>
          </w:tcPr>
          <w:p>
            <w:r>
              <w:rPr>
                <w:rFonts w:ascii="Calibri" w:hAnsi="Calibri"/>
                <w:sz w:val="18"/>
              </w:rPr>
              <w:t>Low</w:t>
            </w:r>
          </w:p>
        </w:tc>
        <w:tc>
          <w:tcPr>
            <w:tcW w:type="dxa" w:w="2160"/>
          </w:tcPr>
          <w:p>
            <w:r>
              <w:rPr>
                <w:rFonts w:ascii="Calibri" w:hAnsi="Calibri"/>
                <w:sz w:val="18"/>
              </w:rPr>
              <w:t>Low</w:t>
            </w:r>
          </w:p>
        </w:tc>
        <w:tc>
          <w:tcPr>
            <w:tcW w:type="dxa" w:w="2160"/>
          </w:tcPr>
          <w:p>
            <w:r>
              <w:rPr>
                <w:rFonts w:ascii="Calibri" w:hAnsi="Calibri"/>
                <w:sz w:val="18"/>
              </w:rPr>
              <w:t>0.5</w:t>
            </w:r>
          </w:p>
        </w:tc>
      </w:tr>
      <w:tr>
        <w:tc>
          <w:tcPr>
            <w:tcW w:type="dxa" w:w="2160"/>
            <w:shd w:fill="F2F2F2"/>
          </w:tcPr>
          <w:p>
            <w:r>
              <w:rPr>
                <w:rFonts w:ascii="Calibri" w:hAnsi="Calibri"/>
                <w:sz w:val="18"/>
              </w:rPr>
              <w:t>React dashboard</w:t>
            </w:r>
          </w:p>
        </w:tc>
        <w:tc>
          <w:tcPr>
            <w:tcW w:type="dxa" w:w="2160"/>
            <w:shd w:fill="F2F2F2"/>
          </w:tcPr>
          <w:p>
            <w:r>
              <w:rPr>
                <w:rFonts w:ascii="Calibri" w:hAnsi="Calibri"/>
                <w:sz w:val="18"/>
              </w:rPr>
              <w:t>Medium</w:t>
            </w:r>
          </w:p>
        </w:tc>
        <w:tc>
          <w:tcPr>
            <w:tcW w:type="dxa" w:w="2160"/>
            <w:shd w:fill="F2F2F2"/>
          </w:tcPr>
          <w:p>
            <w:r>
              <w:rPr>
                <w:rFonts w:ascii="Calibri" w:hAnsi="Calibri"/>
                <w:sz w:val="18"/>
              </w:rPr>
              <w:t>Low</w:t>
            </w:r>
          </w:p>
        </w:tc>
        <w:tc>
          <w:tcPr>
            <w:tcW w:type="dxa" w:w="2160"/>
            <w:shd w:fill="F2F2F2"/>
          </w:tcPr>
          <w:p>
            <w:r>
              <w:rPr>
                <w:rFonts w:ascii="Calibri" w:hAnsi="Calibri"/>
                <w:sz w:val="18"/>
              </w:rPr>
              <w:t>1.5</w:t>
            </w:r>
          </w:p>
        </w:tc>
      </w:tr>
      <w:tr>
        <w:tc>
          <w:tcPr>
            <w:tcW w:type="dxa" w:w="2160"/>
          </w:tcPr>
          <w:p>
            <w:r>
              <w:rPr>
                <w:rFonts w:ascii="Calibri" w:hAnsi="Calibri"/>
                <w:sz w:val="18"/>
              </w:rPr>
              <w:t>Demo scenario + rehearsal</w:t>
            </w:r>
          </w:p>
        </w:tc>
        <w:tc>
          <w:tcPr>
            <w:tcW w:type="dxa" w:w="2160"/>
          </w:tcPr>
          <w:p>
            <w:r>
              <w:rPr>
                <w:rFonts w:ascii="Calibri" w:hAnsi="Calibri"/>
                <w:sz w:val="18"/>
              </w:rPr>
              <w:t>Low</w:t>
            </w:r>
          </w:p>
        </w:tc>
        <w:tc>
          <w:tcPr>
            <w:tcW w:type="dxa" w:w="2160"/>
          </w:tcPr>
          <w:p>
            <w:r>
              <w:rPr>
                <w:rFonts w:ascii="Calibri" w:hAnsi="Calibri"/>
                <w:sz w:val="18"/>
              </w:rPr>
              <w:t>Low</w:t>
            </w:r>
          </w:p>
        </w:tc>
        <w:tc>
          <w:tcPr>
            <w:tcW w:type="dxa" w:w="2160"/>
          </w:tcPr>
          <w:p>
            <w:r>
              <w:rPr>
                <w:rFonts w:ascii="Calibri" w:hAnsi="Calibri"/>
                <w:sz w:val="18"/>
              </w:rPr>
              <w:t>0.5</w:t>
            </w:r>
          </w:p>
        </w:tc>
      </w:tr>
      <w:tr>
        <w:tc>
          <w:tcPr>
            <w:tcW w:type="dxa" w:w="2160"/>
            <w:shd w:fill="F2F2F2"/>
          </w:tcPr>
          <w:p>
            <w:r>
              <w:rPr>
                <w:rFonts w:ascii="Calibri" w:hAnsi="Calibri"/>
                <w:sz w:val="18"/>
              </w:rPr>
              <w:t>TOTAL</w:t>
            </w:r>
          </w:p>
        </w:tc>
        <w:tc>
          <w:tcPr>
            <w:tcW w:type="dxa" w:w="2160"/>
            <w:shd w:fill="F2F2F2"/>
          </w:tcPr>
          <w:p>
            <w:r>
              <w:rPr>
                <w:rFonts w:ascii="Calibri" w:hAnsi="Calibri"/>
                <w:sz w:val="18"/>
              </w:rPr>
            </w:r>
          </w:p>
        </w:tc>
        <w:tc>
          <w:tcPr>
            <w:tcW w:type="dxa" w:w="2160"/>
            <w:shd w:fill="F2F2F2"/>
          </w:tcPr>
          <w:p>
            <w:r>
              <w:rPr>
                <w:rFonts w:ascii="Calibri" w:hAnsi="Calibri"/>
                <w:sz w:val="18"/>
              </w:rPr>
            </w:r>
          </w:p>
        </w:tc>
        <w:tc>
          <w:tcPr>
            <w:tcW w:type="dxa" w:w="2160"/>
            <w:shd w:fill="F2F2F2"/>
          </w:tcPr>
          <w:p>
            <w:r>
              <w:rPr>
                <w:rFonts w:ascii="Calibri" w:hAnsi="Calibri"/>
                <w:sz w:val="18"/>
              </w:rPr>
              <w:t>7 weeks</w:t>
            </w:r>
          </w:p>
        </w:tc>
      </w:tr>
    </w:tbl>
    <w:p/>
    <w:p>
      <w:pPr>
        <w:spacing w:after="120"/>
      </w:pPr>
      <w:r>
        <w:rPr>
          <w:rFonts w:ascii="Calibri" w:hAnsi="Calibri"/>
          <w:b/>
          <w:color w:val="2E7D32"/>
        </w:rPr>
        <w:t>Verdict: FEASIBLE with 2-3 engineers. Most comfortable timeline of all four prototypes.</w:t>
      </w:r>
    </w:p>
    <w:p>
      <w:pPr>
        <w:pStyle w:val="Heading3"/>
      </w:pPr>
      <w:r>
        <w:t>Missing / Key Additions</w:t>
      </w:r>
    </w:p>
    <w:p>
      <w:pPr>
        <w:pStyle w:val="ListBullet"/>
      </w:pPr>
      <w:r>
        <w:rPr>
          <w:rFonts w:ascii="Calibri" w:hAnsi="Calibri"/>
          <w:sz w:val="20"/>
        </w:rPr>
        <w:t>Bill of Materials (BOM) mapping -- the critical data model connecting POS sales to ingredient consumption. Hardcode as JSON config.</w:t>
      </w:r>
    </w:p>
    <w:p>
      <w:pPr>
        <w:pStyle w:val="ListBullet"/>
      </w:pPr>
      <w:r>
        <w:rPr>
          <w:rFonts w:ascii="Calibri" w:hAnsi="Calibri"/>
          <w:sz w:val="20"/>
        </w:rPr>
        <w:t>Supplier API mock -- simple Express server accepting POs and returning confirmations.</w:t>
      </w:r>
    </w:p>
    <w:p>
      <w:pPr>
        <w:pStyle w:val="ListBullet"/>
      </w:pPr>
      <w:r>
        <w:rPr>
          <w:rFonts w:ascii="Calibri" w:hAnsi="Calibri"/>
          <w:sz w:val="20"/>
        </w:rPr>
        <w:t>Settlement timer animation -- the "2.7 seconds" visual is the money shot for this demo.</w:t>
      </w:r>
    </w:p>
    <w:p>
      <w:pPr>
        <w:pStyle w:val="ListBullet"/>
      </w:pPr>
      <w:r>
        <w:rPr>
          <w:rFonts w:ascii="Calibri" w:hAnsi="Calibri"/>
          <w:sz w:val="20"/>
        </w:rPr>
        <w:t>Pre-populate 30 days of simulated sales data at startup so prediction model has history.</w:t>
      </w:r>
    </w:p>
    <w:p>
      <w:r>
        <w:br w:type="page"/>
      </w:r>
    </w:p>
    <w:p>
      <w:pPr>
        <w:pStyle w:val="Heading2"/>
      </w:pPr>
      <w:r>
        <w:t>Prototype 4: Cross-Border Instant Settlement -- Technical Review</w:t>
      </w:r>
    </w:p>
    <w:p>
      <w:pPr>
        <w:pStyle w:val="Heading3"/>
      </w:pPr>
      <w:r>
        <w:t>Architecture Assessment</w:t>
      </w:r>
    </w:p>
    <w:p>
      <w:pPr>
        <w:spacing w:after="40"/>
      </w:pPr>
      <w:r>
        <w:rPr>
          <w:rFonts w:ascii="Calibri" w:hAnsi="Calibri"/>
          <w:b/>
          <w:color w:val="003B5C"/>
          <w:sz w:val="22"/>
        </w:rPr>
        <w:t>Martin Fowler</w:t>
      </w:r>
      <w:r>
        <w:rPr>
          <w:rFonts w:ascii="Calibri" w:hAnsi="Calibri"/>
          <w:color w:val="666666"/>
          <w:sz w:val="22"/>
        </w:rPr>
        <w:t xml:space="preserve"> (Architecture):</w:t>
      </w:r>
    </w:p>
    <w:p>
      <w:pPr>
        <w:spacing w:after="200"/>
      </w:pPr>
      <w:r>
        <w:rPr>
          <w:rFonts w:ascii="Calibri" w:hAnsi="Calibri"/>
          <w:sz w:val="20"/>
        </w:rPr>
        <w:t>Architecture is sound but FX layer has hidden complexity. (1) The 30-second rate lock means Fiserv takes FX risk. For prototype: use FIXED simulated rate. (2) Cross-border detection is underspecified -- for prototype, hardcode a "demo buyer" with explicit currency. Don't build IP geolocation or BIN lookup. (3) Reconciliation engine is overkill for demo -- build the VISUAL showing 3 steps completing in sequence, skip the ledger matching logic.</w:t>
      </w:r>
    </w:p>
    <w:p>
      <w:pPr>
        <w:spacing w:after="40"/>
      </w:pPr>
      <w:r>
        <w:rPr>
          <w:rFonts w:ascii="Calibri" w:hAnsi="Calibri"/>
          <w:b/>
          <w:color w:val="003B5C"/>
          <w:sz w:val="22"/>
        </w:rPr>
        <w:t>Michael Nygard</w:t>
      </w:r>
      <w:r>
        <w:rPr>
          <w:rFonts w:ascii="Calibri" w:hAnsi="Calibri"/>
          <w:color w:val="666666"/>
          <w:sz w:val="22"/>
        </w:rPr>
        <w:t xml:space="preserve"> (Production Reliability):</w:t>
      </w:r>
    </w:p>
    <w:p>
      <w:pPr>
        <w:spacing w:after="200"/>
      </w:pPr>
      <w:r>
        <w:rPr>
          <w:rFonts w:ascii="Calibri" w:hAnsi="Calibri"/>
          <w:sz w:val="20"/>
        </w:rPr>
        <w:t>Same Solana devnet risk as Prototype 2 -- use local validator. Demo flow timing challenge: need side-by-side comparison LIVE. Show card route (static: "$47.50, 3 days") then stablecoin route executing in real time with step-by-step animation. Pre-compute expected results so animation runs smoothly even if API is slow.</w:t>
      </w:r>
    </w:p>
    <w:p>
      <w:pPr>
        <w:spacing w:after="40"/>
      </w:pPr>
      <w:r>
        <w:rPr>
          <w:rFonts w:ascii="Calibri" w:hAnsi="Calibri"/>
          <w:b/>
          <w:color w:val="003B5C"/>
          <w:sz w:val="22"/>
        </w:rPr>
        <w:t>Gregor Hohpe</w:t>
      </w:r>
      <w:r>
        <w:rPr>
          <w:rFonts w:ascii="Calibri" w:hAnsi="Calibri"/>
          <w:color w:val="666666"/>
          <w:sz w:val="22"/>
        </w:rPr>
        <w:t xml:space="preserve"> (Integration Patterns):</w:t>
      </w:r>
    </w:p>
    <w:p>
      <w:pPr>
        <w:spacing w:after="200"/>
      </w:pPr>
      <w:r>
        <w:rPr>
          <w:rFonts w:ascii="Calibri" w:hAnsi="Calibri"/>
          <w:sz w:val="20"/>
        </w:rPr>
        <w:t>Classic Content-Based Router pattern. THREE corridors spec'd but demo only needs ONE. Build MXN-&gt;USD for demo. Show EUR and GBP as config options in UI but don't implement conversion logic for those corridors. Reduces testing surface by 66%.</w:t>
      </w:r>
    </w:p>
    <w:p>
      <w:pPr>
        <w:spacing w:after="40"/>
      </w:pPr>
      <w:r>
        <w:rPr>
          <w:rFonts w:ascii="Calibri" w:hAnsi="Calibri"/>
          <w:b/>
          <w:color w:val="003B5C"/>
          <w:sz w:val="22"/>
        </w:rPr>
        <w:t>Kelsey Hightower</w:t>
      </w:r>
      <w:r>
        <w:rPr>
          <w:rFonts w:ascii="Calibri" w:hAnsi="Calibri"/>
          <w:color w:val="666666"/>
          <w:sz w:val="22"/>
        </w:rPr>
        <w:t xml:space="preserve"> (Cloud/Operations):</w:t>
      </w:r>
    </w:p>
    <w:p>
      <w:pPr>
        <w:spacing w:after="200"/>
      </w:pPr>
      <w:r>
        <w:rPr>
          <w:rFonts w:ascii="Calibri" w:hAnsi="Calibri"/>
          <w:sz w:val="20"/>
        </w:rPr>
        <w:t>Cross-border has regulatory implications. Add a PLACEHOLDER: log line "OFAC screening: PASSED (simulated)" in transaction detail view. Shows investors Fiserv is thinking about compliance without implementing it.</w:t>
      </w:r>
    </w:p>
    <w:p>
      <w:pPr>
        <w:pStyle w:val="Heading3"/>
      </w:pPr>
      <w:r>
        <w:t>Feasibility &amp; Score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3B5C"/>
          </w:tcPr>
          <w:p>
            <w:r>
              <w:rPr>
                <w:rFonts w:ascii="Calibri" w:hAnsi="Calibri"/>
                <w:b/>
                <w:color w:val="FFFFFF"/>
                <w:sz w:val="18"/>
              </w:rPr>
              <w:t>Component</w:t>
            </w:r>
          </w:p>
        </w:tc>
        <w:tc>
          <w:tcPr>
            <w:tcW w:type="dxa" w:w="2160"/>
            <w:shd w:fill="003B5C"/>
          </w:tcPr>
          <w:p>
            <w:r>
              <w:rPr>
                <w:rFonts w:ascii="Calibri" w:hAnsi="Calibri"/>
                <w:b/>
                <w:color w:val="FFFFFF"/>
                <w:sz w:val="18"/>
              </w:rPr>
              <w:t>Complexity</w:t>
            </w:r>
          </w:p>
        </w:tc>
        <w:tc>
          <w:tcPr>
            <w:tcW w:type="dxa" w:w="2160"/>
            <w:shd w:fill="003B5C"/>
          </w:tcPr>
          <w:p>
            <w:r>
              <w:rPr>
                <w:rFonts w:ascii="Calibri" w:hAnsi="Calibri"/>
                <w:b/>
                <w:color w:val="FFFFFF"/>
                <w:sz w:val="18"/>
              </w:rPr>
              <w:t>Risk</w:t>
            </w:r>
          </w:p>
        </w:tc>
        <w:tc>
          <w:tcPr>
            <w:tcW w:type="dxa" w:w="2160"/>
            <w:shd w:fill="003B5C"/>
          </w:tcPr>
          <w:p>
            <w:r>
              <w:rPr>
                <w:rFonts w:ascii="Calibri" w:hAnsi="Calibri"/>
                <w:b/>
                <w:color w:val="FFFFFF"/>
                <w:sz w:val="18"/>
              </w:rPr>
              <w:t>Weeks</w:t>
            </w:r>
          </w:p>
        </w:tc>
      </w:tr>
      <w:tr>
        <w:tc>
          <w:tcPr>
            <w:tcW w:type="dxa" w:w="2160"/>
          </w:tcPr>
          <w:p>
            <w:r>
              <w:rPr>
                <w:rFonts w:ascii="Calibri" w:hAnsi="Calibri"/>
                <w:sz w:val="18"/>
              </w:rPr>
              <w:t>Demo buyer simulation</w:t>
            </w:r>
          </w:p>
        </w:tc>
        <w:tc>
          <w:tcPr>
            <w:tcW w:type="dxa" w:w="2160"/>
          </w:tcPr>
          <w:p>
            <w:r>
              <w:rPr>
                <w:rFonts w:ascii="Calibri" w:hAnsi="Calibri"/>
                <w:sz w:val="18"/>
              </w:rPr>
              <w:t>Low</w:t>
            </w:r>
          </w:p>
        </w:tc>
        <w:tc>
          <w:tcPr>
            <w:tcW w:type="dxa" w:w="2160"/>
          </w:tcPr>
          <w:p>
            <w:r>
              <w:rPr>
                <w:rFonts w:ascii="Calibri" w:hAnsi="Calibri"/>
                <w:sz w:val="18"/>
              </w:rPr>
              <w:t>Low</w:t>
            </w:r>
          </w:p>
        </w:tc>
        <w:tc>
          <w:tcPr>
            <w:tcW w:type="dxa" w:w="2160"/>
          </w:tcPr>
          <w:p>
            <w:r>
              <w:rPr>
                <w:rFonts w:ascii="Calibri" w:hAnsi="Calibri"/>
                <w:sz w:val="18"/>
              </w:rPr>
              <w:t>0.5</w:t>
            </w:r>
          </w:p>
        </w:tc>
      </w:tr>
      <w:tr>
        <w:tc>
          <w:tcPr>
            <w:tcW w:type="dxa" w:w="2160"/>
            <w:shd w:fill="F2F2F2"/>
          </w:tcPr>
          <w:p>
            <w:r>
              <w:rPr>
                <w:rFonts w:ascii="Calibri" w:hAnsi="Calibri"/>
                <w:sz w:val="18"/>
              </w:rPr>
              <w:t>FX conversion (MXN only)</w:t>
            </w:r>
          </w:p>
        </w:tc>
        <w:tc>
          <w:tcPr>
            <w:tcW w:type="dxa" w:w="2160"/>
            <w:shd w:fill="F2F2F2"/>
          </w:tcPr>
          <w:p>
            <w:r>
              <w:rPr>
                <w:rFonts w:ascii="Calibri" w:hAnsi="Calibri"/>
                <w:sz w:val="18"/>
              </w:rPr>
              <w:t>Medium</w:t>
            </w:r>
          </w:p>
        </w:tc>
        <w:tc>
          <w:tcPr>
            <w:tcW w:type="dxa" w:w="2160"/>
            <w:shd w:fill="F2F2F2"/>
          </w:tcPr>
          <w:p>
            <w:r>
              <w:rPr>
                <w:rFonts w:ascii="Calibri" w:hAnsi="Calibri"/>
                <w:sz w:val="18"/>
              </w:rPr>
              <w:t>Low</w:t>
            </w:r>
          </w:p>
        </w:tc>
        <w:tc>
          <w:tcPr>
            <w:tcW w:type="dxa" w:w="2160"/>
            <w:shd w:fill="F2F2F2"/>
          </w:tcPr>
          <w:p>
            <w:r>
              <w:rPr>
                <w:rFonts w:ascii="Calibri" w:hAnsi="Calibri"/>
                <w:sz w:val="18"/>
              </w:rPr>
              <w:t>1</w:t>
            </w:r>
          </w:p>
        </w:tc>
      </w:tr>
      <w:tr>
        <w:tc>
          <w:tcPr>
            <w:tcW w:type="dxa" w:w="2160"/>
          </w:tcPr>
          <w:p>
            <w:r>
              <w:rPr>
                <w:rFonts w:ascii="Calibri" w:hAnsi="Calibri"/>
                <w:sz w:val="18"/>
              </w:rPr>
              <w:t>Rate lock (simplified)</w:t>
            </w:r>
          </w:p>
        </w:tc>
        <w:tc>
          <w:tcPr>
            <w:tcW w:type="dxa" w:w="2160"/>
          </w:tcPr>
          <w:p>
            <w:r>
              <w:rPr>
                <w:rFonts w:ascii="Calibri" w:hAnsi="Calibri"/>
                <w:sz w:val="18"/>
              </w:rPr>
              <w:t>Low</w:t>
            </w:r>
          </w:p>
        </w:tc>
        <w:tc>
          <w:tcPr>
            <w:tcW w:type="dxa" w:w="2160"/>
          </w:tcPr>
          <w:p>
            <w:r>
              <w:rPr>
                <w:rFonts w:ascii="Calibri" w:hAnsi="Calibri"/>
                <w:sz w:val="18"/>
              </w:rPr>
              <w:t>Low</w:t>
            </w:r>
          </w:p>
        </w:tc>
        <w:tc>
          <w:tcPr>
            <w:tcW w:type="dxa" w:w="2160"/>
          </w:tcPr>
          <w:p>
            <w:r>
              <w:rPr>
                <w:rFonts w:ascii="Calibri" w:hAnsi="Calibri"/>
                <w:sz w:val="18"/>
              </w:rPr>
              <w:t>0.5</w:t>
            </w:r>
          </w:p>
        </w:tc>
      </w:tr>
      <w:tr>
        <w:tc>
          <w:tcPr>
            <w:tcW w:type="dxa" w:w="2160"/>
            <w:shd w:fill="F2F2F2"/>
          </w:tcPr>
          <w:p>
            <w:r>
              <w:rPr>
                <w:rFonts w:ascii="Calibri" w:hAnsi="Calibri"/>
                <w:sz w:val="18"/>
              </w:rPr>
              <w:t>Local Solana FIUSD transfer</w:t>
            </w:r>
          </w:p>
        </w:tc>
        <w:tc>
          <w:tcPr>
            <w:tcW w:type="dxa" w:w="2160"/>
            <w:shd w:fill="F2F2F2"/>
          </w:tcPr>
          <w:p>
            <w:r>
              <w:rPr>
                <w:rFonts w:ascii="Calibri" w:hAnsi="Calibri"/>
                <w:sz w:val="18"/>
              </w:rPr>
              <w:t>Medium</w:t>
            </w:r>
          </w:p>
        </w:tc>
        <w:tc>
          <w:tcPr>
            <w:tcW w:type="dxa" w:w="2160"/>
            <w:shd w:fill="F2F2F2"/>
          </w:tcPr>
          <w:p>
            <w:r>
              <w:rPr>
                <w:rFonts w:ascii="Calibri" w:hAnsi="Calibri"/>
                <w:sz w:val="18"/>
              </w:rPr>
              <w:t>Medium</w:t>
            </w:r>
          </w:p>
        </w:tc>
        <w:tc>
          <w:tcPr>
            <w:tcW w:type="dxa" w:w="2160"/>
            <w:shd w:fill="F2F2F2"/>
          </w:tcPr>
          <w:p>
            <w:r>
              <w:rPr>
                <w:rFonts w:ascii="Calibri" w:hAnsi="Calibri"/>
                <w:sz w:val="18"/>
              </w:rPr>
              <w:t>1</w:t>
            </w:r>
          </w:p>
        </w:tc>
      </w:tr>
      <w:tr>
        <w:tc>
          <w:tcPr>
            <w:tcW w:type="dxa" w:w="2160"/>
          </w:tcPr>
          <w:p>
            <w:r>
              <w:rPr>
                <w:rFonts w:ascii="Calibri" w:hAnsi="Calibri"/>
                <w:sz w:val="18"/>
              </w:rPr>
              <w:t>INDX simulation</w:t>
            </w:r>
          </w:p>
        </w:tc>
        <w:tc>
          <w:tcPr>
            <w:tcW w:type="dxa" w:w="2160"/>
          </w:tcPr>
          <w:p>
            <w:r>
              <w:rPr>
                <w:rFonts w:ascii="Calibri" w:hAnsi="Calibri"/>
                <w:sz w:val="18"/>
              </w:rPr>
              <w:t>Low</w:t>
            </w:r>
          </w:p>
        </w:tc>
        <w:tc>
          <w:tcPr>
            <w:tcW w:type="dxa" w:w="2160"/>
          </w:tcPr>
          <w:p>
            <w:r>
              <w:rPr>
                <w:rFonts w:ascii="Calibri" w:hAnsi="Calibri"/>
                <w:sz w:val="18"/>
              </w:rPr>
              <w:t>Low</w:t>
            </w:r>
          </w:p>
        </w:tc>
        <w:tc>
          <w:tcPr>
            <w:tcW w:type="dxa" w:w="2160"/>
          </w:tcPr>
          <w:p>
            <w:r>
              <w:rPr>
                <w:rFonts w:ascii="Calibri" w:hAnsi="Calibri"/>
                <w:sz w:val="18"/>
              </w:rPr>
              <w:t>0.5</w:t>
            </w:r>
          </w:p>
        </w:tc>
      </w:tr>
      <w:tr>
        <w:tc>
          <w:tcPr>
            <w:tcW w:type="dxa" w:w="2160"/>
            <w:shd w:fill="F2F2F2"/>
          </w:tcPr>
          <w:p>
            <w:r>
              <w:rPr>
                <w:rFonts w:ascii="Calibri" w:hAnsi="Calibri"/>
                <w:sz w:val="18"/>
              </w:rPr>
              <w:t>Side-by-side dashboard</w:t>
            </w:r>
          </w:p>
        </w:tc>
        <w:tc>
          <w:tcPr>
            <w:tcW w:type="dxa" w:w="2160"/>
            <w:shd w:fill="F2F2F2"/>
          </w:tcPr>
          <w:p>
            <w:r>
              <w:rPr>
                <w:rFonts w:ascii="Calibri" w:hAnsi="Calibri"/>
                <w:sz w:val="18"/>
              </w:rPr>
              <w:t>Medium</w:t>
            </w:r>
          </w:p>
        </w:tc>
        <w:tc>
          <w:tcPr>
            <w:tcW w:type="dxa" w:w="2160"/>
            <w:shd w:fill="F2F2F2"/>
          </w:tcPr>
          <w:p>
            <w:r>
              <w:rPr>
                <w:rFonts w:ascii="Calibri" w:hAnsi="Calibri"/>
                <w:sz w:val="18"/>
              </w:rPr>
              <w:t>Low</w:t>
            </w:r>
          </w:p>
        </w:tc>
        <w:tc>
          <w:tcPr>
            <w:tcW w:type="dxa" w:w="2160"/>
            <w:shd w:fill="F2F2F2"/>
          </w:tcPr>
          <w:p>
            <w:r>
              <w:rPr>
                <w:rFonts w:ascii="Calibri" w:hAnsi="Calibri"/>
                <w:sz w:val="18"/>
              </w:rPr>
              <w:t>1.5</w:t>
            </w:r>
          </w:p>
        </w:tc>
      </w:tr>
      <w:tr>
        <w:tc>
          <w:tcPr>
            <w:tcW w:type="dxa" w:w="2160"/>
          </w:tcPr>
          <w:p>
            <w:r>
              <w:rPr>
                <w:rFonts w:ascii="Calibri" w:hAnsi="Calibri"/>
                <w:sz w:val="18"/>
              </w:rPr>
              <w:t>Settlement animation</w:t>
            </w:r>
          </w:p>
        </w:tc>
        <w:tc>
          <w:tcPr>
            <w:tcW w:type="dxa" w:w="2160"/>
          </w:tcPr>
          <w:p>
            <w:r>
              <w:rPr>
                <w:rFonts w:ascii="Calibri" w:hAnsi="Calibri"/>
                <w:sz w:val="18"/>
              </w:rPr>
              <w:t>Medium</w:t>
            </w:r>
          </w:p>
        </w:tc>
        <w:tc>
          <w:tcPr>
            <w:tcW w:type="dxa" w:w="2160"/>
          </w:tcPr>
          <w:p>
            <w:r>
              <w:rPr>
                <w:rFonts w:ascii="Calibri" w:hAnsi="Calibri"/>
                <w:sz w:val="18"/>
              </w:rPr>
              <w:t>Medium</w:t>
            </w:r>
          </w:p>
        </w:tc>
        <w:tc>
          <w:tcPr>
            <w:tcW w:type="dxa" w:w="2160"/>
          </w:tcPr>
          <w:p>
            <w:r>
              <w:rPr>
                <w:rFonts w:ascii="Calibri" w:hAnsi="Calibri"/>
                <w:sz w:val="18"/>
              </w:rPr>
              <w:t>1</w:t>
            </w:r>
          </w:p>
        </w:tc>
      </w:tr>
      <w:tr>
        <w:tc>
          <w:tcPr>
            <w:tcW w:type="dxa" w:w="2160"/>
            <w:shd w:fill="F2F2F2"/>
          </w:tcPr>
          <w:p>
            <w:r>
              <w:rPr>
                <w:rFonts w:ascii="Calibri" w:hAnsi="Calibri"/>
                <w:sz w:val="18"/>
              </w:rPr>
              <w:t>Demo rehearsal</w:t>
            </w:r>
          </w:p>
        </w:tc>
        <w:tc>
          <w:tcPr>
            <w:tcW w:type="dxa" w:w="2160"/>
            <w:shd w:fill="F2F2F2"/>
          </w:tcPr>
          <w:p>
            <w:r>
              <w:rPr>
                <w:rFonts w:ascii="Calibri" w:hAnsi="Calibri"/>
                <w:sz w:val="18"/>
              </w:rPr>
              <w:t>Low</w:t>
            </w:r>
          </w:p>
        </w:tc>
        <w:tc>
          <w:tcPr>
            <w:tcW w:type="dxa" w:w="2160"/>
            <w:shd w:fill="F2F2F2"/>
          </w:tcPr>
          <w:p>
            <w:r>
              <w:rPr>
                <w:rFonts w:ascii="Calibri" w:hAnsi="Calibri"/>
                <w:sz w:val="18"/>
              </w:rPr>
              <w:t>Low</w:t>
            </w:r>
          </w:p>
        </w:tc>
        <w:tc>
          <w:tcPr>
            <w:tcW w:type="dxa" w:w="2160"/>
            <w:shd w:fill="F2F2F2"/>
          </w:tcPr>
          <w:p>
            <w:r>
              <w:rPr>
                <w:rFonts w:ascii="Calibri" w:hAnsi="Calibri"/>
                <w:sz w:val="18"/>
              </w:rPr>
              <w:t>0.5</w:t>
            </w:r>
          </w:p>
        </w:tc>
      </w:tr>
      <w:tr>
        <w:tc>
          <w:tcPr>
            <w:tcW w:type="dxa" w:w="2160"/>
          </w:tcPr>
          <w:p>
            <w:r>
              <w:rPr>
                <w:rFonts w:ascii="Calibri" w:hAnsi="Calibri"/>
                <w:sz w:val="18"/>
              </w:rPr>
              <w:t>TOTAL</w:t>
            </w:r>
          </w:p>
        </w:tc>
        <w:tc>
          <w:tcPr>
            <w:tcW w:type="dxa" w:w="2160"/>
          </w:tcPr>
          <w:p>
            <w:r>
              <w:rPr>
                <w:rFonts w:ascii="Calibri" w:hAnsi="Calibri"/>
                <w:sz w:val="18"/>
              </w:rPr>
            </w:r>
          </w:p>
        </w:tc>
        <w:tc>
          <w:tcPr>
            <w:tcW w:type="dxa" w:w="2160"/>
          </w:tcPr>
          <w:p>
            <w:r>
              <w:rPr>
                <w:rFonts w:ascii="Calibri" w:hAnsi="Calibri"/>
                <w:sz w:val="18"/>
              </w:rPr>
            </w:r>
          </w:p>
        </w:tc>
        <w:tc>
          <w:tcPr>
            <w:tcW w:type="dxa" w:w="2160"/>
          </w:tcPr>
          <w:p>
            <w:r>
              <w:rPr>
                <w:rFonts w:ascii="Calibri" w:hAnsi="Calibri"/>
                <w:sz w:val="18"/>
              </w:rPr>
              <w:t>6.5 weeks</w:t>
            </w:r>
          </w:p>
        </w:tc>
      </w:tr>
    </w:tbl>
    <w:p/>
    <w:p>
      <w:pPr>
        <w:spacing w:after="120"/>
      </w:pPr>
      <w:r>
        <w:rPr>
          <w:rFonts w:ascii="Calibri" w:hAnsi="Calibri"/>
          <w:b/>
          <w:color w:val="2E7D32"/>
        </w:rPr>
        <w:t>Verdict: FEASIBLE with 2-3 engineers. Second most comfortable timeline.</w:t>
      </w:r>
    </w:p>
    <w:p>
      <w:pPr>
        <w:pStyle w:val="Heading3"/>
      </w:pPr>
      <w:r>
        <w:t>Key Simplifications for Demo</w:t>
      </w:r>
    </w:p>
    <w:p>
      <w:pPr>
        <w:pStyle w:val="ListBullet"/>
      </w:pPr>
      <w:r>
        <w:rPr>
          <w:rFonts w:ascii="Calibri" w:hAnsi="Calibri"/>
          <w:sz w:val="20"/>
        </w:rPr>
        <w:t>Single corridor only (MXN-&gt;USD) -- show EUR/GBP as config options.</w:t>
      </w:r>
    </w:p>
    <w:p>
      <w:pPr>
        <w:pStyle w:val="ListBullet"/>
      </w:pPr>
      <w:r>
        <w:rPr>
          <w:rFonts w:ascii="Calibri" w:hAnsi="Calibri"/>
          <w:sz w:val="20"/>
        </w:rPr>
        <w:t>Fixed FX rate -- simulate rate lock visually but don't handle real volatility.</w:t>
      </w:r>
    </w:p>
    <w:p>
      <w:pPr>
        <w:pStyle w:val="ListBullet"/>
      </w:pPr>
      <w:r>
        <w:rPr>
          <w:rFonts w:ascii="Calibri" w:hAnsi="Calibri"/>
          <w:sz w:val="20"/>
        </w:rPr>
        <w:t>Local Solana validator -- not devnet.</w:t>
      </w:r>
    </w:p>
    <w:p>
      <w:pPr>
        <w:pStyle w:val="ListBullet"/>
      </w:pPr>
      <w:r>
        <w:rPr>
          <w:rFonts w:ascii="Calibri" w:hAnsi="Calibri"/>
          <w:sz w:val="20"/>
        </w:rPr>
        <w:t>Hardcode demo buyer ("Carlos Rodriguez", MXN, 17,500 pesos).</w:t>
      </w:r>
    </w:p>
    <w:p>
      <w:pPr>
        <w:pStyle w:val="ListBullet"/>
      </w:pPr>
      <w:r>
        <w:rPr>
          <w:rFonts w:ascii="Calibri" w:hAnsi="Calibri"/>
          <w:sz w:val="20"/>
        </w:rPr>
        <w:t>Skip reconciliation engine -- build the visual, not the ledger matching.</w:t>
      </w:r>
    </w:p>
    <w:p>
      <w:pPr>
        <w:pStyle w:val="ListBullet"/>
      </w:pPr>
      <w:r>
        <w:rPr>
          <w:rFonts w:ascii="Calibri" w:hAnsi="Calibri"/>
          <w:sz w:val="20"/>
        </w:rPr>
        <w:t>Add OFAC compliance stub -- "Screening: PASSED (simulated)" in transaction detail.</w:t>
      </w:r>
    </w:p>
    <w:p>
      <w:r>
        <w:br w:type="page"/>
      </w:r>
    </w:p>
    <w:p>
      <w:pPr>
        <w:pStyle w:val="Heading2"/>
      </w:pPr>
      <w:r>
        <w:t>Cross-Cutting Technical Recommendations</w:t>
      </w:r>
    </w:p>
    <w:p>
      <w:pPr>
        <w:pStyle w:val="Heading3"/>
      </w:pPr>
      <w:r>
        <w:t>Shared Infrastructure (Build First)</w:t>
      </w:r>
    </w:p>
    <w:p>
      <w:pPr>
        <w:spacing w:after="120"/>
      </w:pPr>
      <w:r>
        <w:rPr>
          <w:rFonts w:ascii="Calibri" w:hAnsi="Calibri"/>
          <w:b/>
        </w:rPr>
        <w:t>These four prototypes share significant infrastructure. Extract shared components to save 2-3 weeks:</w:t>
      </w:r>
    </w:p>
    <w:tbl>
      <w:tblPr>
        <w:tblStyle w:val="TableGrid"/>
        <w:tblW w:type="auto" w:w="0"/>
        <w:jc w:val="left"/>
        <w:tblLook w:firstColumn="1" w:firstRow="1" w:lastColumn="0" w:lastRow="0" w:noHBand="0" w:noVBand="1" w:val="04A0"/>
      </w:tblPr>
      <w:tblGrid>
        <w:gridCol w:w="2880"/>
        <w:gridCol w:w="2880"/>
        <w:gridCol w:w="2880"/>
      </w:tblGrid>
      <w:tr>
        <w:tc>
          <w:tcPr>
            <w:tcW w:type="dxa" w:w="2592"/>
            <w:shd w:fill="003B5C"/>
          </w:tcPr>
          <w:p>
            <w:r>
              <w:rPr>
                <w:rFonts w:ascii="Calibri" w:hAnsi="Calibri"/>
                <w:b/>
                <w:color w:val="FFFFFF"/>
                <w:sz w:val="18"/>
              </w:rPr>
              <w:t>Component</w:t>
            </w:r>
          </w:p>
        </w:tc>
        <w:tc>
          <w:tcPr>
            <w:tcW w:type="dxa" w:w="5040"/>
            <w:shd w:fill="003B5C"/>
          </w:tcPr>
          <w:p>
            <w:r>
              <w:rPr>
                <w:rFonts w:ascii="Calibri" w:hAnsi="Calibri"/>
                <w:b/>
                <w:color w:val="FFFFFF"/>
                <w:sz w:val="18"/>
              </w:rPr>
              <w:t>Description</w:t>
            </w:r>
          </w:p>
        </w:tc>
        <w:tc>
          <w:tcPr>
            <w:tcW w:type="dxa" w:w="1440"/>
            <w:shd w:fill="003B5C"/>
          </w:tcPr>
          <w:p>
            <w:r>
              <w:rPr>
                <w:rFonts w:ascii="Calibri" w:hAnsi="Calibri"/>
                <w:b/>
                <w:color w:val="FFFFFF"/>
                <w:sz w:val="18"/>
              </w:rPr>
              <w:t>Used By</w:t>
            </w:r>
          </w:p>
        </w:tc>
      </w:tr>
      <w:tr>
        <w:tc>
          <w:tcPr>
            <w:tcW w:type="dxa" w:w="2592"/>
          </w:tcPr>
          <w:p>
            <w:r>
              <w:rPr>
                <w:rFonts w:ascii="Calibri" w:hAnsi="Calibri"/>
                <w:sz w:val="18"/>
              </w:rPr>
              <w:t>Finxact Client Library</w:t>
            </w:r>
          </w:p>
        </w:tc>
        <w:tc>
          <w:tcPr>
            <w:tcW w:type="dxa" w:w="5040"/>
          </w:tcPr>
          <w:p>
            <w:r>
              <w:rPr>
                <w:rFonts w:ascii="Calibri" w:hAnsi="Calibri"/>
                <w:sz w:val="18"/>
              </w:rPr>
              <w:t>Python SDK wrapping all Finxact REST API calls (accounts, positions, transfers)</w:t>
            </w:r>
          </w:p>
        </w:tc>
        <w:tc>
          <w:tcPr>
            <w:tcW w:type="dxa" w:w="1440"/>
          </w:tcPr>
          <w:p>
            <w:r>
              <w:rPr>
                <w:rFonts w:ascii="Calibri" w:hAnsi="Calibri"/>
                <w:sz w:val="18"/>
              </w:rPr>
              <w:t>P1, P3, P4</w:t>
            </w:r>
          </w:p>
        </w:tc>
      </w:tr>
      <w:tr>
        <w:tc>
          <w:tcPr>
            <w:tcW w:type="dxa" w:w="2592"/>
            <w:shd w:fill="F2F2F2"/>
          </w:tcPr>
          <w:p>
            <w:r>
              <w:rPr>
                <w:rFonts w:ascii="Calibri" w:hAnsi="Calibri"/>
                <w:sz w:val="18"/>
              </w:rPr>
              <w:t>INDX Simulator</w:t>
            </w:r>
          </w:p>
        </w:tc>
        <w:tc>
          <w:tcPr>
            <w:tcW w:type="dxa" w:w="5040"/>
            <w:shd w:fill="F2F2F2"/>
          </w:tcPr>
          <w:p>
            <w:r>
              <w:rPr>
                <w:rFonts w:ascii="Calibri" w:hAnsi="Calibri"/>
                <w:sz w:val="18"/>
              </w:rPr>
              <w:t>Mock service: POST /settle -&gt; USD settlement confirmation with 1-3s latency</w:t>
            </w:r>
          </w:p>
        </w:tc>
        <w:tc>
          <w:tcPr>
            <w:tcW w:type="dxa" w:w="1440"/>
            <w:shd w:fill="F2F2F2"/>
          </w:tcPr>
          <w:p>
            <w:r>
              <w:rPr>
                <w:rFonts w:ascii="Calibri" w:hAnsi="Calibri"/>
                <w:sz w:val="18"/>
              </w:rPr>
              <w:t>All 4</w:t>
            </w:r>
          </w:p>
        </w:tc>
      </w:tr>
      <w:tr>
        <w:tc>
          <w:tcPr>
            <w:tcW w:type="dxa" w:w="2592"/>
          </w:tcPr>
          <w:p>
            <w:r>
              <w:rPr>
                <w:rFonts w:ascii="Calibri" w:hAnsi="Calibri"/>
                <w:sz w:val="18"/>
              </w:rPr>
              <w:t>Local Solana Setup</w:t>
            </w:r>
          </w:p>
        </w:tc>
        <w:tc>
          <w:tcPr>
            <w:tcW w:type="dxa" w:w="5040"/>
          </w:tcPr>
          <w:p>
            <w:r>
              <w:rPr>
                <w:rFonts w:ascii="Calibri" w:hAnsi="Calibri"/>
                <w:sz w:val="18"/>
              </w:rPr>
              <w:t>Script: start validator, deploy FIUSD/USDC tokens, pre-fund wallets</w:t>
            </w:r>
          </w:p>
        </w:tc>
        <w:tc>
          <w:tcPr>
            <w:tcW w:type="dxa" w:w="1440"/>
          </w:tcPr>
          <w:p>
            <w:r>
              <w:rPr>
                <w:rFonts w:ascii="Calibri" w:hAnsi="Calibri"/>
                <w:sz w:val="18"/>
              </w:rPr>
              <w:t>P2, P4</w:t>
            </w:r>
          </w:p>
        </w:tc>
      </w:tr>
      <w:tr>
        <w:tc>
          <w:tcPr>
            <w:tcW w:type="dxa" w:w="2592"/>
            <w:shd w:fill="F2F2F2"/>
          </w:tcPr>
          <w:p>
            <w:r>
              <w:rPr>
                <w:rFonts w:ascii="Calibri" w:hAnsi="Calibri"/>
                <w:sz w:val="18"/>
              </w:rPr>
              <w:t>React Component Library</w:t>
            </w:r>
          </w:p>
        </w:tc>
        <w:tc>
          <w:tcPr>
            <w:tcW w:type="dxa" w:w="5040"/>
            <w:shd w:fill="F2F2F2"/>
          </w:tcPr>
          <w:p>
            <w:r>
              <w:rPr>
                <w:rFonts w:ascii="Calibri" w:hAnsi="Calibri"/>
                <w:sz w:val="18"/>
              </w:rPr>
              <w:t>Earnings widgets, settlement animations, transaction tables</w:t>
            </w:r>
          </w:p>
        </w:tc>
        <w:tc>
          <w:tcPr>
            <w:tcW w:type="dxa" w:w="1440"/>
            <w:shd w:fill="F2F2F2"/>
          </w:tcPr>
          <w:p>
            <w:r>
              <w:rPr>
                <w:rFonts w:ascii="Calibri" w:hAnsi="Calibri"/>
                <w:sz w:val="18"/>
              </w:rPr>
              <w:t>All 4</w:t>
            </w:r>
          </w:p>
        </w:tc>
      </w:tr>
      <w:tr>
        <w:tc>
          <w:tcPr>
            <w:tcW w:type="dxa" w:w="2592"/>
          </w:tcPr>
          <w:p>
            <w:r>
              <w:rPr>
                <w:rFonts w:ascii="Calibri" w:hAnsi="Calibri"/>
                <w:sz w:val="18"/>
              </w:rPr>
              <w:t>Demo Mode Pattern</w:t>
            </w:r>
          </w:p>
        </w:tc>
        <w:tc>
          <w:tcPr>
            <w:tcW w:type="dxa" w:w="5040"/>
          </w:tcPr>
          <w:p>
            <w:r>
              <w:rPr>
                <w:rFonts w:ascii="Calibri" w:hAnsi="Calibri"/>
                <w:sz w:val="18"/>
              </w:rPr>
              <w:t>Universal fallback to pre-computed results if any external dependency fails</w:t>
            </w:r>
          </w:p>
        </w:tc>
        <w:tc>
          <w:tcPr>
            <w:tcW w:type="dxa" w:w="1440"/>
          </w:tcPr>
          <w:p>
            <w:r>
              <w:rPr>
                <w:rFonts w:ascii="Calibri" w:hAnsi="Calibri"/>
                <w:sz w:val="18"/>
              </w:rPr>
              <w:t>All 4</w:t>
            </w:r>
          </w:p>
        </w:tc>
      </w:tr>
    </w:tbl>
    <w:p/>
    <w:p>
      <w:pPr>
        <w:spacing w:after="120"/>
      </w:pPr>
      <w:r>
        <w:rPr>
          <w:rFonts w:ascii="Calibri" w:hAnsi="Calibri"/>
          <w:b/>
        </w:rPr>
        <w:t>Monorepo structure:</w:t>
      </w:r>
    </w:p>
    <w:p>
      <w:pPr>
        <w:spacing w:after="120"/>
      </w:pPr>
      <w:r>
        <w:rPr>
          <w:rFonts w:ascii="Calibri" w:hAnsi="Calibri"/>
          <w:sz w:val="20"/>
        </w:rPr>
        <w:t>/shared/</w:t>
        <w:br/>
        <w:t xml:space="preserve">  /finxact-client/</w:t>
        <w:br/>
        <w:t xml:space="preserve">  /indx-simulator/</w:t>
        <w:br/>
        <w:t xml:space="preserve">  /solana-setup/</w:t>
        <w:br/>
        <w:t xml:space="preserve">  /react-components/</w:t>
        <w:br/>
        <w:t xml:space="preserve">  /demo-mode/</w:t>
        <w:br/>
        <w:t>/prototype-1-yield-sweep/</w:t>
        <w:br/>
        <w:t>/prototype-2-agent-pay/</w:t>
        <w:br/>
        <w:t>/prototype-3-supplier-pay/</w:t>
        <w:br/>
        <w:t>/prototype-4-cross-border/</w:t>
      </w:r>
    </w:p>
    <w:p>
      <w:pPr>
        <w:pStyle w:val="Heading3"/>
      </w:pPr>
      <w:r>
        <w:t>Demo Reliability Pattern (All Prototypes)</w:t>
      </w:r>
    </w:p>
    <w:p>
      <w:pPr>
        <w:spacing w:after="120"/>
      </w:pPr>
      <w:r>
        <w:rPr>
          <w:rFonts w:ascii="Calibri" w:hAnsi="Calibri"/>
        </w:rPr>
        <w:t>Every prototype must implement the same pattern: attempt real API call with 5-second timeout. If it fails, seamlessly fall back to pre-computed result. Log the fallback but don't show it to the audience. Register fallbacks for every external dependency at startup.</w:t>
      </w:r>
    </w:p>
    <w:p>
      <w:pPr>
        <w:pStyle w:val="Heading3"/>
      </w:pPr>
      <w:r>
        <w:t>Investor Day Technical Setup</w:t>
      </w:r>
    </w:p>
    <w:p>
      <w:pPr>
        <w:pStyle w:val="ListBullet"/>
      </w:pPr>
      <w:r>
        <w:rPr>
          <w:rFonts w:ascii="Calibri" w:hAnsi="Calibri"/>
          <w:sz w:val="20"/>
        </w:rPr>
        <w:t>Single demo machine running all 4 prototypes locally. No cloud dependencies.</w:t>
      </w:r>
    </w:p>
    <w:p>
      <w:pPr>
        <w:pStyle w:val="ListBullet"/>
      </w:pPr>
      <w:r>
        <w:rPr>
          <w:rFonts w:ascii="Calibri" w:hAnsi="Calibri"/>
          <w:sz w:val="20"/>
        </w:rPr>
        <w:t>Local Solana validator pre-started with all tokens deployed and wallets funded.</w:t>
      </w:r>
    </w:p>
    <w:p>
      <w:pPr>
        <w:pStyle w:val="ListBullet"/>
      </w:pPr>
      <w:r>
        <w:rPr>
          <w:rFonts w:ascii="Calibri" w:hAnsi="Calibri"/>
          <w:sz w:val="20"/>
        </w:rPr>
        <w:t>All databases pre-seeded with 30+ days of simulated data.</w:t>
      </w:r>
    </w:p>
    <w:p>
      <w:pPr>
        <w:pStyle w:val="ListBullet"/>
      </w:pPr>
      <w:r>
        <w:rPr>
          <w:rFonts w:ascii="Calibri" w:hAnsi="Calibri"/>
          <w:sz w:val="20"/>
        </w:rPr>
        <w:t>All demo mode fallbacks registered and tested.</w:t>
      </w:r>
    </w:p>
    <w:p>
      <w:pPr>
        <w:pStyle w:val="ListBullet"/>
      </w:pPr>
      <w:r>
        <w:rPr>
          <w:rFonts w:ascii="Calibri" w:hAnsi="Calibri"/>
          <w:sz w:val="20"/>
        </w:rPr>
        <w:t>Network independence: entire demo must work with WiFi OFF. Conference WiFi is unreliable.</w:t>
      </w:r>
    </w:p>
    <w:p>
      <w:pPr>
        <w:pStyle w:val="ListBullet"/>
      </w:pPr>
      <w:r>
        <w:rPr>
          <w:rFonts w:ascii="Calibri" w:hAnsi="Calibri"/>
          <w:sz w:val="20"/>
        </w:rPr>
        <w:t>Backup machine: identical setup on a second laptop. If primary dies, swap in 60 seconds.</w:t>
      </w:r>
    </w:p>
    <w:p>
      <w:pPr>
        <w:pStyle w:val="ListBullet"/>
      </w:pPr>
      <w:r>
        <w:rPr>
          <w:rFonts w:ascii="Calibri" w:hAnsi="Calibri"/>
          <w:sz w:val="20"/>
        </w:rPr>
        <w:t>Screen recording: record demo in advance as backup video. If both machines fail, play the video.</w:t>
      </w:r>
    </w:p>
    <w:p>
      <w:pPr>
        <w:pStyle w:val="ListBullet"/>
      </w:pPr>
      <w:r>
        <w:rPr>
          <w:rFonts w:ascii="Calibri" w:hAnsi="Calibri"/>
          <w:sz w:val="20"/>
        </w:rPr>
        <w:t>Pre-demo health check script: curl all 4 /health endpoints, check Solana validator, PostgreSQL, Redis.</w:t>
      </w:r>
    </w:p>
    <w:p>
      <w:r>
        <w:br w:type="page"/>
      </w:r>
    </w:p>
    <w:p>
      <w:pPr>
        <w:pStyle w:val="Heading2"/>
      </w:pPr>
      <w:r>
        <w:t>Spec Panel Overall Scores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2592"/>
            <w:shd w:fill="003B5C"/>
          </w:tcPr>
          <w:p>
            <w:r>
              <w:rPr>
                <w:rFonts w:ascii="Calibri" w:hAnsi="Calibri"/>
                <w:b/>
                <w:color w:val="FFFFFF"/>
                <w:sz w:val="18"/>
              </w:rPr>
              <w:t>Dimension</w:t>
            </w:r>
          </w:p>
        </w:tc>
        <w:tc>
          <w:tcPr>
            <w:tcW w:type="dxa" w:w="2160"/>
            <w:shd w:fill="003B5C"/>
          </w:tcPr>
          <w:p>
            <w:r>
              <w:rPr>
                <w:rFonts w:ascii="Calibri" w:hAnsi="Calibri"/>
                <w:b/>
                <w:color w:val="FFFFFF"/>
                <w:sz w:val="18"/>
              </w:rPr>
              <w:t>P1: Yield Sweep</w:t>
            </w:r>
          </w:p>
        </w:tc>
        <w:tc>
          <w:tcPr>
            <w:tcW w:type="dxa" w:w="2592"/>
            <w:shd w:fill="003B5C"/>
          </w:tcPr>
          <w:p>
            <w:r>
              <w:rPr>
                <w:rFonts w:ascii="Calibri" w:hAnsi="Calibri"/>
                <w:b/>
                <w:color w:val="FFFFFF"/>
                <w:sz w:val="18"/>
              </w:rPr>
              <w:t>P2: Agent Pay</w:t>
            </w:r>
          </w:p>
        </w:tc>
        <w:tc>
          <w:tcPr>
            <w:tcW w:type="dxa" w:w="2592"/>
            <w:shd w:fill="003B5C"/>
          </w:tcPr>
          <w:p>
            <w:r>
              <w:rPr>
                <w:rFonts w:ascii="Calibri" w:hAnsi="Calibri"/>
                <w:b/>
                <w:color w:val="FFFFFF"/>
                <w:sz w:val="18"/>
              </w:rPr>
              <w:t>P3: Supplier Pay</w:t>
            </w:r>
          </w:p>
        </w:tc>
        <w:tc>
          <w:tcPr>
            <w:tcW w:type="dxa" w:w="2160"/>
            <w:shd w:fill="003B5C"/>
          </w:tcPr>
          <w:p>
            <w:r>
              <w:rPr>
                <w:rFonts w:ascii="Calibri" w:hAnsi="Calibri"/>
                <w:b/>
                <w:color w:val="FFFFFF"/>
                <w:sz w:val="18"/>
              </w:rPr>
              <w:t>P4: Cross-Border</w:t>
            </w:r>
          </w:p>
        </w:tc>
      </w:tr>
      <w:tr>
        <w:tc>
          <w:tcPr>
            <w:tcW w:type="dxa" w:w="2592"/>
          </w:tcPr>
          <w:p>
            <w:r>
              <w:rPr>
                <w:rFonts w:ascii="Calibri" w:hAnsi="Calibri"/>
                <w:sz w:val="18"/>
              </w:rPr>
              <w:t>Architecture soundness</w:t>
            </w:r>
          </w:p>
        </w:tc>
        <w:tc>
          <w:tcPr>
            <w:tcW w:type="dxa" w:w="2160"/>
          </w:tcPr>
          <w:p>
            <w:r>
              <w:rPr>
                <w:rFonts w:ascii="Calibri" w:hAnsi="Calibri"/>
                <w:sz w:val="18"/>
              </w:rPr>
              <w:t>8/10</w:t>
            </w:r>
          </w:p>
        </w:tc>
        <w:tc>
          <w:tcPr>
            <w:tcW w:type="dxa" w:w="2592"/>
          </w:tcPr>
          <w:p>
            <w:r>
              <w:rPr>
                <w:rFonts w:ascii="Calibri" w:hAnsi="Calibri"/>
                <w:sz w:val="18"/>
              </w:rPr>
              <w:t>7/10</w:t>
            </w:r>
          </w:p>
        </w:tc>
        <w:tc>
          <w:tcPr>
            <w:tcW w:type="dxa" w:w="2592"/>
          </w:tcPr>
          <w:p>
            <w:r>
              <w:rPr>
                <w:rFonts w:ascii="Calibri" w:hAnsi="Calibri"/>
                <w:sz w:val="18"/>
              </w:rPr>
              <w:t>9/10</w:t>
            </w:r>
          </w:p>
        </w:tc>
        <w:tc>
          <w:tcPr>
            <w:tcW w:type="dxa" w:w="2160"/>
          </w:tcPr>
          <w:p>
            <w:r>
              <w:rPr>
                <w:rFonts w:ascii="Calibri" w:hAnsi="Calibri"/>
                <w:sz w:val="18"/>
              </w:rPr>
              <w:t>8/10</w:t>
            </w:r>
          </w:p>
        </w:tc>
      </w:tr>
      <w:tr>
        <w:tc>
          <w:tcPr>
            <w:tcW w:type="dxa" w:w="2592"/>
            <w:shd w:fill="F2F2F2"/>
          </w:tcPr>
          <w:p>
            <w:r>
              <w:rPr>
                <w:rFonts w:ascii="Calibri" w:hAnsi="Calibri"/>
                <w:sz w:val="18"/>
              </w:rPr>
              <w:t>API design quality</w:t>
            </w:r>
          </w:p>
        </w:tc>
        <w:tc>
          <w:tcPr>
            <w:tcW w:type="dxa" w:w="2160"/>
            <w:shd w:fill="F2F2F2"/>
          </w:tcPr>
          <w:p>
            <w:r>
              <w:rPr>
                <w:rFonts w:ascii="Calibri" w:hAnsi="Calibri"/>
                <w:sz w:val="18"/>
              </w:rPr>
              <w:t>7/10</w:t>
            </w:r>
          </w:p>
        </w:tc>
        <w:tc>
          <w:tcPr>
            <w:tcW w:type="dxa" w:w="2592"/>
            <w:shd w:fill="F2F2F2"/>
          </w:tcPr>
          <w:p>
            <w:r>
              <w:rPr>
                <w:rFonts w:ascii="Calibri" w:hAnsi="Calibri"/>
                <w:sz w:val="18"/>
              </w:rPr>
              <w:t>8/10</w:t>
            </w:r>
          </w:p>
        </w:tc>
        <w:tc>
          <w:tcPr>
            <w:tcW w:type="dxa" w:w="2592"/>
            <w:shd w:fill="F2F2F2"/>
          </w:tcPr>
          <w:p>
            <w:r>
              <w:rPr>
                <w:rFonts w:ascii="Calibri" w:hAnsi="Calibri"/>
                <w:sz w:val="18"/>
              </w:rPr>
              <w:t>7/10</w:t>
            </w:r>
          </w:p>
        </w:tc>
        <w:tc>
          <w:tcPr>
            <w:tcW w:type="dxa" w:w="2160"/>
            <w:shd w:fill="F2F2F2"/>
          </w:tcPr>
          <w:p>
            <w:r>
              <w:rPr>
                <w:rFonts w:ascii="Calibri" w:hAnsi="Calibri"/>
                <w:sz w:val="18"/>
              </w:rPr>
              <w:t>7/10</w:t>
            </w:r>
          </w:p>
        </w:tc>
      </w:tr>
      <w:tr>
        <w:tc>
          <w:tcPr>
            <w:tcW w:type="dxa" w:w="2592"/>
          </w:tcPr>
          <w:p>
            <w:r>
              <w:rPr>
                <w:rFonts w:ascii="Calibri" w:hAnsi="Calibri"/>
                <w:sz w:val="18"/>
              </w:rPr>
              <w:t>Security posture</w:t>
            </w:r>
          </w:p>
        </w:tc>
        <w:tc>
          <w:tcPr>
            <w:tcW w:type="dxa" w:w="2160"/>
          </w:tcPr>
          <w:p>
            <w:r>
              <w:rPr>
                <w:rFonts w:ascii="Calibri" w:hAnsi="Calibri"/>
                <w:sz w:val="18"/>
              </w:rPr>
              <w:t>7/10</w:t>
            </w:r>
          </w:p>
        </w:tc>
        <w:tc>
          <w:tcPr>
            <w:tcW w:type="dxa" w:w="2592"/>
          </w:tcPr>
          <w:p>
            <w:r>
              <w:rPr>
                <w:rFonts w:ascii="Calibri" w:hAnsi="Calibri"/>
                <w:sz w:val="18"/>
              </w:rPr>
              <w:t>6/10</w:t>
            </w:r>
          </w:p>
        </w:tc>
        <w:tc>
          <w:tcPr>
            <w:tcW w:type="dxa" w:w="2592"/>
          </w:tcPr>
          <w:p>
            <w:r>
              <w:rPr>
                <w:rFonts w:ascii="Calibri" w:hAnsi="Calibri"/>
                <w:sz w:val="18"/>
              </w:rPr>
              <w:t>8/10</w:t>
            </w:r>
          </w:p>
        </w:tc>
        <w:tc>
          <w:tcPr>
            <w:tcW w:type="dxa" w:w="2160"/>
          </w:tcPr>
          <w:p>
            <w:r>
              <w:rPr>
                <w:rFonts w:ascii="Calibri" w:hAnsi="Calibri"/>
                <w:sz w:val="18"/>
              </w:rPr>
              <w:t>7/10</w:t>
            </w:r>
          </w:p>
        </w:tc>
      </w:tr>
      <w:tr>
        <w:tc>
          <w:tcPr>
            <w:tcW w:type="dxa" w:w="2592"/>
            <w:shd w:fill="F2F2F2"/>
          </w:tcPr>
          <w:p>
            <w:r>
              <w:rPr>
                <w:rFonts w:ascii="Calibri" w:hAnsi="Calibri"/>
                <w:sz w:val="18"/>
              </w:rPr>
              <w:t>Demo reliability</w:t>
            </w:r>
          </w:p>
        </w:tc>
        <w:tc>
          <w:tcPr>
            <w:tcW w:type="dxa" w:w="2160"/>
            <w:shd w:fill="F2F2F2"/>
          </w:tcPr>
          <w:p>
            <w:r>
              <w:rPr>
                <w:rFonts w:ascii="Calibri" w:hAnsi="Calibri"/>
                <w:sz w:val="18"/>
              </w:rPr>
              <w:t>7/10</w:t>
            </w:r>
          </w:p>
        </w:tc>
        <w:tc>
          <w:tcPr>
            <w:tcW w:type="dxa" w:w="2592"/>
            <w:shd w:fill="F2F2F2"/>
          </w:tcPr>
          <w:p>
            <w:r>
              <w:rPr>
                <w:rFonts w:ascii="Calibri" w:hAnsi="Calibri"/>
                <w:sz w:val="18"/>
              </w:rPr>
              <w:t>5/10 (highest risk)</w:t>
            </w:r>
          </w:p>
        </w:tc>
        <w:tc>
          <w:tcPr>
            <w:tcW w:type="dxa" w:w="2592"/>
            <w:shd w:fill="F2F2F2"/>
          </w:tcPr>
          <w:p>
            <w:r>
              <w:rPr>
                <w:rFonts w:ascii="Calibri" w:hAnsi="Calibri"/>
                <w:sz w:val="18"/>
              </w:rPr>
              <w:t>9/10 (lowest risk)</w:t>
            </w:r>
          </w:p>
        </w:tc>
        <w:tc>
          <w:tcPr>
            <w:tcW w:type="dxa" w:w="2160"/>
            <w:shd w:fill="F2F2F2"/>
          </w:tcPr>
          <w:p>
            <w:r>
              <w:rPr>
                <w:rFonts w:ascii="Calibri" w:hAnsi="Calibri"/>
                <w:sz w:val="18"/>
              </w:rPr>
              <w:t>7/10</w:t>
            </w:r>
          </w:p>
        </w:tc>
      </w:tr>
      <w:tr>
        <w:tc>
          <w:tcPr>
            <w:tcW w:type="dxa" w:w="2592"/>
          </w:tcPr>
          <w:p>
            <w:r>
              <w:rPr>
                <w:rFonts w:ascii="Calibri" w:hAnsi="Calibri"/>
                <w:sz w:val="18"/>
              </w:rPr>
              <w:t>Feasibility in 7 weeks</w:t>
            </w:r>
          </w:p>
        </w:tc>
        <w:tc>
          <w:tcPr>
            <w:tcW w:type="dxa" w:w="2160"/>
          </w:tcPr>
          <w:p>
            <w:r>
              <w:rPr>
                <w:rFonts w:ascii="Calibri" w:hAnsi="Calibri"/>
                <w:sz w:val="18"/>
              </w:rPr>
              <w:t>8/10</w:t>
            </w:r>
          </w:p>
        </w:tc>
        <w:tc>
          <w:tcPr>
            <w:tcW w:type="dxa" w:w="2592"/>
          </w:tcPr>
          <w:p>
            <w:r>
              <w:rPr>
                <w:rFonts w:ascii="Calibri" w:hAnsi="Calibri"/>
                <w:sz w:val="18"/>
              </w:rPr>
              <w:t>6/10 (tightest)</w:t>
            </w:r>
          </w:p>
        </w:tc>
        <w:tc>
          <w:tcPr>
            <w:tcW w:type="dxa" w:w="2592"/>
          </w:tcPr>
          <w:p>
            <w:r>
              <w:rPr>
                <w:rFonts w:ascii="Calibri" w:hAnsi="Calibri"/>
                <w:sz w:val="18"/>
              </w:rPr>
              <w:t>9/10 (most comfortable)</w:t>
            </w:r>
          </w:p>
        </w:tc>
        <w:tc>
          <w:tcPr>
            <w:tcW w:type="dxa" w:w="2160"/>
          </w:tcPr>
          <w:p>
            <w:r>
              <w:rPr>
                <w:rFonts w:ascii="Calibri" w:hAnsi="Calibri"/>
                <w:sz w:val="18"/>
              </w:rPr>
              <w:t>8/10</w:t>
            </w:r>
          </w:p>
        </w:tc>
      </w:tr>
      <w:tr>
        <w:tc>
          <w:tcPr>
            <w:tcW w:type="dxa" w:w="2592"/>
            <w:shd w:fill="F2F2F2"/>
          </w:tcPr>
          <w:p>
            <w:r>
              <w:rPr>
                <w:rFonts w:ascii="Calibri" w:hAnsi="Calibri"/>
                <w:sz w:val="18"/>
              </w:rPr>
              <w:t>Spec completeness</w:t>
            </w:r>
          </w:p>
        </w:tc>
        <w:tc>
          <w:tcPr>
            <w:tcW w:type="dxa" w:w="2160"/>
            <w:shd w:fill="F2F2F2"/>
          </w:tcPr>
          <w:p>
            <w:r>
              <w:rPr>
                <w:rFonts w:ascii="Calibri" w:hAnsi="Calibri"/>
                <w:sz w:val="18"/>
              </w:rPr>
              <w:t>7/10</w:t>
            </w:r>
          </w:p>
        </w:tc>
        <w:tc>
          <w:tcPr>
            <w:tcW w:type="dxa" w:w="2592"/>
            <w:shd w:fill="F2F2F2"/>
          </w:tcPr>
          <w:p>
            <w:r>
              <w:rPr>
                <w:rFonts w:ascii="Calibri" w:hAnsi="Calibri"/>
                <w:sz w:val="18"/>
              </w:rPr>
              <w:t>6/10</w:t>
            </w:r>
          </w:p>
        </w:tc>
        <w:tc>
          <w:tcPr>
            <w:tcW w:type="dxa" w:w="2592"/>
            <w:shd w:fill="F2F2F2"/>
          </w:tcPr>
          <w:p>
            <w:r>
              <w:rPr>
                <w:rFonts w:ascii="Calibri" w:hAnsi="Calibri"/>
                <w:sz w:val="18"/>
              </w:rPr>
              <w:t>7/10</w:t>
            </w:r>
          </w:p>
        </w:tc>
        <w:tc>
          <w:tcPr>
            <w:tcW w:type="dxa" w:w="2160"/>
            <w:shd w:fill="F2F2F2"/>
          </w:tcPr>
          <w:p>
            <w:r>
              <w:rPr>
                <w:rFonts w:ascii="Calibri" w:hAnsi="Calibri"/>
                <w:sz w:val="18"/>
              </w:rPr>
              <w:t>7/10</w:t>
            </w:r>
          </w:p>
        </w:tc>
      </w:tr>
      <w:tr>
        <w:tc>
          <w:tcPr>
            <w:tcW w:type="dxa" w:w="2592"/>
          </w:tcPr>
          <w:p>
            <w:r>
              <w:rPr>
                <w:rFonts w:ascii="Calibri" w:hAnsi="Calibri"/>
                <w:sz w:val="18"/>
              </w:rPr>
              <w:t>OVERALL</w:t>
            </w:r>
          </w:p>
        </w:tc>
        <w:tc>
          <w:tcPr>
            <w:tcW w:type="dxa" w:w="2160"/>
          </w:tcPr>
          <w:p>
            <w:r>
              <w:rPr>
                <w:rFonts w:ascii="Calibri" w:hAnsi="Calibri"/>
                <w:sz w:val="18"/>
              </w:rPr>
              <w:t>7.3/10</w:t>
            </w:r>
          </w:p>
        </w:tc>
        <w:tc>
          <w:tcPr>
            <w:tcW w:type="dxa" w:w="2592"/>
          </w:tcPr>
          <w:p>
            <w:r>
              <w:rPr>
                <w:rFonts w:ascii="Calibri" w:hAnsi="Calibri"/>
                <w:sz w:val="18"/>
              </w:rPr>
              <w:t>6.3/10</w:t>
            </w:r>
          </w:p>
        </w:tc>
        <w:tc>
          <w:tcPr>
            <w:tcW w:type="dxa" w:w="2592"/>
          </w:tcPr>
          <w:p>
            <w:r>
              <w:rPr>
                <w:rFonts w:ascii="Calibri" w:hAnsi="Calibri"/>
                <w:sz w:val="18"/>
              </w:rPr>
              <w:t>8.2/10</w:t>
            </w:r>
          </w:p>
        </w:tc>
        <w:tc>
          <w:tcPr>
            <w:tcW w:type="dxa" w:w="2160"/>
          </w:tcPr>
          <w:p>
            <w:r>
              <w:rPr>
                <w:rFonts w:ascii="Calibri" w:hAnsi="Calibri"/>
                <w:sz w:val="18"/>
              </w:rPr>
              <w:t>7.3/10</w:t>
            </w:r>
          </w:p>
        </w:tc>
      </w:tr>
    </w:tbl>
    <w:p>
      <w:r>
        <w:br w:type="page"/>
      </w:r>
    </w:p>
    <w:p>
      <w:pPr>
        <w:pStyle w:val="Heading1"/>
      </w:pPr>
      <w:r>
        <w:t>Section 3: Consolidated Action Items</w:t>
      </w:r>
    </w:p>
    <w:p>
      <w:pPr>
        <w:pStyle w:val="Heading2"/>
      </w:pPr>
      <w:r>
        <w:t>Week 1 Priority Actions (All Teams)</w:t>
      </w:r>
    </w:p>
    <w:p>
      <w:pPr>
        <w:pStyle w:val="ListBullet"/>
      </w:pPr>
      <w:r>
        <w:rPr>
          <w:rFonts w:ascii="Calibri" w:hAnsi="Calibri"/>
          <w:sz w:val="20"/>
        </w:rPr>
        <w:t>Build shared infrastructure first: Finxact client, INDX simulator, Solana setup, React components, demo mode pattern.</w:t>
      </w:r>
    </w:p>
    <w:p>
      <w:pPr>
        <w:pStyle w:val="ListBullet"/>
      </w:pPr>
      <w:r>
        <w:rPr>
          <w:rFonts w:ascii="Calibri" w:hAnsi="Calibri"/>
          <w:sz w:val="20"/>
        </w:rPr>
        <w:t>Define ALL API interfaces and data models before writing implementation code.</w:t>
      </w:r>
    </w:p>
    <w:p>
      <w:pPr>
        <w:pStyle w:val="ListBullet"/>
      </w:pPr>
      <w:r>
        <w:rPr>
          <w:rFonts w:ascii="Calibri" w:hAnsi="Calibri"/>
          <w:sz w:val="20"/>
        </w:rPr>
        <w:t>Set up local Solana validator with FIUSD/USDC token contracts deployed.</w:t>
      </w:r>
    </w:p>
    <w:p>
      <w:pPr>
        <w:pStyle w:val="ListBullet"/>
      </w:pPr>
      <w:r>
        <w:rPr>
          <w:rFonts w:ascii="Calibri" w:hAnsi="Calibri"/>
          <w:sz w:val="20"/>
        </w:rPr>
        <w:t>Design PostgreSQL schemas for all four prototypes.</w:t>
      </w:r>
    </w:p>
    <w:p>
      <w:pPr>
        <w:pStyle w:val="ListBullet"/>
      </w:pPr>
      <w:r>
        <w:rPr>
          <w:rFonts w:ascii="Calibri" w:hAnsi="Calibri"/>
          <w:sz w:val="20"/>
        </w:rPr>
        <w:t>Set up monorepo structure: /shared/ + /prototype-N/ directories.</w:t>
      </w:r>
    </w:p>
    <w:p>
      <w:pPr>
        <w:pStyle w:val="ListBullet"/>
      </w:pPr>
      <w:r>
        <w:rPr>
          <w:rFonts w:ascii="Calibri" w:hAnsi="Calibri"/>
          <w:sz w:val="20"/>
        </w:rPr>
        <w:t>Validate Finxact sandbox API access and document available endpoints.</w:t>
      </w:r>
    </w:p>
    <w:p>
      <w:pPr>
        <w:pStyle w:val="Heading2"/>
      </w:pPr>
      <w:r>
        <w:t>Team Allocation (Updated per Spec Panel)</w:t>
      </w:r>
    </w:p>
    <w:tbl>
      <w:tblPr>
        <w:tblStyle w:val="TableGrid"/>
        <w:tblW w:type="auto" w:w="0"/>
        <w:jc w:val="left"/>
        <w:tblLook w:firstColumn="1" w:firstRow="1" w:lastColumn="0" w:lastRow="0" w:noHBand="0" w:noVBand="1" w:val="04A0"/>
      </w:tblPr>
      <w:tblGrid>
        <w:gridCol w:w="2880"/>
        <w:gridCol w:w="2880"/>
        <w:gridCol w:w="2880"/>
      </w:tblGrid>
      <w:tr>
        <w:tc>
          <w:tcPr>
            <w:tcW w:type="dxa" w:w="2160"/>
            <w:shd w:fill="003B5C"/>
          </w:tcPr>
          <w:p>
            <w:r>
              <w:rPr>
                <w:rFonts w:ascii="Calibri" w:hAnsi="Calibri"/>
                <w:b/>
                <w:color w:val="FFFFFF"/>
                <w:sz w:val="18"/>
              </w:rPr>
              <w:t>Prototype</w:t>
            </w:r>
          </w:p>
        </w:tc>
        <w:tc>
          <w:tcPr>
            <w:tcW w:type="dxa" w:w="1728"/>
            <w:shd w:fill="003B5C"/>
          </w:tcPr>
          <w:p>
            <w:r>
              <w:rPr>
                <w:rFonts w:ascii="Calibri" w:hAnsi="Calibri"/>
                <w:b/>
                <w:color w:val="FFFFFF"/>
                <w:sz w:val="18"/>
              </w:rPr>
              <w:t>Engineers</w:t>
            </w:r>
          </w:p>
        </w:tc>
        <w:tc>
          <w:tcPr>
            <w:tcW w:type="dxa" w:w="6480"/>
            <w:shd w:fill="003B5C"/>
          </w:tcPr>
          <w:p>
            <w:r>
              <w:rPr>
                <w:rFonts w:ascii="Calibri" w:hAnsi="Calibri"/>
                <w:b/>
                <w:color w:val="FFFFFF"/>
                <w:sz w:val="18"/>
              </w:rPr>
              <w:t>Rationale</w:t>
            </w:r>
          </w:p>
        </w:tc>
      </w:tr>
      <w:tr>
        <w:tc>
          <w:tcPr>
            <w:tcW w:type="dxa" w:w="2160"/>
          </w:tcPr>
          <w:p>
            <w:r>
              <w:rPr>
                <w:rFonts w:ascii="Calibri" w:hAnsi="Calibri"/>
                <w:sz w:val="18"/>
              </w:rPr>
              <w:t>1. Yield Sweep</w:t>
            </w:r>
          </w:p>
        </w:tc>
        <w:tc>
          <w:tcPr>
            <w:tcW w:type="dxa" w:w="1728"/>
          </w:tcPr>
          <w:p>
            <w:r>
              <w:rPr>
                <w:rFonts w:ascii="Calibri" w:hAnsi="Calibri"/>
                <w:sz w:val="18"/>
              </w:rPr>
              <w:t>2-3</w:t>
            </w:r>
          </w:p>
        </w:tc>
        <w:tc>
          <w:tcPr>
            <w:tcW w:type="dxa" w:w="6480"/>
          </w:tcPr>
          <w:p>
            <w:r>
              <w:rPr>
                <w:rFonts w:ascii="Calibri" w:hAnsi="Calibri"/>
                <w:sz w:val="18"/>
              </w:rPr>
              <w:t>Feasible. Finxact integration is critical path.</w:t>
            </w:r>
          </w:p>
        </w:tc>
      </w:tr>
      <w:tr>
        <w:tc>
          <w:tcPr>
            <w:tcW w:type="dxa" w:w="2160"/>
            <w:shd w:fill="F2F2F2"/>
          </w:tcPr>
          <w:p>
            <w:r>
              <w:rPr>
                <w:rFonts w:ascii="Calibri" w:hAnsi="Calibri"/>
                <w:sz w:val="18"/>
              </w:rPr>
              <w:t>2. Agent Pay</w:t>
            </w:r>
          </w:p>
        </w:tc>
        <w:tc>
          <w:tcPr>
            <w:tcW w:type="dxa" w:w="1728"/>
            <w:shd w:fill="F2F2F2"/>
          </w:tcPr>
          <w:p>
            <w:r>
              <w:rPr>
                <w:rFonts w:ascii="Calibri" w:hAnsi="Calibri"/>
                <w:sz w:val="18"/>
              </w:rPr>
              <w:t>4 (increased from 3)</w:t>
            </w:r>
          </w:p>
        </w:tc>
        <w:tc>
          <w:tcPr>
            <w:tcW w:type="dxa" w:w="6480"/>
            <w:shd w:fill="F2F2F2"/>
          </w:tcPr>
          <w:p>
            <w:r>
              <w:rPr>
                <w:rFonts w:ascii="Calibri" w:hAnsi="Calibri"/>
                <w:sz w:val="18"/>
              </w:rPr>
              <w:t>Tightest timeline, highest risk. Extra capacity needed for x402 + crypto + agent.</w:t>
            </w:r>
          </w:p>
        </w:tc>
      </w:tr>
      <w:tr>
        <w:tc>
          <w:tcPr>
            <w:tcW w:type="dxa" w:w="2160"/>
          </w:tcPr>
          <w:p>
            <w:r>
              <w:rPr>
                <w:rFonts w:ascii="Calibri" w:hAnsi="Calibri"/>
                <w:sz w:val="18"/>
              </w:rPr>
              <w:t>3. Supplier Pay</w:t>
            </w:r>
          </w:p>
        </w:tc>
        <w:tc>
          <w:tcPr>
            <w:tcW w:type="dxa" w:w="1728"/>
          </w:tcPr>
          <w:p>
            <w:r>
              <w:rPr>
                <w:rFonts w:ascii="Calibri" w:hAnsi="Calibri"/>
                <w:sz w:val="18"/>
              </w:rPr>
              <w:t>2-3</w:t>
            </w:r>
          </w:p>
        </w:tc>
        <w:tc>
          <w:tcPr>
            <w:tcW w:type="dxa" w:w="6480"/>
          </w:tcPr>
          <w:p>
            <w:r>
              <w:rPr>
                <w:rFonts w:ascii="Calibri" w:hAnsi="Calibri"/>
                <w:sz w:val="18"/>
              </w:rPr>
              <w:t>Most comfortable timeline. Standard web app + Finxact integration.</w:t>
            </w:r>
          </w:p>
        </w:tc>
      </w:tr>
      <w:tr>
        <w:tc>
          <w:tcPr>
            <w:tcW w:type="dxa" w:w="2160"/>
            <w:shd w:fill="F2F2F2"/>
          </w:tcPr>
          <w:p>
            <w:r>
              <w:rPr>
                <w:rFonts w:ascii="Calibri" w:hAnsi="Calibri"/>
                <w:sz w:val="18"/>
              </w:rPr>
              <w:t>4. Cross-Border</w:t>
            </w:r>
          </w:p>
        </w:tc>
        <w:tc>
          <w:tcPr>
            <w:tcW w:type="dxa" w:w="1728"/>
            <w:shd w:fill="F2F2F2"/>
          </w:tcPr>
          <w:p>
            <w:r>
              <w:rPr>
                <w:rFonts w:ascii="Calibri" w:hAnsi="Calibri"/>
                <w:sz w:val="18"/>
              </w:rPr>
              <w:t>2-3</w:t>
            </w:r>
          </w:p>
        </w:tc>
        <w:tc>
          <w:tcPr>
            <w:tcW w:type="dxa" w:w="6480"/>
            <w:shd w:fill="F2F2F2"/>
          </w:tcPr>
          <w:p>
            <w:r>
              <w:rPr>
                <w:rFonts w:ascii="Calibri" w:hAnsi="Calibri"/>
                <w:sz w:val="18"/>
              </w:rPr>
              <w:t>Comfortable with scope simplifications (single corridor, fixed FX, local Solana).</w:t>
            </w:r>
          </w:p>
        </w:tc>
      </w:tr>
      <w:tr>
        <w:tc>
          <w:tcPr>
            <w:tcW w:type="dxa" w:w="2160"/>
          </w:tcPr>
          <w:p>
            <w:r>
              <w:rPr>
                <w:rFonts w:ascii="Calibri" w:hAnsi="Calibri"/>
                <w:sz w:val="18"/>
              </w:rPr>
              <w:t>Shared Infrastructure</w:t>
            </w:r>
          </w:p>
        </w:tc>
        <w:tc>
          <w:tcPr>
            <w:tcW w:type="dxa" w:w="1728"/>
          </w:tcPr>
          <w:p>
            <w:r>
              <w:rPr>
                <w:rFonts w:ascii="Calibri" w:hAnsi="Calibri"/>
                <w:sz w:val="18"/>
              </w:rPr>
              <w:t>1 (first 2 weeks)</w:t>
            </w:r>
          </w:p>
        </w:tc>
        <w:tc>
          <w:tcPr>
            <w:tcW w:type="dxa" w:w="6480"/>
          </w:tcPr>
          <w:p>
            <w:r>
              <w:rPr>
                <w:rFonts w:ascii="Calibri" w:hAnsi="Calibri"/>
                <w:sz w:val="18"/>
              </w:rPr>
              <w:t>Dedicated engineer builds shared components before prototype work begins.</w:t>
            </w:r>
          </w:p>
        </w:tc>
      </w:tr>
    </w:tbl>
    <w:p/>
    <w:p>
      <w:pPr>
        <w:spacing w:after="120"/>
      </w:pPr>
      <w:r>
        <w:rPr>
          <w:rFonts w:ascii="Calibri" w:hAnsi="Calibri"/>
          <w:b/>
        </w:rPr>
        <w:t>Total: 12-14 engineers (1 shared infra + 11-13 across 4 prototypes)</w:t>
      </w:r>
    </w:p>
    <w:p>
      <w:pPr>
        <w:pStyle w:val="Heading2"/>
      </w:pPr>
      <w:r>
        <w:t>Scope Cuts for Demo Feasibility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872"/>
            <w:shd w:fill="003B5C"/>
          </w:tcPr>
          <w:p>
            <w:r>
              <w:rPr>
                <w:rFonts w:ascii="Calibri" w:hAnsi="Calibri"/>
                <w:b/>
                <w:color w:val="FFFFFF"/>
                <w:sz w:val="18"/>
              </w:rPr>
              <w:t>Prototype</w:t>
            </w:r>
          </w:p>
        </w:tc>
        <w:tc>
          <w:tcPr>
            <w:tcW w:type="dxa" w:w="2592"/>
            <w:shd w:fill="003B5C"/>
          </w:tcPr>
          <w:p>
            <w:r>
              <w:rPr>
                <w:rFonts w:ascii="Calibri" w:hAnsi="Calibri"/>
                <w:b/>
                <w:color w:val="FFFFFF"/>
                <w:sz w:val="18"/>
              </w:rPr>
              <w:t>Cut from Demo</w:t>
            </w:r>
          </w:p>
        </w:tc>
        <w:tc>
          <w:tcPr>
            <w:tcW w:type="dxa" w:w="3600"/>
            <w:shd w:fill="003B5C"/>
          </w:tcPr>
          <w:p>
            <w:r>
              <w:rPr>
                <w:rFonts w:ascii="Calibri" w:hAnsi="Calibri"/>
                <w:b/>
                <w:color w:val="FFFFFF"/>
                <w:sz w:val="18"/>
              </w:rPr>
              <w:t>Reason</w:t>
            </w:r>
          </w:p>
        </w:tc>
        <w:tc>
          <w:tcPr>
            <w:tcW w:type="dxa" w:w="2160"/>
            <w:shd w:fill="003B5C"/>
          </w:tcPr>
          <w:p>
            <w:r>
              <w:rPr>
                <w:rFonts w:ascii="Calibri" w:hAnsi="Calibri"/>
                <w:b/>
                <w:color w:val="FFFFFF"/>
                <w:sz w:val="18"/>
              </w:rPr>
              <w:t>Add Post-Investor Day</w:t>
            </w:r>
          </w:p>
        </w:tc>
      </w:tr>
      <w:tr>
        <w:tc>
          <w:tcPr>
            <w:tcW w:type="dxa" w:w="1872"/>
          </w:tcPr>
          <w:p>
            <w:r>
              <w:rPr>
                <w:rFonts w:ascii="Calibri" w:hAnsi="Calibri"/>
                <w:sz w:val="18"/>
              </w:rPr>
              <w:t>2. Agent Pay</w:t>
            </w:r>
          </w:p>
        </w:tc>
        <w:tc>
          <w:tcPr>
            <w:tcW w:type="dxa" w:w="2592"/>
          </w:tcPr>
          <w:p>
            <w:r>
              <w:rPr>
                <w:rFonts w:ascii="Calibri" w:hAnsi="Calibri"/>
                <w:sz w:val="18"/>
              </w:rPr>
              <w:t>Python SDK</w:t>
            </w:r>
          </w:p>
        </w:tc>
        <w:tc>
          <w:tcPr>
            <w:tcW w:type="dxa" w:w="3600"/>
          </w:tcPr>
          <w:p>
            <w:r>
              <w:rPr>
                <w:rFonts w:ascii="Calibri" w:hAnsi="Calibri"/>
                <w:sz w:val="18"/>
              </w:rPr>
              <w:t>Saves 0.5 weeks, reduces testing</w:t>
            </w:r>
          </w:p>
        </w:tc>
        <w:tc>
          <w:tcPr>
            <w:tcW w:type="dxa" w:w="2160"/>
          </w:tcPr>
          <w:p>
            <w:r>
              <w:rPr>
                <w:rFonts w:ascii="Calibri" w:hAnsi="Calibri"/>
                <w:sz w:val="18"/>
              </w:rPr>
              <w:t>Yes -- add in sprint 2</w:t>
            </w:r>
          </w:p>
        </w:tc>
      </w:tr>
      <w:tr>
        <w:tc>
          <w:tcPr>
            <w:tcW w:type="dxa" w:w="1872"/>
            <w:shd w:fill="F2F2F2"/>
          </w:tcPr>
          <w:p>
            <w:r>
              <w:rPr>
                <w:rFonts w:ascii="Calibri" w:hAnsi="Calibri"/>
                <w:sz w:val="18"/>
              </w:rPr>
              <w:t>2. Agent Pay</w:t>
            </w:r>
          </w:p>
        </w:tc>
        <w:tc>
          <w:tcPr>
            <w:tcW w:type="dxa" w:w="2592"/>
            <w:shd w:fill="F2F2F2"/>
          </w:tcPr>
          <w:p>
            <w:r>
              <w:rPr>
                <w:rFonts w:ascii="Calibri" w:hAnsi="Calibri"/>
                <w:sz w:val="18"/>
              </w:rPr>
              <w:t>Permit2 support</w:t>
            </w:r>
          </w:p>
        </w:tc>
        <w:tc>
          <w:tcPr>
            <w:tcW w:type="dxa" w:w="3600"/>
            <w:shd w:fill="F2F2F2"/>
          </w:tcPr>
          <w:p>
            <w:r>
              <w:rPr>
                <w:rFonts w:ascii="Calibri" w:hAnsi="Calibri"/>
                <w:sz w:val="18"/>
              </w:rPr>
              <w:t>EIP-3009 sufficient for USDC/FIUSD</w:t>
            </w:r>
          </w:p>
        </w:tc>
        <w:tc>
          <w:tcPr>
            <w:tcW w:type="dxa" w:w="2160"/>
            <w:shd w:fill="F2F2F2"/>
          </w:tcPr>
          <w:p>
            <w:r>
              <w:rPr>
                <w:rFonts w:ascii="Calibri" w:hAnsi="Calibri"/>
                <w:sz w:val="18"/>
              </w:rPr>
              <w:t>Yes</w:t>
            </w:r>
          </w:p>
        </w:tc>
      </w:tr>
      <w:tr>
        <w:tc>
          <w:tcPr>
            <w:tcW w:type="dxa" w:w="1872"/>
          </w:tcPr>
          <w:p>
            <w:r>
              <w:rPr>
                <w:rFonts w:ascii="Calibri" w:hAnsi="Calibri"/>
                <w:sz w:val="18"/>
              </w:rPr>
              <w:t>2. Agent Pay</w:t>
            </w:r>
          </w:p>
        </w:tc>
        <w:tc>
          <w:tcPr>
            <w:tcW w:type="dxa" w:w="2592"/>
          </w:tcPr>
          <w:p>
            <w:r>
              <w:rPr>
                <w:rFonts w:ascii="Calibri" w:hAnsi="Calibri"/>
                <w:sz w:val="18"/>
              </w:rPr>
              <w:t>Base chain</w:t>
            </w:r>
          </w:p>
        </w:tc>
        <w:tc>
          <w:tcPr>
            <w:tcW w:type="dxa" w:w="3600"/>
          </w:tcPr>
          <w:p>
            <w:r>
              <w:rPr>
                <w:rFonts w:ascii="Calibri" w:hAnsi="Calibri"/>
                <w:sz w:val="18"/>
              </w:rPr>
              <w:t>Solana only for demo. Local validator.</w:t>
            </w:r>
          </w:p>
        </w:tc>
        <w:tc>
          <w:tcPr>
            <w:tcW w:type="dxa" w:w="2160"/>
          </w:tcPr>
          <w:p>
            <w:r>
              <w:rPr>
                <w:rFonts w:ascii="Calibri" w:hAnsi="Calibri"/>
                <w:sz w:val="18"/>
              </w:rPr>
              <w:t>Yes</w:t>
            </w:r>
          </w:p>
        </w:tc>
      </w:tr>
      <w:tr>
        <w:tc>
          <w:tcPr>
            <w:tcW w:type="dxa" w:w="1872"/>
            <w:shd w:fill="F2F2F2"/>
          </w:tcPr>
          <w:p>
            <w:r>
              <w:rPr>
                <w:rFonts w:ascii="Calibri" w:hAnsi="Calibri"/>
                <w:sz w:val="18"/>
              </w:rPr>
              <w:t>3. Supplier Pay</w:t>
            </w:r>
          </w:p>
        </w:tc>
        <w:tc>
          <w:tcPr>
            <w:tcW w:type="dxa" w:w="2592"/>
            <w:shd w:fill="F2F2F2"/>
          </w:tcPr>
          <w:p>
            <w:r>
              <w:rPr>
                <w:rFonts w:ascii="Calibri" w:hAnsi="Calibri"/>
                <w:sz w:val="18"/>
              </w:rPr>
              <w:t>Approval workflows</w:t>
            </w:r>
          </w:p>
        </w:tc>
        <w:tc>
          <w:tcPr>
            <w:tcW w:type="dxa" w:w="3600"/>
            <w:shd w:fill="F2F2F2"/>
          </w:tcPr>
          <w:p>
            <w:r>
              <w:rPr>
                <w:rFonts w:ascii="Calibri" w:hAnsi="Calibri"/>
                <w:sz w:val="18"/>
              </w:rPr>
              <w:t>Auto-approve for demo, show config UI only</w:t>
            </w:r>
          </w:p>
        </w:tc>
        <w:tc>
          <w:tcPr>
            <w:tcW w:type="dxa" w:w="2160"/>
            <w:shd w:fill="F2F2F2"/>
          </w:tcPr>
          <w:p>
            <w:r>
              <w:rPr>
                <w:rFonts w:ascii="Calibri" w:hAnsi="Calibri"/>
                <w:sz w:val="18"/>
              </w:rPr>
              <w:t>Yes</w:t>
            </w:r>
          </w:p>
        </w:tc>
      </w:tr>
      <w:tr>
        <w:tc>
          <w:tcPr>
            <w:tcW w:type="dxa" w:w="1872"/>
          </w:tcPr>
          <w:p>
            <w:r>
              <w:rPr>
                <w:rFonts w:ascii="Calibri" w:hAnsi="Calibri"/>
                <w:sz w:val="18"/>
              </w:rPr>
              <w:t>4. Cross-Border</w:t>
            </w:r>
          </w:p>
        </w:tc>
        <w:tc>
          <w:tcPr>
            <w:tcW w:type="dxa" w:w="2592"/>
          </w:tcPr>
          <w:p>
            <w:r>
              <w:rPr>
                <w:rFonts w:ascii="Calibri" w:hAnsi="Calibri"/>
                <w:sz w:val="18"/>
              </w:rPr>
              <w:t>EUR/GBP corridors</w:t>
            </w:r>
          </w:p>
        </w:tc>
        <w:tc>
          <w:tcPr>
            <w:tcW w:type="dxa" w:w="3600"/>
          </w:tcPr>
          <w:p>
            <w:r>
              <w:rPr>
                <w:rFonts w:ascii="Calibri" w:hAnsi="Calibri"/>
                <w:sz w:val="18"/>
              </w:rPr>
              <w:t>MXN only for demo. Show others as config.</w:t>
            </w:r>
          </w:p>
        </w:tc>
        <w:tc>
          <w:tcPr>
            <w:tcW w:type="dxa" w:w="2160"/>
          </w:tcPr>
          <w:p>
            <w:r>
              <w:rPr>
                <w:rFonts w:ascii="Calibri" w:hAnsi="Calibri"/>
                <w:sz w:val="18"/>
              </w:rPr>
              <w:t>Yes</w:t>
            </w:r>
          </w:p>
        </w:tc>
      </w:tr>
      <w:tr>
        <w:tc>
          <w:tcPr>
            <w:tcW w:type="dxa" w:w="1872"/>
            <w:shd w:fill="F2F2F2"/>
          </w:tcPr>
          <w:p>
            <w:r>
              <w:rPr>
                <w:rFonts w:ascii="Calibri" w:hAnsi="Calibri"/>
                <w:sz w:val="18"/>
              </w:rPr>
              <w:t>4. Cross-Border</w:t>
            </w:r>
          </w:p>
        </w:tc>
        <w:tc>
          <w:tcPr>
            <w:tcW w:type="dxa" w:w="2592"/>
            <w:shd w:fill="F2F2F2"/>
          </w:tcPr>
          <w:p>
            <w:r>
              <w:rPr>
                <w:rFonts w:ascii="Calibri" w:hAnsi="Calibri"/>
                <w:sz w:val="18"/>
              </w:rPr>
              <w:t>Reconciliation engine</w:t>
            </w:r>
          </w:p>
        </w:tc>
        <w:tc>
          <w:tcPr>
            <w:tcW w:type="dxa" w:w="3600"/>
            <w:shd w:fill="F2F2F2"/>
          </w:tcPr>
          <w:p>
            <w:r>
              <w:rPr>
                <w:rFonts w:ascii="Calibri" w:hAnsi="Calibri"/>
                <w:sz w:val="18"/>
              </w:rPr>
              <w:t>Build visual animation, skip ledger matching</w:t>
            </w:r>
          </w:p>
        </w:tc>
        <w:tc>
          <w:tcPr>
            <w:tcW w:type="dxa" w:w="2160"/>
            <w:shd w:fill="F2F2F2"/>
          </w:tcPr>
          <w:p>
            <w:r>
              <w:rPr>
                <w:rFonts w:ascii="Calibri" w:hAnsi="Calibri"/>
                <w:sz w:val="18"/>
              </w:rPr>
              <w:t>Yes</w:t>
            </w:r>
          </w:p>
        </w:tc>
      </w:tr>
      <w:tr>
        <w:tc>
          <w:tcPr>
            <w:tcW w:type="dxa" w:w="1872"/>
          </w:tcPr>
          <w:p>
            <w:r>
              <w:rPr>
                <w:rFonts w:ascii="Calibri" w:hAnsi="Calibri"/>
                <w:sz w:val="18"/>
              </w:rPr>
              <w:t>4. Cross-Border</w:t>
            </w:r>
          </w:p>
        </w:tc>
        <w:tc>
          <w:tcPr>
            <w:tcW w:type="dxa" w:w="2592"/>
          </w:tcPr>
          <w:p>
            <w:r>
              <w:rPr>
                <w:rFonts w:ascii="Calibri" w:hAnsi="Calibri"/>
                <w:sz w:val="18"/>
              </w:rPr>
              <w:t>Geolocation/BIN detection</w:t>
            </w:r>
          </w:p>
        </w:tc>
        <w:tc>
          <w:tcPr>
            <w:tcW w:type="dxa" w:w="3600"/>
          </w:tcPr>
          <w:p>
            <w:r>
              <w:rPr>
                <w:rFonts w:ascii="Calibri" w:hAnsi="Calibri"/>
                <w:sz w:val="18"/>
              </w:rPr>
              <w:t>Hardcode demo buyer</w:t>
            </w:r>
          </w:p>
        </w:tc>
        <w:tc>
          <w:tcPr>
            <w:tcW w:type="dxa" w:w="2160"/>
          </w:tcPr>
          <w:p>
            <w:r>
              <w:rPr>
                <w:rFonts w:ascii="Calibri" w:hAnsi="Calibri"/>
                <w:sz w:val="18"/>
              </w:rPr>
              <w:t>Yes</w:t>
            </w:r>
          </w:p>
        </w:tc>
      </w:tr>
    </w:tbl>
    <w:p/>
    <w:p>
      <w:pPr>
        <w:pStyle w:val="Heading2"/>
      </w:pPr>
      <w:r>
        <w:t>Key Additions from Panel Reviews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3B5C"/>
          </w:tcPr>
          <w:p>
            <w:r>
              <w:rPr>
                <w:rFonts w:ascii="Calibri" w:hAnsi="Calibri"/>
                <w:b/>
                <w:color w:val="FFFFFF"/>
                <w:sz w:val="18"/>
              </w:rPr>
              <w:t>Addition</w:t>
            </w:r>
          </w:p>
        </w:tc>
        <w:tc>
          <w:tcPr>
            <w:tcW w:type="dxa" w:w="1008"/>
            <w:shd w:fill="003B5C"/>
          </w:tcPr>
          <w:p>
            <w:r>
              <w:rPr>
                <w:rFonts w:ascii="Calibri" w:hAnsi="Calibri"/>
                <w:b/>
                <w:color w:val="FFFFFF"/>
                <w:sz w:val="18"/>
              </w:rPr>
              <w:t>Prototype</w:t>
            </w:r>
          </w:p>
        </w:tc>
        <w:tc>
          <w:tcPr>
            <w:tcW w:type="dxa" w:w="6480"/>
            <w:shd w:fill="003B5C"/>
          </w:tcPr>
          <w:p>
            <w:r>
              <w:rPr>
                <w:rFonts w:ascii="Calibri" w:hAnsi="Calibri"/>
                <w:b/>
                <w:color w:val="FFFFFF"/>
                <w:sz w:val="18"/>
              </w:rPr>
              <w:t>Why</w:t>
            </w:r>
          </w:p>
        </w:tc>
      </w:tr>
      <w:tr>
        <w:tc>
          <w:tcPr>
            <w:tcW w:type="dxa" w:w="2880"/>
          </w:tcPr>
          <w:p>
            <w:r>
              <w:rPr>
                <w:rFonts w:ascii="Calibri" w:hAnsi="Calibri"/>
                <w:sz w:val="18"/>
              </w:rPr>
              <w:t>Decision Gate service</w:t>
            </w:r>
          </w:p>
        </w:tc>
        <w:tc>
          <w:tcPr>
            <w:tcW w:type="dxa" w:w="1008"/>
          </w:tcPr>
          <w:p>
            <w:r>
              <w:rPr>
                <w:rFonts w:ascii="Calibri" w:hAnsi="Calibri"/>
                <w:sz w:val="18"/>
              </w:rPr>
              <w:t>P1</w:t>
            </w:r>
          </w:p>
        </w:tc>
        <w:tc>
          <w:tcPr>
            <w:tcW w:type="dxa" w:w="6480"/>
          </w:tcPr>
          <w:p>
            <w:r>
              <w:rPr>
                <w:rFonts w:ascii="Calibri" w:hAnsi="Calibri"/>
                <w:sz w:val="18"/>
              </w:rPr>
              <w:t>Validates safeguards independently before money moves. Auditable.</w:t>
            </w:r>
          </w:p>
        </w:tc>
      </w:tr>
      <w:tr>
        <w:tc>
          <w:tcPr>
            <w:tcW w:type="dxa" w:w="2880"/>
            <w:shd w:fill="F2F2F2"/>
          </w:tcPr>
          <w:p>
            <w:r>
              <w:rPr>
                <w:rFonts w:ascii="Calibri" w:hAnsi="Calibri"/>
                <w:sz w:val="18"/>
              </w:rPr>
              <w:t>Demo mode toggle</w:t>
            </w:r>
          </w:p>
        </w:tc>
        <w:tc>
          <w:tcPr>
            <w:tcW w:type="dxa" w:w="1008"/>
            <w:shd w:fill="F2F2F2"/>
          </w:tcPr>
          <w:p>
            <w:r>
              <w:rPr>
                <w:rFonts w:ascii="Calibri" w:hAnsi="Calibri"/>
                <w:sz w:val="18"/>
              </w:rPr>
              <w:t>All 4</w:t>
            </w:r>
          </w:p>
        </w:tc>
        <w:tc>
          <w:tcPr>
            <w:tcW w:type="dxa" w:w="6480"/>
            <w:shd w:fill="F2F2F2"/>
          </w:tcPr>
          <w:p>
            <w:r>
              <w:rPr>
                <w:rFonts w:ascii="Calibri" w:hAnsi="Calibri"/>
                <w:sz w:val="18"/>
              </w:rPr>
              <w:t>Pre-computed fallback if any external dependency fails during live demo.</w:t>
            </w:r>
          </w:p>
        </w:tc>
      </w:tr>
      <w:tr>
        <w:tc>
          <w:tcPr>
            <w:tcW w:type="dxa" w:w="2880"/>
          </w:tcPr>
          <w:p>
            <w:r>
              <w:rPr>
                <w:rFonts w:ascii="Calibri" w:hAnsi="Calibri"/>
                <w:sz w:val="18"/>
              </w:rPr>
              <w:t>Settlement simulator</w:t>
            </w:r>
          </w:p>
        </w:tc>
        <w:tc>
          <w:tcPr>
            <w:tcW w:type="dxa" w:w="1008"/>
          </w:tcPr>
          <w:p>
            <w:r>
              <w:rPr>
                <w:rFonts w:ascii="Calibri" w:hAnsi="Calibri"/>
                <w:sz w:val="18"/>
              </w:rPr>
              <w:t>P1</w:t>
            </w:r>
          </w:p>
        </w:tc>
        <w:tc>
          <w:tcPr>
            <w:tcW w:type="dxa" w:w="6480"/>
          </w:tcPr>
          <w:p>
            <w:r>
              <w:rPr>
                <w:rFonts w:ascii="Calibri" w:hAnsi="Calibri"/>
                <w:sz w:val="18"/>
              </w:rPr>
              <w:t>Replaces CommerceHub webhook dependency with controlled data.</w:t>
            </w:r>
          </w:p>
        </w:tc>
      </w:tr>
      <w:tr>
        <w:tc>
          <w:tcPr>
            <w:tcW w:type="dxa" w:w="2880"/>
            <w:shd w:fill="F2F2F2"/>
          </w:tcPr>
          <w:p>
            <w:r>
              <w:rPr>
                <w:rFonts w:ascii="Calibri" w:hAnsi="Calibri"/>
                <w:sz w:val="18"/>
              </w:rPr>
              <w:t>Local Solana validator</w:t>
            </w:r>
          </w:p>
        </w:tc>
        <w:tc>
          <w:tcPr>
            <w:tcW w:type="dxa" w:w="1008"/>
            <w:shd w:fill="F2F2F2"/>
          </w:tcPr>
          <w:p>
            <w:r>
              <w:rPr>
                <w:rFonts w:ascii="Calibri" w:hAnsi="Calibri"/>
                <w:sz w:val="18"/>
              </w:rPr>
              <w:t>P2, P4</w:t>
            </w:r>
          </w:p>
        </w:tc>
        <w:tc>
          <w:tcPr>
            <w:tcW w:type="dxa" w:w="6480"/>
            <w:shd w:fill="F2F2F2"/>
          </w:tcPr>
          <w:p>
            <w:r>
              <w:rPr>
                <w:rFonts w:ascii="Calibri" w:hAnsi="Calibri"/>
                <w:sz w:val="18"/>
              </w:rPr>
              <w:t>Eliminates Solana devnet SLA risk. Fully offline demo.</w:t>
            </w:r>
          </w:p>
        </w:tc>
      </w:tr>
      <w:tr>
        <w:tc>
          <w:tcPr>
            <w:tcW w:type="dxa" w:w="2880"/>
          </w:tcPr>
          <w:p>
            <w:r>
              <w:rPr>
                <w:rFonts w:ascii="Calibri" w:hAnsi="Calibri"/>
                <w:sz w:val="18"/>
              </w:rPr>
              <w:t>Bill of Materials mapping</w:t>
            </w:r>
          </w:p>
        </w:tc>
        <w:tc>
          <w:tcPr>
            <w:tcW w:type="dxa" w:w="1008"/>
          </w:tcPr>
          <w:p>
            <w:r>
              <w:rPr>
                <w:rFonts w:ascii="Calibri" w:hAnsi="Calibri"/>
                <w:sz w:val="18"/>
              </w:rPr>
              <w:t>P3</w:t>
            </w:r>
          </w:p>
        </w:tc>
        <w:tc>
          <w:tcPr>
            <w:tcW w:type="dxa" w:w="6480"/>
          </w:tcPr>
          <w:p>
            <w:r>
              <w:rPr>
                <w:rFonts w:ascii="Calibri" w:hAnsi="Calibri"/>
                <w:sz w:val="18"/>
              </w:rPr>
              <w:t>Connects POS sales to ingredient consumption. Hardcode as JSON.</w:t>
            </w:r>
          </w:p>
        </w:tc>
      </w:tr>
      <w:tr>
        <w:tc>
          <w:tcPr>
            <w:tcW w:type="dxa" w:w="2880"/>
            <w:shd w:fill="F2F2F2"/>
          </w:tcPr>
          <w:p>
            <w:r>
              <w:rPr>
                <w:rFonts w:ascii="Calibri" w:hAnsi="Calibri"/>
                <w:sz w:val="18"/>
              </w:rPr>
              <w:t>Settlement timer animation</w:t>
            </w:r>
          </w:p>
        </w:tc>
        <w:tc>
          <w:tcPr>
            <w:tcW w:type="dxa" w:w="1008"/>
            <w:shd w:fill="F2F2F2"/>
          </w:tcPr>
          <w:p>
            <w:r>
              <w:rPr>
                <w:rFonts w:ascii="Calibri" w:hAnsi="Calibri"/>
                <w:sz w:val="18"/>
              </w:rPr>
              <w:t>P3, P4</w:t>
            </w:r>
          </w:p>
        </w:tc>
        <w:tc>
          <w:tcPr>
            <w:tcW w:type="dxa" w:w="6480"/>
            <w:shd w:fill="F2F2F2"/>
          </w:tcPr>
          <w:p>
            <w:r>
              <w:rPr>
                <w:rFonts w:ascii="Calibri" w:hAnsi="Calibri"/>
                <w:sz w:val="18"/>
              </w:rPr>
              <w:t>The "3 seconds" claim needs live visual proof.</w:t>
            </w:r>
          </w:p>
        </w:tc>
      </w:tr>
      <w:tr>
        <w:tc>
          <w:tcPr>
            <w:tcW w:type="dxa" w:w="2880"/>
          </w:tcPr>
          <w:p>
            <w:r>
              <w:rPr>
                <w:rFonts w:ascii="Calibri" w:hAnsi="Calibri"/>
                <w:sz w:val="18"/>
              </w:rPr>
              <w:t>OFAC compliance stub</w:t>
            </w:r>
          </w:p>
        </w:tc>
        <w:tc>
          <w:tcPr>
            <w:tcW w:type="dxa" w:w="1008"/>
          </w:tcPr>
          <w:p>
            <w:r>
              <w:rPr>
                <w:rFonts w:ascii="Calibri" w:hAnsi="Calibri"/>
                <w:sz w:val="18"/>
              </w:rPr>
              <w:t>P4</w:t>
            </w:r>
          </w:p>
        </w:tc>
        <w:tc>
          <w:tcPr>
            <w:tcW w:type="dxa" w:w="6480"/>
          </w:tcPr>
          <w:p>
            <w:r>
              <w:rPr>
                <w:rFonts w:ascii="Calibri" w:hAnsi="Calibri"/>
                <w:sz w:val="18"/>
              </w:rPr>
              <w:t>Shows regulatory awareness without implementation. "Screening: PASSED (simulated)."</w:t>
            </w:r>
          </w:p>
        </w:tc>
      </w:tr>
      <w:tr>
        <w:tc>
          <w:tcPr>
            <w:tcW w:type="dxa" w:w="2880"/>
            <w:shd w:fill="F2F2F2"/>
          </w:tcPr>
          <w:p>
            <w:r>
              <w:rPr>
                <w:rFonts w:ascii="Calibri" w:hAnsi="Calibri"/>
                <w:sz w:val="18"/>
              </w:rPr>
              <w:t>Backup demo video</w:t>
            </w:r>
          </w:p>
        </w:tc>
        <w:tc>
          <w:tcPr>
            <w:tcW w:type="dxa" w:w="1008"/>
            <w:shd w:fill="F2F2F2"/>
          </w:tcPr>
          <w:p>
            <w:r>
              <w:rPr>
                <w:rFonts w:ascii="Calibri" w:hAnsi="Calibri"/>
                <w:sz w:val="18"/>
              </w:rPr>
              <w:t>All 4</w:t>
            </w:r>
          </w:p>
        </w:tc>
        <w:tc>
          <w:tcPr>
            <w:tcW w:type="dxa" w:w="6480"/>
            <w:shd w:fill="F2F2F2"/>
          </w:tcPr>
          <w:p>
            <w:r>
              <w:rPr>
                <w:rFonts w:ascii="Calibri" w:hAnsi="Calibri"/>
                <w:sz w:val="18"/>
              </w:rPr>
              <w:t>Pre-recorded fallback if both demo machines fail.</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May 2026 | Business Panel + Spec Panel Analysis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color w:val="666666"/>
        <w:sz w:val="16"/>
      </w:rPr>
      <w:t>Fiserv Digital Pay | Expert Panel Evaluations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B5C"/>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B5C"/>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B5C"/>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FF66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