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Relatório de Textos Base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Resumo e Identificação dos Textos em Anexo</w:t>
      </w:r>
    </w:p>
    <w:p>
      <w:pPr>
        <w:pStyle w:val="Heading1"/>
      </w:pPr>
      <w:r>
        <w:t xml:space="preserve">Texto I — De Motu Circulari Fluidorum</w:t>
      </w:r>
    </w:p>
    <w:p>
      <w:pPr>
        <w:spacing w:after="80"/>
      </w:pPr>
      <w:r>
        <w:rPr>
          <w:b/>
          <w:bCs/>
        </w:rPr>
        <w:t xml:space="preserve">Autor: </w:t>
      </w:r>
      <w:r>
        <w:t xml:space="preserve">Isaac Newton (1643–1727)</w:t>
      </w:r>
    </w:p>
    <w:p>
      <w:pPr>
        <w:spacing w:after="80"/>
      </w:pPr>
      <w:r>
        <w:rPr>
          <w:b/>
          <w:bCs/>
        </w:rPr>
        <w:t xml:space="preserve">Obra de origem: </w:t>
      </w:r>
      <w:r>
        <w:t xml:space="preserve">Philosophiæ Naturalis Principia Mathematica (Principia Mathematica), Livro II, Seção IX — 1687</w:t>
      </w:r>
    </w:p>
    <w:p>
      <w:pPr>
        <w:spacing w:after="80"/>
      </w:pPr>
      <w:r>
        <w:rPr>
          <w:b/>
          <w:bCs/>
        </w:rPr>
        <w:t xml:space="preserve">Idioma: </w:t>
      </w:r>
      <w:r>
        <w:t xml:space="preserve">Latim científico</w:t>
      </w:r>
    </w:p>
    <w:p>
      <w:pPr>
        <w:pStyle w:val="Heading2"/>
      </w:pPr>
      <w:r>
        <w:t xml:space="preserve">Resumo</w:t>
      </w:r>
    </w:p>
    <w:p>
      <w:pPr>
        <w:spacing w:after="160"/>
      </w:pPr>
      <w:r>
        <w:t xml:space="preserve">O texto trata do movimento circular de fluidos ao redor de sólidos em rotação — especificamente cilindros e esferas — dentro de um meio fluido infinito e homogêneo. Newton parte de uma hipótese sobre a resistência dos fluidos (proporcional à velocidade relativa entre suas partículas) e desenvolve dois teoremas centrais: a Proposição LI demonstra que, para um cilindro sólido girando uniformemente, os períodos de revolução das partículas do fluido são proporcionais às suas distâncias ao eixo; a Proposição LII estende essa análise a uma esfera, concluindo que esses períodos são proporcionais ao quadrado das distâncias ao centro.</w:t>
      </w:r>
    </w:p>
    <w:p>
      <w:pPr>
        <w:spacing w:after="160"/>
      </w:pPr>
      <w:r>
        <w:t xml:space="preserve">Newton desenvolve dez corolários e um Scholium para cada proposição, explorando casos como fluido contido em vaso cilíndrico, adição ou subtração de movimento angular, e propagação gradual do movimento. No Scholium final, ele aplica os resultados à hipótese dos vórtices cartesianos — teoria que pretendia explicar os movimentos planetários —, demonstrando que ela é incompatível com as leis de Kepler (razão sesquiáltera das distâncias). A Proposição LIII conclui que corpos sólidos que giram em órbita dentro de um vórtice devem ter a mesma densidade do fluido circundante, o que torna a teoria dos vórtices fisicamente incoerente para explicar o sistema solar.</w:t>
      </w:r>
    </w:p>
    <w:p>
      <w:pPr>
        <w:spacing w:after="320"/>
      </w:pPr>
      <w:r>
        <w:rPr>
          <w:b/>
          <w:bCs/>
        </w:rPr>
        <w:t xml:space="preserve">Relevância: </w:t>
      </w:r>
      <w:r>
        <w:t xml:space="preserve">Este trecho representa a refutação newtoniana da cosmologia cartesiana, fundamentando matematicamente a impossibilidade dos vórtices de Descartes e consolidando a mecânica newtoniana como modelo explicativo dos movimentos celestiais.</w:t>
      </w:r>
    </w:p>
    <w:p>
      <w:pPr>
        <w:pStyle w:val="Heading1"/>
      </w:pPr>
      <w:r>
        <w:t xml:space="preserve">Texto II — Carmina Burana</w:t>
      </w:r>
    </w:p>
    <w:p>
      <w:pPr>
        <w:spacing w:after="80"/>
      </w:pPr>
      <w:r>
        <w:rPr>
          <w:b/>
          <w:bCs/>
        </w:rPr>
        <w:t xml:space="preserve">Autor: </w:t>
      </w:r>
      <w:r>
        <w:t xml:space="preserve">Anônimo (diversos poetas goliardos e clérigos medievais)</w:t>
      </w:r>
    </w:p>
    <w:p>
      <w:pPr>
        <w:spacing w:after="80"/>
      </w:pPr>
      <w:r>
        <w:rPr>
          <w:b/>
          <w:bCs/>
        </w:rPr>
        <w:t xml:space="preserve">Obra de origem: </w:t>
      </w:r>
      <w:r>
        <w:t xml:space="preserve">Carmina Burana — manuscrito medieval do século XIII (c. 1230), descoberto no mosteiro de Benediktbeuern, Baviera</w:t>
      </w:r>
    </w:p>
    <w:p>
      <w:pPr>
        <w:spacing w:after="80"/>
      </w:pPr>
      <w:r>
        <w:rPr>
          <w:b/>
          <w:bCs/>
        </w:rPr>
        <w:t xml:space="preserve">Idioma: </w:t>
      </w:r>
      <w:r>
        <w:t xml:space="preserve">Latim medieval, com trechos em médio-alto alemão e provençal</w:t>
      </w:r>
    </w:p>
    <w:p>
      <w:pPr>
        <w:pStyle w:val="Heading2"/>
      </w:pPr>
      <w:r>
        <w:t xml:space="preserve">Resumo</w:t>
      </w:r>
    </w:p>
    <w:p>
      <w:pPr>
        <w:spacing w:after="160"/>
      </w:pPr>
      <w:r>
        <w:t xml:space="preserve">O texto reproduz uma seleção de cantos do célebre manuscrito Carmina Burana, organizada em sete seções temáticas. A primeira e a última seção (Fortuna Imperatrix Mundi) são formadas pelo poema «O Fortuna», hino à caprichosa deusa Fortuna e ao seu eterno ciclo de ascensão e queda — textos que servem de moldura simbólica à coleção inteira. A segunda seção (Primo Vere) celebra a chegada da primavera com poemas sobre a renovação da natureza e o despertar amoroso. A terceira (Uf dem Anger) é composta de cantos em língua alemã medieval que descrevem danças, saudades amorosas e convites à alegria.</w:t>
      </w:r>
    </w:p>
    <w:p>
      <w:pPr>
        <w:spacing w:after="160"/>
      </w:pPr>
      <w:r>
        <w:t xml:space="preserve">A quarta seção (In Taberna) reúne os cantos báquicos e satíricos mais conhecidos da coleção: «Estuans interius» (lamento de um vagante) , «Cignus ustus cantat» (o cisne assado que lamenta seu destino) , «Ego sum Abbas» (paródia eclesiástica de um abade devoto ao vinho e ao jogo) e «In taberna quando sumus» (extensa lista cômica de razões e personagens que bebem). A quinta seção (Cour d'Amours) é dedicada ao amor cortês e erótico, com poemas que alternam latim e línguas vernáculas. Por fim, a seção «Blanziflor et Helena» contém um único canto de louvor às musas do amor.</w:t>
      </w:r>
    </w:p>
    <w:p>
      <w:pPr>
        <w:spacing w:after="320"/>
      </w:pPr>
      <w:r>
        <w:rPr>
          <w:b/>
          <w:bCs/>
        </w:rPr>
        <w:t xml:space="preserve">Relevância: </w:t>
      </w:r>
      <w:r>
        <w:t xml:space="preserve">Os Carmina Burana constituem o maior e mais representativo corpus de poesia lírica latino-medieval profana, tornados universalmente conhecidos pela cantata homônima de Carl Orff (1937).</w:t>
      </w:r>
    </w:p>
    <w:p>
      <w:pPr>
        <w:pStyle w:val="Heading1"/>
      </w:pPr>
      <w:r>
        <w:t xml:space="preserve">Texto III — Περὶ ποιητικῆς (Poética)</w:t>
      </w:r>
    </w:p>
    <w:p>
      <w:pPr>
        <w:spacing w:after="80"/>
      </w:pPr>
      <w:r>
        <w:rPr>
          <w:b/>
          <w:bCs/>
        </w:rPr>
        <w:t xml:space="preserve">Autor: </w:t>
      </w:r>
      <w:r>
        <w:t xml:space="preserve">Aristóteles (384–322 a.C.)</w:t>
      </w:r>
    </w:p>
    <w:p>
      <w:pPr>
        <w:spacing w:after="80"/>
      </w:pPr>
      <w:r>
        <w:rPr>
          <w:b/>
          <w:bCs/>
        </w:rPr>
        <w:t xml:space="preserve">Obra de origem: </w:t>
      </w:r>
      <w:r>
        <w:t xml:space="preserve">Poética (Περὶ ποιητικῆς) — composta provavelmente entre 335 e 323 a.C.</w:t>
      </w:r>
    </w:p>
    <w:p>
      <w:pPr>
        <w:spacing w:after="80"/>
      </w:pPr>
      <w:r>
        <w:rPr>
          <w:b/>
          <w:bCs/>
        </w:rPr>
        <w:t xml:space="preserve">Idioma: </w:t>
      </w:r>
      <w:r>
        <w:t xml:space="preserve">Grego antigo (ático)</w:t>
      </w:r>
    </w:p>
    <w:p>
      <w:pPr>
        <w:pStyle w:val="Heading2"/>
      </w:pPr>
      <w:r>
        <w:t xml:space="preserve">Resumo</w:t>
      </w:r>
    </w:p>
    <w:p>
      <w:pPr>
        <w:spacing w:after="160"/>
      </w:pPr>
      <w:r>
        <w:t xml:space="preserve">O texto reproduz os capítulos 1 a 22 da Poética de Aristóteles, o tratado filosófico fundador da teoria literária e dramática ocidental. Aristóteles abre a obra estabelecendo que a epopeia, a tragédia, a comédia, o ditirambo e a música instrumental são todas formas de mimese (imitação), diferindo entre si pelo meio, pelo objeto e pelo modo da representação. Em seguida, discute as origens naturais da poesia (instinto de imitação e prazer na aprendizagem) e traça a evolução histórica dos gêneros — de improvisações a formas consolidadas como a tragédia e a comédia.</w:t>
      </w:r>
    </w:p>
    <w:p>
      <w:pPr>
        <w:spacing w:after="160"/>
      </w:pPr>
      <w:r>
        <w:t xml:space="preserve">A partir do capítulo 6, Aristóteles oferece sua famosa definição de tragédia: imitação de uma ação séria, completa e de certa grandeza, que por meio da piedade e do terror realiza a catarse dessas emoções. Ele identifica seis elementos constitutivos da tragédia (mito, caráter, pensamento, elocução, espetáculo e melodia) e hierarquiza-os, colocando o mito (enredo) no topo. Os capítulos seguintes aprofundam o estudo do mito: sua estrutura (início, meio e fim), a distinção entre enredos simples e complexos, os conceitos de peripécia e reconhecimento, e o tipo ideal de herói trágico (homem intermediário que cai por hamartia, não por maldade). Os capítulos finais dedicam-se à análise da linguagem poética: tipos de palavras, metáfora, dialetos e a busca do equilíbrio entre clareza e elevação.</w:t>
      </w:r>
    </w:p>
    <w:p>
      <w:pPr>
        <w:spacing w:after="320"/>
      </w:pPr>
      <w:r>
        <w:rPr>
          <w:b/>
          <w:bCs/>
        </w:rPr>
        <w:t xml:space="preserve">Relevância: </w:t>
      </w:r>
      <w:r>
        <w:t xml:space="preserve">A Poética é o texto mais influente da história da crítica literária e teatral, tendo norteado séculos de debate sobre drama, narrativa e linguagem poética desde a Antiguidade até os dias atuais.</w:t>
      </w:r>
    </w:p>
    <w:p>
      <w:pPr>
        <w:pStyle w:val="Heading1"/>
      </w:pPr>
      <w:r>
        <w:t xml:space="preserve">Texto IV — 孫子兵法 (A Arte da Guerra)</w:t>
      </w:r>
    </w:p>
    <w:p>
      <w:pPr>
        <w:spacing w:after="80"/>
      </w:pPr>
      <w:r>
        <w:rPr>
          <w:b/>
          <w:bCs/>
        </w:rPr>
        <w:t xml:space="preserve">Autor: </w:t>
      </w:r>
      <w:r>
        <w:t xml:space="preserve">Sun Tzu (孫武) — estrategista e filósofo militar chinês (c. século V a.C.)</w:t>
      </w:r>
    </w:p>
    <w:p>
      <w:pPr>
        <w:spacing w:after="80"/>
      </w:pPr>
      <w:r>
        <w:rPr>
          <w:b/>
          <w:bCs/>
        </w:rPr>
        <w:t xml:space="preserve">Obra de origem: </w:t>
      </w:r>
      <w:r>
        <w:t xml:space="preserve">Sunzi Bingfa (孫子兵法 — «A Arte da Guerra»), composta por volta de 500 a.C., durante o Período das Primaveras e Outonos</w:t>
      </w:r>
    </w:p>
    <w:p>
      <w:pPr>
        <w:spacing w:after="80"/>
      </w:pPr>
      <w:r>
        <w:rPr>
          <w:b/>
          <w:bCs/>
        </w:rPr>
        <w:t xml:space="preserve">Idioma: </w:t>
      </w:r>
      <w:r>
        <w:t xml:space="preserve">Chinês clássico (文言文)</w:t>
      </w:r>
    </w:p>
    <w:p>
      <w:pPr>
        <w:pStyle w:val="Heading2"/>
      </w:pPr>
      <w:r>
        <w:t xml:space="preserve">Resumo</w:t>
      </w:r>
    </w:p>
    <w:p>
      <w:pPr>
        <w:spacing w:after="160"/>
      </w:pPr>
      <w:r>
        <w:t xml:space="preserve">O texto reproduz treze capítulos (篇) do tratado militar mais influente da história. Sun Tzu abre a obra afirmando que a guerra é assunto de importância vital para o Estado e elenca cinco fatores determinantes para a vitória: o Dao (alinhamento político e moral), o Céu (condições climáticas e temporais), a Terra (terreno e geografia), o General (virtudes de comando) e a Lei (organização e disciplina). O primeiro capítulo estabelece o princípio fundamental de que a guerra é uma arte do engano: aparentar fraqueza quando se é forte, proximidade quando se está distante.</w:t>
      </w:r>
    </w:p>
    <w:p>
      <w:pPr>
        <w:spacing w:after="160"/>
      </w:pPr>
      <w:r>
        <w:t xml:space="preserve">Os capítulos seguintes aprofundam dimensões específicas da condução da guerra: a necessidade de campanhas rápidas e economicamente eficientes (Cap. II); a superioridade da vitória sem combate e do ataque à estratégia inimiga sobre o ataque direto (Cap. III, com a célebre máxima «知彼知己，百戰不殆» — «conhece o inimigo e conhece a ti mesmo, e em cem batalhas não correrás perigo»); a importância de criar posições de invencibilidade antes de buscar a vitória (Cap. IV); o uso da força regular e da força surpreendente em combinação (Cap. V); a arte de controlar a iniciativa e explorar o vazio e o pleno do inimigo (Cap. VI); as dificuldades da manobra direta e os princípios de adaptação ao terreno e ao inimigo (Caps. VII–X). Os capítulos finais tratam dos nove tipos de terreno estratégico (Cap. XI), do uso do fogo como arma auxiliar (Cap. XII) e da importância decisiva da espionagem e da inteligência (Cap. XIII).</w:t>
      </w:r>
    </w:p>
    <w:p>
      <w:pPr>
        <w:spacing w:after="320"/>
      </w:pPr>
      <w:r>
        <w:rPr>
          <w:b/>
          <w:bCs/>
        </w:rPr>
        <w:t xml:space="preserve">Relevância: </w:t>
      </w:r>
      <w:r>
        <w:t xml:space="preserve">A Arte da Guerra é o tratado de estratégia mais antigo e mais lido do mundo, com influência que se estende da liderança militar à gestão empresarial, à diplomacia e às artes marciais contemporâneas.</w:t>
      </w:r>
    </w:p>
    <w:p>
      <w:pPr>
        <w:pBdr>
          <w:top w:val="single" w:color="CCCCCC" w:sz="6" w:space="1"/>
        </w:pBdr>
        <w:spacing w:before="480"/>
      </w:pPr>
      <w:r>
        <w:rPr>
          <w:i/>
          <w:iCs/>
          <w:color w:val="888888"/>
          <w:sz w:val="18"/>
          <w:szCs w:val="18"/>
        </w:rPr>
        <w:t xml:space="preserve">Relatório gerado com base nos textos originais fornecidos em anexo.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2026-04-23T14:18:14.234Z</dcterms:created>
  <dcterms:modified xsi:type="dcterms:W3CDTF">2026-04-23T14:18:14.235Z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