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899DA" w14:textId="2340C2D3" w:rsidR="007C2C05" w:rsidRDefault="00BC6B81" w:rsidP="00BC6B81">
      <w:pPr>
        <w:jc w:val="center"/>
        <w:rPr>
          <w:b/>
          <w:bCs/>
          <w:sz w:val="28"/>
          <w:szCs w:val="28"/>
        </w:rPr>
      </w:pPr>
      <w:r w:rsidRPr="00BC6B81">
        <w:rPr>
          <w:b/>
          <w:bCs/>
          <w:sz w:val="28"/>
          <w:szCs w:val="28"/>
        </w:rPr>
        <w:t>Tradução e Resumo de Textos</w:t>
      </w:r>
    </w:p>
    <w:p w14:paraId="067ECB4F" w14:textId="2BC33F0E" w:rsidR="00734577" w:rsidRDefault="00734577" w:rsidP="00734577">
      <w:pPr>
        <w:rPr>
          <w:b/>
          <w:bCs/>
          <w:sz w:val="28"/>
          <w:szCs w:val="28"/>
        </w:rPr>
      </w:pPr>
    </w:p>
    <w:p w14:paraId="7C56C477" w14:textId="3A83099E" w:rsidR="006B35F5" w:rsidRPr="006B35F5" w:rsidRDefault="006B35F5" w:rsidP="006B35F5"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LLM </w:t>
      </w:r>
      <w:r w:rsidRPr="006B35F5">
        <w:rPr>
          <w:b/>
          <w:bCs/>
          <w:sz w:val="28"/>
          <w:szCs w:val="28"/>
        </w:rPr>
        <w:t>GPT</w:t>
      </w:r>
    </w:p>
    <w:p w14:paraId="72782983" w14:textId="3611F141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b/>
          <w:bCs/>
        </w:rPr>
      </w:pPr>
      <w:r w:rsidRPr="006B35F5">
        <w:rPr>
          <w:rFonts w:ascii="Arial" w:hAnsi="Arial" w:cs="Arial"/>
          <w:b/>
          <w:bCs/>
        </w:rPr>
        <w:t>Texto I</w:t>
      </w:r>
    </w:p>
    <w:p w14:paraId="6961262C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b/>
          <w:bCs/>
        </w:rPr>
      </w:pPr>
    </w:p>
    <w:p w14:paraId="06DD73C4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 xml:space="preserve">Autor: Isaac Newton (Principia </w:t>
      </w:r>
      <w:proofErr w:type="spellStart"/>
      <w:r w:rsidRPr="006B35F5">
        <w:rPr>
          <w:rFonts w:ascii="Arial" w:hAnsi="Arial" w:cs="Arial"/>
          <w:sz w:val="16"/>
          <w:szCs w:val="16"/>
        </w:rPr>
        <w:t>Mathematica</w:t>
      </w:r>
      <w:proofErr w:type="spellEnd"/>
      <w:r w:rsidRPr="006B35F5">
        <w:rPr>
          <w:rFonts w:ascii="Arial" w:hAnsi="Arial" w:cs="Arial"/>
          <w:sz w:val="16"/>
          <w:szCs w:val="16"/>
        </w:rPr>
        <w:t>)</w:t>
      </w:r>
    </w:p>
    <w:p w14:paraId="7F4116E2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</w:p>
    <w:p w14:paraId="78AED7E1" w14:textId="1104C688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>Trata do movimento de fluidos em rotação ao redor de cilindros e esferas. Analisa</w:t>
      </w:r>
    </w:p>
    <w:p w14:paraId="669CBCFC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>matematicamente como partículas de fluido se movem sob influência de forças e atrito,</w:t>
      </w:r>
    </w:p>
    <w:p w14:paraId="260AFF44" w14:textId="4F0264D6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>estabelecendo relações entre velocidade, distância e tempo periódico.</w:t>
      </w:r>
    </w:p>
    <w:p w14:paraId="29E35370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</w:p>
    <w:p w14:paraId="0EEFA6E0" w14:textId="1589B3B2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b/>
          <w:bCs/>
        </w:rPr>
      </w:pPr>
      <w:r w:rsidRPr="006B35F5">
        <w:rPr>
          <w:rFonts w:ascii="Arial" w:hAnsi="Arial" w:cs="Arial"/>
          <w:b/>
          <w:bCs/>
        </w:rPr>
        <w:t>Texto II</w:t>
      </w:r>
    </w:p>
    <w:p w14:paraId="5EBF6BEF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b/>
          <w:bCs/>
        </w:rPr>
      </w:pPr>
    </w:p>
    <w:p w14:paraId="1AE1AAAE" w14:textId="709C9978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>Autor: Anônimo medieval (Carmina Burana)</w:t>
      </w:r>
    </w:p>
    <w:p w14:paraId="42B89524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</w:p>
    <w:p w14:paraId="5E5D9DBD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>Coletânea de poemas medievais em latim e alemão. Aborda temas como a inconstância da</w:t>
      </w:r>
    </w:p>
    <w:p w14:paraId="71C90A56" w14:textId="213A432C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>fortuna, a primavera, o amor, a vida em tavernas e prazeres mundanos, com tom lírico e, por vezes, satírico.</w:t>
      </w:r>
    </w:p>
    <w:p w14:paraId="7BCFB692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b/>
          <w:bCs/>
        </w:rPr>
      </w:pPr>
    </w:p>
    <w:p w14:paraId="489E7004" w14:textId="6A9C053C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b/>
          <w:bCs/>
        </w:rPr>
      </w:pPr>
      <w:r w:rsidRPr="006B35F5">
        <w:rPr>
          <w:rFonts w:ascii="Arial" w:hAnsi="Arial" w:cs="Arial"/>
          <w:b/>
          <w:bCs/>
        </w:rPr>
        <w:t>Texto III</w:t>
      </w:r>
    </w:p>
    <w:p w14:paraId="7E81B4EC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b/>
          <w:bCs/>
        </w:rPr>
      </w:pPr>
    </w:p>
    <w:p w14:paraId="013C1D27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>Autor: Aristóteles (Poética)</w:t>
      </w:r>
    </w:p>
    <w:p w14:paraId="08DB2214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</w:p>
    <w:p w14:paraId="7A371085" w14:textId="5106B1AD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>Discussão filosófica sobre a arte da poesia e suas formas. Explora conceitos como imitação</w:t>
      </w:r>
    </w:p>
    <w:p w14:paraId="644BDF0D" w14:textId="28E7AD5C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>(mimesis), tragédia, comédia e estrutura narrativa, definindo princípios fundamentais da teoria literária.</w:t>
      </w:r>
    </w:p>
    <w:p w14:paraId="5C7F5D11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b/>
          <w:bCs/>
        </w:rPr>
      </w:pPr>
    </w:p>
    <w:p w14:paraId="4DB8DBA0" w14:textId="1D2244F9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b/>
          <w:bCs/>
        </w:rPr>
      </w:pPr>
      <w:r w:rsidRPr="006B35F5">
        <w:rPr>
          <w:rFonts w:ascii="Arial" w:hAnsi="Arial" w:cs="Arial"/>
          <w:b/>
          <w:bCs/>
        </w:rPr>
        <w:t>Texto IV</w:t>
      </w:r>
    </w:p>
    <w:p w14:paraId="46BCB83B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b/>
          <w:bCs/>
        </w:rPr>
      </w:pPr>
    </w:p>
    <w:p w14:paraId="47CE642A" w14:textId="50F49CFA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 xml:space="preserve">Autor: Sun </w:t>
      </w:r>
      <w:proofErr w:type="spellStart"/>
      <w:r w:rsidRPr="006B35F5">
        <w:rPr>
          <w:rFonts w:ascii="Arial" w:hAnsi="Arial" w:cs="Arial"/>
          <w:sz w:val="16"/>
          <w:szCs w:val="16"/>
        </w:rPr>
        <w:t>Tzu</w:t>
      </w:r>
      <w:proofErr w:type="spellEnd"/>
      <w:r w:rsidRPr="006B35F5">
        <w:rPr>
          <w:rFonts w:ascii="Arial" w:hAnsi="Arial" w:cs="Arial"/>
          <w:sz w:val="16"/>
          <w:szCs w:val="16"/>
        </w:rPr>
        <w:t xml:space="preserve"> (A Arte da Guerra)</w:t>
      </w:r>
    </w:p>
    <w:p w14:paraId="53371217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</w:p>
    <w:p w14:paraId="246DD1E9" w14:textId="038E0FA3" w:rsid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rFonts w:ascii="Arial" w:hAnsi="Arial" w:cs="Arial"/>
          <w:sz w:val="16"/>
          <w:szCs w:val="16"/>
        </w:rPr>
      </w:pPr>
      <w:r w:rsidRPr="006B35F5">
        <w:rPr>
          <w:rFonts w:ascii="Arial" w:hAnsi="Arial" w:cs="Arial"/>
          <w:sz w:val="16"/>
          <w:szCs w:val="16"/>
        </w:rPr>
        <w:t>Tratado clássico de estratégia militar. Apresenta princípios sobre planejamento, tática, liderança e uso eficiente de recursos, enfatizando vencer sem combate direto e a importância do conhecimento do inimigo.</w:t>
      </w:r>
    </w:p>
    <w:p w14:paraId="31745D72" w14:textId="77777777" w:rsidR="006B35F5" w:rsidRPr="006B35F5" w:rsidRDefault="006B35F5" w:rsidP="006B35F5">
      <w:pPr>
        <w:autoSpaceDE w:val="0"/>
        <w:autoSpaceDN w:val="0"/>
        <w:adjustRightInd w:val="0"/>
        <w:spacing w:after="0" w:line="240" w:lineRule="auto"/>
        <w:ind w:left="851"/>
        <w:rPr>
          <w:sz w:val="18"/>
          <w:szCs w:val="18"/>
        </w:rPr>
      </w:pPr>
    </w:p>
    <w:sectPr w:rsidR="006B35F5" w:rsidRPr="006B35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06DD0"/>
    <w:multiLevelType w:val="hybridMultilevel"/>
    <w:tmpl w:val="B56EAA2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00A6F"/>
    <w:multiLevelType w:val="hybridMultilevel"/>
    <w:tmpl w:val="B56EAA2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63C3C"/>
    <w:multiLevelType w:val="hybridMultilevel"/>
    <w:tmpl w:val="CA1E87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B81"/>
    <w:rsid w:val="006B35F5"/>
    <w:rsid w:val="00734577"/>
    <w:rsid w:val="007C2C05"/>
    <w:rsid w:val="00B347B1"/>
    <w:rsid w:val="00BC6B81"/>
    <w:rsid w:val="00D4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D3C7F"/>
  <w15:chartTrackingRefBased/>
  <w15:docId w15:val="{0AAC01B0-AE03-4A31-94E2-1C5FEC57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4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167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Dantas</dc:creator>
  <cp:keywords/>
  <dc:description/>
  <cp:lastModifiedBy>Antonio Dantas</cp:lastModifiedBy>
  <cp:revision>2</cp:revision>
  <dcterms:created xsi:type="dcterms:W3CDTF">2026-04-23T14:12:00Z</dcterms:created>
  <dcterms:modified xsi:type="dcterms:W3CDTF">2026-04-23T14:12:00Z</dcterms:modified>
</cp:coreProperties>
</file>