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EAF" w:rsidRPr="00387EAF" w:rsidRDefault="00387EAF" w:rsidP="00387EAF">
      <w:r w:rsidRPr="00387EAF">
        <w:t>A legislação fiscal é dinâmica. É fundamental consultar as fontes oficiais para garantir conformidade.</w:t>
      </w:r>
    </w:p>
    <w:p w:rsidR="00387EAF" w:rsidRPr="00387EAF" w:rsidRDefault="00387EAF" w:rsidP="00387EAF">
      <w:pPr>
        <w:numPr>
          <w:ilvl w:val="0"/>
          <w:numId w:val="1"/>
        </w:numPr>
      </w:pPr>
      <w:r w:rsidRPr="00387EAF">
        <w:rPr>
          <w:b/>
          <w:bCs/>
        </w:rPr>
        <w:t>Âmbito Nacional (Legislação Federal e Convênios):</w:t>
      </w:r>
    </w:p>
    <w:p w:rsidR="00387EAF" w:rsidRPr="00387EAF" w:rsidRDefault="00387EAF" w:rsidP="00387EAF">
      <w:pPr>
        <w:numPr>
          <w:ilvl w:val="1"/>
          <w:numId w:val="1"/>
        </w:numPr>
      </w:pPr>
      <w:r w:rsidRPr="00387EAF">
        <w:rPr>
          <w:b/>
          <w:bCs/>
        </w:rPr>
        <w:t>CONFAZ (Conselho Nacional de Política Fazendária):</w:t>
      </w:r>
      <w:r w:rsidRPr="00387EAF">
        <w:t xml:space="preserve"> Principal órgão para deliberações sobre ICMS. Suas decisões são publicadas como: </w:t>
      </w:r>
    </w:p>
    <w:p w:rsidR="00387EAF" w:rsidRPr="00387EAF" w:rsidRDefault="00387EAF" w:rsidP="00387EAF">
      <w:pPr>
        <w:numPr>
          <w:ilvl w:val="2"/>
          <w:numId w:val="1"/>
        </w:numPr>
      </w:pPr>
      <w:r w:rsidRPr="00387EAF">
        <w:rPr>
          <w:b/>
          <w:bCs/>
        </w:rPr>
        <w:t>Ajustes SINIEF:</w:t>
      </w:r>
      <w:r w:rsidRPr="00387EAF">
        <w:t xml:space="preserve"> Instituem e alteram modelos de documentos fiscais e obrigações acessórias. (</w:t>
      </w:r>
      <w:proofErr w:type="spellStart"/>
      <w:r w:rsidRPr="00387EAF">
        <w:t>Ex</w:t>
      </w:r>
      <w:proofErr w:type="spellEnd"/>
      <w:r w:rsidRPr="00387EAF">
        <w:t>: Ajuste SINIEF 07/05 que instituiu a NF-e).</w:t>
      </w:r>
    </w:p>
    <w:p w:rsidR="00387EAF" w:rsidRPr="00387EAF" w:rsidRDefault="00387EAF" w:rsidP="00387EAF">
      <w:pPr>
        <w:numPr>
          <w:ilvl w:val="2"/>
          <w:numId w:val="1"/>
        </w:numPr>
      </w:pPr>
      <w:r w:rsidRPr="00387EAF">
        <w:rPr>
          <w:b/>
          <w:bCs/>
        </w:rPr>
        <w:t>Convênios ICMS:</w:t>
      </w:r>
      <w:r w:rsidRPr="00387EAF">
        <w:t xml:space="preserve"> Acordos entre os estados sobre benefícios fiscais, substituição tributária, etc.</w:t>
      </w:r>
    </w:p>
    <w:p w:rsidR="00387EAF" w:rsidRPr="00387EAF" w:rsidRDefault="00387EAF" w:rsidP="00387EAF">
      <w:pPr>
        <w:numPr>
          <w:ilvl w:val="1"/>
          <w:numId w:val="1"/>
        </w:numPr>
      </w:pPr>
      <w:r w:rsidRPr="00387EAF">
        <w:rPr>
          <w:b/>
          <w:bCs/>
        </w:rPr>
        <w:t>Portal da Nota Fiscal Eletrônica:</w:t>
      </w:r>
      <w:r w:rsidRPr="00387EAF">
        <w:t xml:space="preserve"> Mantido pelo ENCAT (Encontro Nacional de Coordenadores e Administradores Tributários Estaduais), centraliza toda a documentação técnica da NF-e, NFC-e, CT-e e MDF-e, incluindo: </w:t>
      </w:r>
    </w:p>
    <w:p w:rsidR="00387EAF" w:rsidRPr="00387EAF" w:rsidRDefault="00387EAF" w:rsidP="00387EAF">
      <w:pPr>
        <w:numPr>
          <w:ilvl w:val="2"/>
          <w:numId w:val="1"/>
        </w:numPr>
      </w:pPr>
      <w:r w:rsidRPr="00387EAF">
        <w:rPr>
          <w:b/>
          <w:bCs/>
        </w:rPr>
        <w:t>Notas Técnicas (NT):</w:t>
      </w:r>
      <w:r w:rsidRPr="00387EAF">
        <w:t xml:space="preserve"> Publicações que detalham alterações nos layouts, regras de validação e prazos de implementação. É crucial acompanhar as </w:t>
      </w:r>
      <w:proofErr w:type="spellStart"/>
      <w:r w:rsidRPr="00387EAF">
        <w:t>NTs</w:t>
      </w:r>
      <w:proofErr w:type="spellEnd"/>
      <w:r w:rsidRPr="00387EAF">
        <w:t xml:space="preserve"> mais recentes.</w:t>
      </w:r>
    </w:p>
    <w:p w:rsidR="00387EAF" w:rsidRPr="00387EAF" w:rsidRDefault="00387EAF" w:rsidP="00387EAF">
      <w:pPr>
        <w:numPr>
          <w:ilvl w:val="0"/>
          <w:numId w:val="1"/>
        </w:numPr>
      </w:pPr>
      <w:r w:rsidRPr="00387EAF">
        <w:rPr>
          <w:b/>
          <w:bCs/>
        </w:rPr>
        <w:t>Âmbito Estadual (Legislação do ICMS):</w:t>
      </w:r>
    </w:p>
    <w:p w:rsidR="00387EAF" w:rsidRPr="00387EAF" w:rsidRDefault="00387EAF" w:rsidP="00387EAF">
      <w:pPr>
        <w:numPr>
          <w:ilvl w:val="1"/>
          <w:numId w:val="1"/>
        </w:numPr>
      </w:pPr>
      <w:r w:rsidRPr="00387EAF">
        <w:rPr>
          <w:b/>
          <w:bCs/>
        </w:rPr>
        <w:t>SEFAZ (Secretaria de Fazenda) de cada estado:</w:t>
      </w:r>
      <w:r w:rsidRPr="00387EAF">
        <w:t xml:space="preserve"> Cada Unidade da Federação tem seu próprio Regulamento do ICMS (RICMS), que detalha as regras gerais do CONFAZ e estabelece particularidades locais. Os sites da SEFAZ são a fonte primária para consultas estaduais.</w:t>
      </w:r>
    </w:p>
    <w:p w:rsidR="00387EAF" w:rsidRPr="00387EAF" w:rsidRDefault="00387EAF" w:rsidP="00387EAF">
      <w:pPr>
        <w:numPr>
          <w:ilvl w:val="0"/>
          <w:numId w:val="1"/>
        </w:numPr>
      </w:pPr>
      <w:r w:rsidRPr="00387EAF">
        <w:rPr>
          <w:b/>
          <w:bCs/>
        </w:rPr>
        <w:t>Âmbito Municipal (Legislação do ISS):</w:t>
      </w:r>
    </w:p>
    <w:p w:rsidR="00387EAF" w:rsidRPr="00387EAF" w:rsidRDefault="00387EAF" w:rsidP="00387EAF">
      <w:pPr>
        <w:numPr>
          <w:ilvl w:val="1"/>
          <w:numId w:val="1"/>
        </w:numPr>
      </w:pPr>
      <w:r w:rsidRPr="00387EAF">
        <w:rPr>
          <w:b/>
          <w:bCs/>
        </w:rPr>
        <w:t>Prefeituras Municipais:</w:t>
      </w:r>
      <w:r w:rsidRPr="00387EAF">
        <w:t xml:space="preserve"> Cada município tem autonomia para legislar sobre o ISS (Imposto Sobre Serviços) e, consequentemente, sobre a NFS-e.</w:t>
      </w:r>
    </w:p>
    <w:p w:rsidR="00387EAF" w:rsidRPr="00387EAF" w:rsidRDefault="00387EAF" w:rsidP="00387EAF">
      <w:pPr>
        <w:numPr>
          <w:ilvl w:val="1"/>
          <w:numId w:val="1"/>
        </w:numPr>
      </w:pPr>
      <w:r w:rsidRPr="00387EAF">
        <w:rPr>
          <w:b/>
          <w:bCs/>
        </w:rPr>
        <w:t>Padrão ABRASF (Associação Brasileira das Secretarias de Finanças das Capitais):</w:t>
      </w:r>
      <w:r w:rsidRPr="00387EAF">
        <w:t xml:space="preserve"> Uma tentativa de unificar o modelo da NFS-e. Muitas cidades o adotaram, mas a adesão não é universal. É preciso verificar o padrão de cada prefeitura onde a empresa presta serviços.</w:t>
      </w:r>
    </w:p>
    <w:p w:rsidR="00A20522" w:rsidRDefault="00A20522">
      <w:bookmarkStart w:id="0" w:name="_GoBack"/>
      <w:bookmarkEnd w:id="0"/>
    </w:p>
    <w:sectPr w:rsidR="00A20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12BD1"/>
    <w:multiLevelType w:val="multilevel"/>
    <w:tmpl w:val="3CD8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AF"/>
    <w:rsid w:val="00387EAF"/>
    <w:rsid w:val="00A2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C9016-754A-4779-8D84-A010F5E2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Valdinei de Souza Camargo</dc:creator>
  <cp:keywords/>
  <dc:description/>
  <cp:lastModifiedBy>Valdinei de Souza Camargo</cp:lastModifiedBy>
  <cp:revision>1</cp:revision>
  <dcterms:created xsi:type="dcterms:W3CDTF">2025-06-13T23:07:00Z</dcterms:created>
  <dcterms:modified xsi:type="dcterms:W3CDTF">2025-06-13T23:08:00Z</dcterms:modified>
</cp:coreProperties>
</file>